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0"/>
      </w:pPr>
      <w:r>
        <w:rPr>
          <w:b/>
          <w:sz w:val="32"/>
          <w:szCs w:val="32"/>
          <w:color w:val="172554"/>
        </w:rPr>
        <w:t xml:space="preserve">SYC Production Delivery</w:t>
      </w:r>
    </w:p>
    <w:p>
      <w:pPr>
        <w:spacing w:after="140"/>
      </w:pPr>
      <w:r>
        <w:rPr>
          <w:b/>
          <w:sz w:val="22"/>
          <w:szCs w:val="22"/>
          <w:color w:val="315A9E"/>
        </w:rPr>
        <w:t xml:space="preserve">Bill of Materials (BOM)</w:t>
      </w:r>
    </w:p>
    <w:p>
      <w:pPr>
        <w:spacing w:after="35"/>
      </w:pPr>
      <w:r>
        <w:rPr>
          <w:b/>
          <w:sz w:val="19"/>
          <w:szCs w:val="19"/>
          <w:color w:val="172554"/>
        </w:rPr>
        <w:t xml:space="preserve">Purpose</w:t>
      </w:r>
    </w:p>
    <w:p>
      <w:pPr>
        <w:spacing w:after="120"/>
      </w:pPr>
      <w:r>
        <w:rPr>
          <w:sz w:val="17"/>
          <w:szCs w:val="17"/>
          <w:color w:val="334155"/>
        </w:rPr>
        <w:t xml:space="preserve">Concise baseline for the SYC production delivery. Quantities indicate logical delivery units; final Azure SKU, capacity and licence pricing remain subject to the approved design and subscription constraints.</w:t>
      </w:r>
    </w:p>
    <w:tbl>
      <w:tblPr>
        <w:tblW w:w="80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1550" w:type="dxa"/>
            <w:shd w:fill="1E3A8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  <w:color w:val="FFFFFF"/>
              </w:rPr>
              <w:t xml:space="preserve">Category</w:t>
            </w:r>
          </w:p>
        </w:tc>
        <w:tc>
          <w:tcPr>
            <w:tcW w:w="2550" w:type="dxa"/>
            <w:shd w:fill="1E3A8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  <w:color w:val="FFFFFF"/>
              </w:rPr>
              <w:t xml:space="preserve">Component</w:t>
            </w:r>
          </w:p>
        </w:tc>
        <w:tc>
          <w:tcPr>
            <w:tcW w:w="700" w:type="dxa"/>
            <w:shd w:fill="1E3A8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  <w:color w:val="FFFFFF"/>
              </w:rPr>
              <w:t xml:space="preserve">Qty.</w:t>
            </w:r>
          </w:p>
        </w:tc>
        <w:tc>
          <w:tcPr>
            <w:tcW w:w="3220" w:type="dxa"/>
            <w:shd w:fill="1E3A8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  <w:color w:val="FFFFFF"/>
              </w:rPr>
              <w:t xml:space="preserve">Included baseline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Environments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Azure environments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3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DEV, UAT and PROD; separated configuration and access.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Cloud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Network and private access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3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VNet/subnets, NSG/route baseline and private endpoints where applicable.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Cloud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API Management and Key Vault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3 each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Gateway policies, secrets and managed-identity access.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Cloud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PostgreSQL and Storage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3 each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Case/agent metadata, document storage, backups and retention baseline.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AI &amp; identity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Azure OpenAI endpoint and Entra ID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3 / 1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Model access, content-filtering baseline and portal authentication.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Application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SYC portal and guided intake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1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Responsive filing journey, document upload, search and case view.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Application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Agentic orchestration service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1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Extraction, validation, action cards and approval-controlled hand-off.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Integration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API layer, D365 and notifications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1 set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Approved case write-back, retries, status reconciliation and alerts.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Delivery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CI/CD, IaC, security scans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1 set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Build/release pipelines, environment promotion and scan gates.</w:t>
            </w:r>
          </w:p>
        </w:tc>
      </w:tr>
      <w:tr>
        <w:tc>
          <w:tcPr>
            <w:tcW w:w="1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Operations</w:t>
            </w:r>
          </w:p>
        </w:tc>
        <w:tc>
          <w:tcPr>
            <w:tcW w:w="25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Monitoring, audit and runbooks</w:t>
            </w:r>
          </w:p>
        </w:tc>
        <w:tc>
          <w:tcPr>
            <w:tcW w:w="70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1 set</w:t>
            </w:r>
          </w:p>
        </w:tc>
        <w:tc>
          <w:tcPr>
            <w:tcW w:w="322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Dashboards, alerts, audit trail, backup/restore and handover guides.</w:t>
            </w:r>
          </w:p>
        </w:tc>
      </w:tr>
    </w:tbl>
    <w:p>
      <w:pPr>
        <w:spacing w:after="0"/>
      </w:pPr>
      <w:r>
        <w:rPr>
          <w:sz w:val="15"/>
          <w:szCs w:val="15"/>
          <w:color w:val="475569"/>
        </w:rPr>
        <w:t xml:space="preserve">Scope note: This BOM covers the production-delivery baseline. It excludes third-party licence fees, Azure consumption charges, penetration testing and changes outside the agreed SYC scope.</w:t>
      </w:r>
    </w:p>
    <w:p>
      <w:r>
        <w:br w:type="page"/>
      </w:r>
    </w:p>
    <w:p>
      <w:pPr>
        <w:spacing w:after="120"/>
      </w:pPr>
      <w:r>
        <w:rPr>
          <w:b/>
          <w:sz w:val="26"/>
          <w:szCs w:val="26"/>
          <w:color w:val="172554"/>
        </w:rPr>
        <w:t xml:space="preserve">Delivery, completion and support</w:t>
      </w:r>
    </w:p>
    <w:tbl>
      <w:tblPr>
        <w:tblW w:w="847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2050" w:type="dxa"/>
            <w:shd w:fill="1E3A8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  <w:color w:val="FFFFFF"/>
              </w:rPr>
              <w:t xml:space="preserve">Phase</w:t>
            </w:r>
          </w:p>
        </w:tc>
        <w:tc>
          <w:tcPr>
            <w:tcW w:w="1850" w:type="dxa"/>
            <w:shd w:fill="1E3A8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  <w:color w:val="FFFFFF"/>
              </w:rPr>
              <w:t xml:space="preserve">Completion</w:t>
            </w:r>
          </w:p>
        </w:tc>
        <w:tc>
          <w:tcPr>
            <w:tcW w:w="4570" w:type="dxa"/>
            <w:shd w:fill="1E3A8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  <w:color w:val="FFFFFF"/>
              </w:rPr>
              <w:t xml:space="preserve">User-visible outcome</w:t>
            </w:r>
          </w:p>
        </w:tc>
      </w:tr>
      <w:tr>
        <w:tc>
          <w:tcPr>
            <w:tcW w:w="20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Planning</w:t>
            </w:r>
          </w:p>
        </w:tc>
        <w:tc>
          <w:tcPr>
            <w:tcW w:w="18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21 Aug 2026</w:t>
            </w:r>
          </w:p>
        </w:tc>
        <w:tc>
          <w:tcPr>
            <w:tcW w:w="457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Agreed delivery plan and implementation backlog.</w:t>
            </w:r>
          </w:p>
        </w:tc>
      </w:tr>
      <w:tr>
        <w:tc>
          <w:tcPr>
            <w:tcW w:w="20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Set-up</w:t>
            </w:r>
          </w:p>
        </w:tc>
        <w:tc>
          <w:tcPr>
            <w:tcW w:w="18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7 Sep 2026</w:t>
            </w:r>
          </w:p>
        </w:tc>
        <w:tc>
          <w:tcPr>
            <w:tcW w:w="457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Delivery environments and foundational access are ready.</w:t>
            </w:r>
          </w:p>
        </w:tc>
      </w:tr>
      <w:tr>
        <w:tc>
          <w:tcPr>
            <w:tcW w:w="20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Development</w:t>
            </w:r>
          </w:p>
        </w:tc>
        <w:tc>
          <w:tcPr>
            <w:tcW w:w="18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25 Oct 2026</w:t>
            </w:r>
          </w:p>
        </w:tc>
        <w:tc>
          <w:tcPr>
            <w:tcW w:w="457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Portal, agentic AI, integrations and DevOps delivered as one workstream.</w:t>
            </w:r>
          </w:p>
        </w:tc>
      </w:tr>
      <w:tr>
        <w:tc>
          <w:tcPr>
            <w:tcW w:w="20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Production completion</w:t>
            </w:r>
          </w:p>
        </w:tc>
        <w:tc>
          <w:tcPr>
            <w:tcW w:w="18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30 Nov 2026</w:t>
            </w:r>
          </w:p>
        </w:tc>
        <w:tc>
          <w:tcPr>
            <w:tcW w:w="457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Production deployment and user release completed.</w:t>
            </w:r>
          </w:p>
        </w:tc>
      </w:tr>
      <w:tr>
        <w:tc>
          <w:tcPr>
            <w:tcW w:w="20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Optional PGP</w:t>
            </w:r>
          </w:p>
        </w:tc>
        <w:tc>
          <w:tcPr>
            <w:tcW w:w="185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1 Dec 2026–28 Feb 2027</w:t>
            </w:r>
          </w:p>
        </w:tc>
        <w:tc>
          <w:tcPr>
            <w:tcW w:w="4570" w:type="dxa"/>
            <w:shd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  <w:color w:val="172554"/>
              </w:rPr>
              <w:t xml:space="preserve">Three months of post-production support and stabilisation.</w:t>
            </w:r>
          </w:p>
        </w:tc>
      </w:tr>
    </w:tbl>
    <w:p>
      <w:pPr>
        <w:spacing w:after="40"/>
      </w:pPr>
      <w:r>
        <w:rPr>
          <w:b/>
          <w:sz w:val="19"/>
          <w:szCs w:val="19"/>
          <w:color w:val="172554"/>
        </w:rPr>
        <w:t xml:space="preserve">Included delivery outputs</w:t>
      </w:r>
    </w:p>
    <w:p>
      <w:pPr>
        <w:spacing w:after="120"/>
      </w:pPr>
      <w:r>
        <w:rPr>
          <w:sz w:val="17"/>
          <w:szCs w:val="17"/>
          <w:color w:val="334155"/>
        </w:rPr>
        <w:t xml:space="preserve">• Production-ready portal and agentic AI workflow with user confirmation before case creation.
• Secure integrations to approved services, including D365 write-back and notifications.
• Deployment automation, operational monitoring, audit records and production handover runbooks.</w:t>
      </w:r>
    </w:p>
    <w:p>
      <w:pPr>
        <w:spacing w:after="40"/>
      </w:pPr>
      <w:r>
        <w:rPr>
          <w:b/>
          <w:sz w:val="19"/>
          <w:szCs w:val="19"/>
          <w:color w:val="172554"/>
        </w:rPr>
        <w:t xml:space="preserve">Optional PGP</w:t>
      </w:r>
    </w:p>
    <w:p>
      <w:pPr>
        <w:spacing w:after="120"/>
      </w:pPr>
      <w:r>
        <w:rPr>
          <w:sz w:val="17"/>
          <w:szCs w:val="17"/>
          <w:color w:val="334155"/>
        </w:rPr>
        <w:t xml:space="preserve">The optional three-month post-go-live period begins after production completion. It covers stabilisation, incident and defect support, monitoring review and knowledge-transfer follow-up. New features or material scope changes require separate approval.</w:t>
      </w:r>
    </w:p>
    <w:p>
      <w:pPr>
        <w:spacing w:after="40"/>
      </w:pPr>
      <w:r>
        <w:rPr>
          <w:b/>
          <w:sz w:val="19"/>
          <w:szCs w:val="19"/>
          <w:color w:val="172554"/>
        </w:rPr>
        <w:t xml:space="preserve">Assumptions</w:t>
      </w:r>
    </w:p>
    <w:p>
      <w:pPr>
        <w:spacing w:after="0"/>
      </w:pPr>
      <w:r>
        <w:rPr>
          <w:sz w:val="17"/>
          <w:szCs w:val="17"/>
          <w:color w:val="334155"/>
        </w:rPr>
        <w:t xml:space="preserve">Existing D365, identity, notification and network dependencies are available through approved interfaces; business owners provide timely decisions, access and production-release approval.</w:t>
      </w:r>
    </w:p>
    <w:sectPr>
      <w:pgSz w:w="11906" w:h="16838"/>
      <w:pgMar w:top="700" w:right="850" w:bottom="700" w:left="85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SYC Production Delivery BOM</dc:title>
  <dc:creator>OpenAI Codex</dc:creator>
  <dcterms:created xsi:type="dcterms:W3CDTF">2026-07-14T03:33:38+00:00</dcterms:created>
</cp:coreProperties>
</file>