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after="20"/>
      </w:pPr>
      <w:r>
        <w:rPr>
          <w:b/>
          <w:sz w:val="32"/>
          <w:szCs w:val="32"/>
          <w:color w:val="172554"/>
        </w:rPr>
        <w:t xml:space="preserve">SYC Production Delivery</w:t>
      </w:r>
    </w:p>
    <w:p>
      <w:pPr>
        <w:spacing w:after="140"/>
      </w:pPr>
      <w:r>
        <w:rPr>
          <w:b/>
          <w:sz w:val="22"/>
          <w:szCs w:val="22"/>
          <w:color w:val="315A9E"/>
        </w:rPr>
        <w:t xml:space="preserve">Bill of Materials (BOM)</w:t>
      </w:r>
    </w:p>
    <w:p>
      <w:pPr>
        <w:spacing w:after="35"/>
      </w:pPr>
      <w:r>
        <w:rPr>
          <w:b/>
          <w:sz w:val="19"/>
          <w:szCs w:val="19"/>
          <w:color w:val="172554"/>
        </w:rPr>
        <w:t xml:space="preserve">Commercial pricing estimate</w:t>
      </w:r>
    </w:p>
    <w:p>
      <w:pPr>
        <w:spacing w:after="120"/>
      </w:pPr>
      <w:r>
        <w:rPr>
          <w:sz w:val="17"/>
          <w:szCs w:val="17"/>
          <w:color w:val="334155"/>
        </w:rPr>
        <w:t xml:space="preserve">Only two 16 GiB virtual machines and AWS Bedrock are priced. All other BOM entries use resources already provisioned, so their incremental estimate is $0. VM storage is not estimated. Prices are in USD and exclude applicable taxes.</w:t>
      </w:r>
    </w:p>
    <w:tbl>
      <w:tblPr>
        <w:tblW w:w="8830" w:type="dxa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c>
          <w:tcPr>
            <w:tcW w:w="1180" w:type="dxa"/>
            <w:shd w:fill="1E3A8A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16"/>
                <w:szCs w:val="16"/>
                <w:color w:val="FFFFFF"/>
              </w:rPr>
              <w:t xml:space="preserve">Category</w:t>
            </w:r>
          </w:p>
        </w:tc>
        <w:tc>
          <w:tcPr>
            <w:tcW w:w="1850" w:type="dxa"/>
            <w:shd w:fill="1E3A8A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16"/>
                <w:szCs w:val="16"/>
                <w:color w:val="FFFFFF"/>
              </w:rPr>
              <w:t xml:space="preserve">Component</w:t>
            </w:r>
          </w:p>
        </w:tc>
        <w:tc>
          <w:tcPr>
            <w:tcW w:w="500" w:type="dxa"/>
            <w:shd w:fill="1E3A8A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16"/>
                <w:szCs w:val="16"/>
                <w:color w:val="FFFFFF"/>
              </w:rPr>
              <w:t xml:space="preserve">Qty.</w:t>
            </w:r>
          </w:p>
        </w:tc>
        <w:tc>
          <w:tcPr>
            <w:tcW w:w="2120" w:type="dxa"/>
            <w:shd w:fill="1E3A8A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16"/>
                <w:szCs w:val="16"/>
                <w:color w:val="FFFFFF"/>
              </w:rPr>
              <w:t xml:space="preserve">Commercial estimate (USD/month)</w:t>
            </w:r>
          </w:p>
        </w:tc>
        <w:tc>
          <w:tcPr>
            <w:tcW w:w="3180" w:type="dxa"/>
            <w:shd w:fill="1E3A8A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16"/>
                <w:szCs w:val="16"/>
                <w:color w:val="FFFFFF"/>
              </w:rPr>
              <w:t xml:space="preserve">Cost basis / status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Environments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Azure environments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3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Existing DEV, UAT and PROD environments.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Cloud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Network and private access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3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Existing VNet/subnets, private access and security baseline.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Cloud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API Management and Key Vault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3 each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Existing gateway, secrets and managed-identity services.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Cloud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PostgreSQL Flexible Server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3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Existing case and agent metadata database service.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Compute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Application virtual machine (16 GiB RAM)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2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$350.40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AWS EC2 m6i.xlarge: 4 vCPU, 16 GiB; Singapore on-demand, 730 hours/month at $0.24/hour. Standalone VM; no Kubernetes or AKS. Storage not estimated.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AI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AWS Bedrock – Amazon Nova Lite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1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$0.36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2M input + 1M output tokens/month; on-demand commercial estimate.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Identity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Entra ID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1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Existing portal authentication and access-control service.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Application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SYC portal and guided intake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1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Existing application resource; delivery work only.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Application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Agentic orchestration service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1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Existing application resource; delivery work only.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Integration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API layer, D365 and notifications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1 set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Existing approved enterprise interfaces and services.</w:t>
            </w:r>
          </w:p>
        </w:tc>
      </w:tr>
      <w:tr>
        <w:tc>
          <w:tcPr>
            <w:tcW w:w="1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Operations</w:t>
            </w:r>
          </w:p>
        </w:tc>
        <w:tc>
          <w:tcPr>
            <w:tcW w:w="185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CI/CD, IaC, monitoring and audit</w:t>
            </w:r>
          </w:p>
        </w:tc>
        <w:tc>
          <w:tcPr>
            <w:tcW w:w="50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1 set</w:t>
            </w:r>
          </w:p>
        </w:tc>
        <w:tc>
          <w:tcPr>
            <w:tcW w:w="212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$0</w:t>
            </w:r>
          </w:p>
        </w:tc>
        <w:tc>
          <w:tcPr>
            <w:tcW w:w="3180" w:type="dxa"/>
            <w:shd w:fill="FFFFFF"/>
            <w:tcMar>
              <w:top w:w="65" w:type="dxa"/>
              <w:left w:w="70" w:type="dxa"/>
              <w:bottom w:w="65" w:type="dxa"/>
              <w:right w:w="70" w:type="dxa"/>
            </w:tcMar>
          </w:tcPr>
          <w:p>
            <w:pPr>
              <w:spacing w:after="0"/>
            </w:pPr>
            <w:r>
              <w:rPr>
                <w:sz w:val="16"/>
                <w:szCs w:val="16"/>
                <w:color w:val="172554"/>
              </w:rPr>
              <w:t xml:space="preserve">Existing delivery and operational tooling.</w:t>
            </w:r>
          </w:p>
        </w:tc>
      </w:tr>
    </w:tbl>
    <w:p>
      <w:pPr>
        <w:spacing w:after="55"/>
      </w:pPr>
      <w:r>
        <w:rPr>
          <w:b/>
          <w:sz w:val="19"/>
          <w:szCs w:val="19"/>
          <w:color w:val="172554"/>
        </w:rPr>
        <w:t xml:space="preserve">Monthly priced total: $350.76 USD</w:t>
      </w:r>
    </w:p>
    <w:p>
      <w:pPr>
        <w:spacing w:after="0"/>
      </w:pPr>
      <w:r>
        <w:rPr>
          <w:sz w:val="15"/>
          <w:szCs w:val="15"/>
          <w:color w:val="475569"/>
        </w:rPr>
        <w:t xml:space="preserve">Pricing reference: AWS EC2 m6i.xlarge (4 vCPU, 16 GiB) in Asia Pacific (Singapore) is priced at $0.24/hour on demand; 730 hours/month gives $175.20 per VM. AWS Bedrock Amazon Nova Lite is modelled at $0.00006 per 1,000 input tokens and $0.00024 per 1,000 output tokens. VM storage; Bedrock embeddings, guardrails, knowledge bases and provisioned throughput are not included in this estimate. Public pricing checked 14 Jul 2026.</w:t>
      </w:r>
    </w:p>
    <w:sectPr>
      <w:pgSz w:w="11906" w:h="16838"/>
      <w:pgMar w:top="700" w:right="850" w:bottom="700" w:left="850" w:header="400" w:footer="4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</w:rPr>
    </w:rPrDefault>
  </w:docDefaults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SYC Production Delivery BOM</dc:title>
  <dc:creator>OpenAI Codex</dc:creator>
  <dcterms:created xsi:type="dcterms:W3CDTF">2026-07-14T03:42:44+00:00</dcterms:created>
</cp:coreProperties>
</file>