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B5D2E" w14:textId="70D5DCEA" w:rsidR="001C32E2" w:rsidRPr="00602DF1" w:rsidRDefault="00000000">
      <w:pPr>
        <w:pStyle w:val="Ttulo"/>
        <w:rPr>
          <w:lang w:val="es-ES"/>
        </w:rPr>
      </w:pPr>
      <w:r w:rsidRPr="00602DF1">
        <w:rPr>
          <w:lang w:val="es-ES"/>
        </w:rPr>
        <w:t xml:space="preserve">CONTROL DE CAMBIOS (CHANGE REQUESTS) </w:t>
      </w:r>
    </w:p>
    <w:p w14:paraId="1CA28DD9" w14:textId="5788FA36" w:rsidR="001C32E2" w:rsidRPr="00602DF1" w:rsidRDefault="00000000" w:rsidP="00602DF1">
      <w:pPr>
        <w:pStyle w:val="Ttulo1"/>
        <w:ind w:left="-567"/>
        <w:rPr>
          <w:lang w:val="es-ES"/>
        </w:rPr>
      </w:pPr>
      <w:r w:rsidRPr="00602DF1">
        <w:rPr>
          <w:lang w:val="es-ES"/>
        </w:rPr>
        <w:t xml:space="preserve">1. Contexto </w:t>
      </w:r>
    </w:p>
    <w:p w14:paraId="23287309" w14:textId="77777777" w:rsidR="001C32E2" w:rsidRPr="00602DF1" w:rsidRDefault="00000000" w:rsidP="0016236B">
      <w:pPr>
        <w:ind w:left="-567"/>
        <w:jc w:val="both"/>
        <w:rPr>
          <w:lang w:val="es-ES"/>
        </w:rPr>
      </w:pPr>
      <w:r w:rsidRPr="00602DF1">
        <w:rPr>
          <w:lang w:val="es-ES"/>
        </w:rPr>
        <w:t xml:space="preserve">Al corte de la semana 5, correspondiente al 30% del avance del cronograma, el proyecto presenta desviaciones relevantes en costo y tiempo, evidenciadas mediante los indicadores de </w:t>
      </w:r>
      <w:proofErr w:type="spellStart"/>
      <w:r w:rsidRPr="00602DF1">
        <w:rPr>
          <w:lang w:val="es-ES"/>
        </w:rPr>
        <w:t>Earned</w:t>
      </w:r>
      <w:proofErr w:type="spellEnd"/>
      <w:r w:rsidRPr="00602DF1">
        <w:rPr>
          <w:lang w:val="es-ES"/>
        </w:rPr>
        <w:t xml:space="preserve"> </w:t>
      </w:r>
      <w:proofErr w:type="spellStart"/>
      <w:r w:rsidRPr="00602DF1">
        <w:rPr>
          <w:lang w:val="es-ES"/>
        </w:rPr>
        <w:t>Value</w:t>
      </w:r>
      <w:proofErr w:type="spellEnd"/>
      <w:r w:rsidRPr="00602DF1">
        <w:rPr>
          <w:lang w:val="es-ES"/>
        </w:rPr>
        <w:t xml:space="preserve"> Management (EVM), donde el CPI es de 0.79 y el SPI de 0.84. Estos valores reflejan que el proyecto está incurriendo en sobrecostos y avanzando por debajo del ritmo planificado.</w:t>
      </w:r>
      <w:r w:rsidRPr="00602DF1">
        <w:rPr>
          <w:lang w:val="es-ES"/>
        </w:rPr>
        <w:br/>
      </w:r>
      <w:r w:rsidRPr="00602DF1">
        <w:rPr>
          <w:lang w:val="es-ES"/>
        </w:rPr>
        <w:br/>
        <w:t xml:space="preserve">En este contexto, se identifican dos eventos disruptivos que afectan directamente la ejecución del proyecto: la indisponibilidad de un recurso crítico y un cambio en los requerimientos de </w:t>
      </w:r>
      <w:proofErr w:type="spellStart"/>
      <w:r w:rsidRPr="00602DF1">
        <w:rPr>
          <w:lang w:val="es-ES"/>
        </w:rPr>
        <w:t>compliance</w:t>
      </w:r>
      <w:proofErr w:type="spellEnd"/>
      <w:r w:rsidRPr="00602DF1">
        <w:rPr>
          <w:lang w:val="es-ES"/>
        </w:rPr>
        <w:t>. Ambos eventos no fueron contemplados en la línea base inicial, por lo que requieren ser gestionados mediante un proceso formal de control de cambios.</w:t>
      </w:r>
      <w:r w:rsidRPr="00602DF1">
        <w:rPr>
          <w:lang w:val="es-ES"/>
        </w:rPr>
        <w:br/>
      </w:r>
      <w:r w:rsidRPr="00602DF1">
        <w:rPr>
          <w:lang w:val="es-ES"/>
        </w:rPr>
        <w:br/>
        <w:t>La gestión adecuada de estos cambios es clave para asegurar la trazabilidad contractual, la transparencia frente al cliente y la sostenibilidad financiera del proyecto. Este documento detalla el análisis, impacto y recomendaciones asociadas a cada cambio identificado.</w:t>
      </w:r>
    </w:p>
    <w:p w14:paraId="61D1D265" w14:textId="77777777" w:rsidR="001C32E2" w:rsidRPr="00602DF1" w:rsidRDefault="00000000" w:rsidP="0016236B">
      <w:pPr>
        <w:ind w:left="-567"/>
        <w:jc w:val="both"/>
        <w:rPr>
          <w:lang w:val="es-ES"/>
        </w:rPr>
      </w:pPr>
      <w:r w:rsidRPr="00602DF1">
        <w:rPr>
          <w:lang w:val="es-ES"/>
        </w:rPr>
        <w:t xml:space="preserve">Es importante resaltar que, en proyectos tecnológicos con componentes críticos como infraestructura </w:t>
      </w:r>
      <w:proofErr w:type="spellStart"/>
      <w:r w:rsidRPr="00602DF1">
        <w:rPr>
          <w:lang w:val="es-ES"/>
        </w:rPr>
        <w:t>cloud</w:t>
      </w:r>
      <w:proofErr w:type="spellEnd"/>
      <w:r w:rsidRPr="00602DF1">
        <w:rPr>
          <w:lang w:val="es-ES"/>
        </w:rPr>
        <w:t xml:space="preserve"> y cumplimiento regulatorio, los cambios no gestionados adecuadamente pueden derivar en desviaciones significativas en costo, tiempo y calidad. Por ello, la disciplina en la gestión de cambios se convierte en un elemento central de la gobernanza del proyecto.</w:t>
      </w:r>
    </w:p>
    <w:p w14:paraId="49815A63" w14:textId="77777777" w:rsidR="001C32E2" w:rsidRPr="00602DF1" w:rsidRDefault="00000000" w:rsidP="00602DF1">
      <w:pPr>
        <w:pStyle w:val="Ttulo1"/>
        <w:ind w:left="-567"/>
        <w:rPr>
          <w:lang w:val="es-ES"/>
        </w:rPr>
      </w:pPr>
      <w:r w:rsidRPr="00602DF1">
        <w:rPr>
          <w:lang w:val="es-ES"/>
        </w:rPr>
        <w:t xml:space="preserve">2. CR-01: Cambio de </w:t>
      </w:r>
      <w:proofErr w:type="spellStart"/>
      <w:r w:rsidRPr="00602DF1">
        <w:rPr>
          <w:lang w:val="es-ES"/>
        </w:rPr>
        <w:t>Compliance</w:t>
      </w:r>
      <w:proofErr w:type="spellEnd"/>
      <w:r w:rsidRPr="00602DF1">
        <w:rPr>
          <w:lang w:val="es-ES"/>
        </w:rPr>
        <w:t xml:space="preserve"> PCI DSS 4.0</w:t>
      </w:r>
    </w:p>
    <w:p w14:paraId="02755ED0" w14:textId="77777777" w:rsidR="001C32E2" w:rsidRPr="00602DF1" w:rsidRDefault="00000000" w:rsidP="00602DF1">
      <w:pPr>
        <w:pStyle w:val="Ttulo2"/>
        <w:ind w:left="-567"/>
        <w:rPr>
          <w:lang w:val="es-ES"/>
        </w:rPr>
      </w:pPr>
      <w:r w:rsidRPr="00602DF1">
        <w:rPr>
          <w:lang w:val="es-ES"/>
        </w:rPr>
        <w:t>2.1 Descripción Detallada</w:t>
      </w:r>
    </w:p>
    <w:p w14:paraId="6BC2F2AE" w14:textId="77777777" w:rsidR="001C32E2" w:rsidRPr="00602DF1" w:rsidRDefault="00000000" w:rsidP="0016236B">
      <w:pPr>
        <w:ind w:left="-567"/>
        <w:jc w:val="both"/>
        <w:rPr>
          <w:lang w:val="es-ES"/>
        </w:rPr>
      </w:pPr>
      <w:r w:rsidRPr="00602DF1">
        <w:rPr>
          <w:lang w:val="es-ES"/>
        </w:rPr>
        <w:t>El cliente ha solicitado la incorporación de mecanismos adicionales de cifrado en tránsito y en reposo, basados en una nueva interpretación del estándar PCI DSS 4.0. Este requerimiento no estaba explícitamente definido en el alcance original del proyecto, por lo que constituye un cambio formal que impacta tanto el diseño como la implementación de la solución.</w:t>
      </w:r>
    </w:p>
    <w:p w14:paraId="30E4E1FE" w14:textId="77777777" w:rsidR="001C32E2" w:rsidRPr="00602DF1" w:rsidRDefault="00000000" w:rsidP="00602DF1">
      <w:pPr>
        <w:pStyle w:val="Ttulo2"/>
        <w:ind w:left="-567"/>
        <w:rPr>
          <w:lang w:val="es-ES"/>
        </w:rPr>
      </w:pPr>
      <w:r w:rsidRPr="00602DF1">
        <w:rPr>
          <w:lang w:val="es-ES"/>
        </w:rPr>
        <w:t>2.2 Justificación</w:t>
      </w:r>
    </w:p>
    <w:p w14:paraId="57BEA384" w14:textId="77777777" w:rsidR="001C32E2" w:rsidRPr="00602DF1" w:rsidRDefault="00000000" w:rsidP="0016236B">
      <w:pPr>
        <w:ind w:left="-567"/>
        <w:jc w:val="both"/>
        <w:rPr>
          <w:lang w:val="es-ES"/>
        </w:rPr>
      </w:pPr>
      <w:r w:rsidRPr="00602DF1">
        <w:rPr>
          <w:lang w:val="es-ES"/>
        </w:rPr>
        <w:t xml:space="preserve">La solicitud se origina en el área de </w:t>
      </w:r>
      <w:proofErr w:type="spellStart"/>
      <w:r w:rsidRPr="00602DF1">
        <w:rPr>
          <w:lang w:val="es-ES"/>
        </w:rPr>
        <w:t>Compliance</w:t>
      </w:r>
      <w:proofErr w:type="spellEnd"/>
      <w:r w:rsidRPr="00602DF1">
        <w:rPr>
          <w:lang w:val="es-ES"/>
        </w:rPr>
        <w:t xml:space="preserve"> del cliente, la cual busca asegurar que la solución cumpla con los más altos estándares de seguridad para el procesamiento de transacciones críticas. Desde el punto de vista operativo, este requerimiento es válido y necesario; sin embargo, desde el punto de vista contractual, no estaba contemplado en la definición inicial del alcance, lo que obliga a tratarlo como un cambio formal.</w:t>
      </w:r>
      <w:r w:rsidRPr="00602DF1">
        <w:rPr>
          <w:lang w:val="es-ES"/>
        </w:rPr>
        <w:br/>
      </w:r>
      <w:r w:rsidRPr="00602DF1">
        <w:rPr>
          <w:lang w:val="es-ES"/>
        </w:rPr>
        <w:br/>
        <w:t>La correcta gestión de este cambio permite mantener la alineación entre las expectativas del cliente y los compromisos contractuales, evitando conflictos futuros y asegurando la calidad de la solución.</w:t>
      </w:r>
    </w:p>
    <w:p w14:paraId="4793DB6A" w14:textId="77777777" w:rsidR="001C32E2" w:rsidRPr="00602DF1" w:rsidRDefault="00000000" w:rsidP="00602DF1">
      <w:pPr>
        <w:pStyle w:val="Ttulo2"/>
        <w:ind w:left="-567"/>
        <w:rPr>
          <w:lang w:val="es-ES"/>
        </w:rPr>
      </w:pPr>
      <w:r w:rsidRPr="00602DF1">
        <w:rPr>
          <w:lang w:val="es-ES"/>
        </w:rPr>
        <w:lastRenderedPageBreak/>
        <w:t>2.3 Impacto Detallado</w:t>
      </w:r>
    </w:p>
    <w:p w14:paraId="0E5550E5" w14:textId="77777777" w:rsidR="001C32E2" w:rsidRPr="00602DF1" w:rsidRDefault="00000000" w:rsidP="0016236B">
      <w:pPr>
        <w:ind w:left="-567"/>
        <w:rPr>
          <w:lang w:val="es-ES"/>
        </w:rPr>
      </w:pPr>
      <w:r w:rsidRPr="0016236B">
        <w:rPr>
          <w:b/>
          <w:bCs/>
          <w:lang w:val="es-ES"/>
        </w:rPr>
        <w:t>Costo:</w:t>
      </w:r>
      <w:r w:rsidRPr="00602DF1">
        <w:rPr>
          <w:lang w:val="es-ES"/>
        </w:rPr>
        <w:t xml:space="preserve"> Incremento estimado de USD 6,000, equivalente a 8 días-persona adicionales.</w:t>
      </w:r>
      <w:r w:rsidRPr="00602DF1">
        <w:rPr>
          <w:lang w:val="es-ES"/>
        </w:rPr>
        <w:br/>
      </w:r>
      <w:r w:rsidRPr="0016236B">
        <w:rPr>
          <w:b/>
          <w:bCs/>
          <w:lang w:val="es-ES"/>
        </w:rPr>
        <w:t>Cronograma:</w:t>
      </w:r>
      <w:r w:rsidRPr="00602DF1">
        <w:rPr>
          <w:lang w:val="es-ES"/>
        </w:rPr>
        <w:t xml:space="preserve"> Riesgo de retraso de aproximadamente 5 días si no se asignan recursos adicionales.</w:t>
      </w:r>
      <w:r w:rsidRPr="00602DF1">
        <w:rPr>
          <w:lang w:val="es-ES"/>
        </w:rPr>
        <w:br/>
      </w:r>
      <w:r w:rsidRPr="0016236B">
        <w:rPr>
          <w:b/>
          <w:bCs/>
          <w:lang w:val="es-ES"/>
        </w:rPr>
        <w:t>Alcance:</w:t>
      </w:r>
      <w:r w:rsidRPr="00602DF1">
        <w:rPr>
          <w:lang w:val="es-ES"/>
        </w:rPr>
        <w:t xml:space="preserve"> Ampliación del alcance en términos de controles de seguridad y cifrado.</w:t>
      </w:r>
      <w:r w:rsidRPr="00602DF1">
        <w:rPr>
          <w:lang w:val="es-ES"/>
        </w:rPr>
        <w:br/>
      </w:r>
      <w:r w:rsidRPr="0016236B">
        <w:rPr>
          <w:b/>
          <w:bCs/>
          <w:lang w:val="es-ES"/>
        </w:rPr>
        <w:t>Riesgos:</w:t>
      </w:r>
      <w:r w:rsidRPr="00602DF1">
        <w:rPr>
          <w:lang w:val="es-ES"/>
        </w:rPr>
        <w:t xml:space="preserve"> Incremento en la probabilidad de penalidades y presión sobre la ruta crítica.</w:t>
      </w:r>
    </w:p>
    <w:p w14:paraId="71A08E84" w14:textId="37883F70" w:rsidR="0016236B" w:rsidRPr="0016236B" w:rsidRDefault="00000000" w:rsidP="0016236B">
      <w:pPr>
        <w:pStyle w:val="Ttulo2"/>
        <w:ind w:left="-567"/>
        <w:rPr>
          <w:lang w:val="es-ES"/>
        </w:rPr>
      </w:pPr>
      <w:r w:rsidRPr="00602DF1">
        <w:rPr>
          <w:lang w:val="es-ES"/>
        </w:rPr>
        <w:t>2.4 Análisis de Alternativas</w:t>
      </w:r>
    </w:p>
    <w:p w14:paraId="642F06A9" w14:textId="00F66B4E" w:rsidR="001C32E2" w:rsidRPr="00602DF1" w:rsidRDefault="00000000" w:rsidP="00602DF1">
      <w:pPr>
        <w:ind w:left="-567"/>
        <w:rPr>
          <w:lang w:val="es-ES"/>
        </w:rPr>
      </w:pPr>
      <w:r w:rsidRPr="00602DF1">
        <w:rPr>
          <w:lang w:val="es-ES"/>
        </w:rPr>
        <w:t>Se evaluaron distintas alternativas para gestionar este cambio:</w:t>
      </w:r>
      <w:r w:rsidRPr="00602DF1">
        <w:rPr>
          <w:lang w:val="es-ES"/>
        </w:rPr>
        <w:br/>
      </w:r>
      <w:r w:rsidRPr="0016236B">
        <w:rPr>
          <w:b/>
          <w:bCs/>
          <w:lang w:val="es-ES"/>
        </w:rPr>
        <w:t>-</w:t>
      </w:r>
      <w:r w:rsidRPr="00602DF1">
        <w:rPr>
          <w:lang w:val="es-ES"/>
        </w:rPr>
        <w:t xml:space="preserve"> </w:t>
      </w:r>
      <w:r w:rsidRPr="0016236B">
        <w:rPr>
          <w:b/>
          <w:bCs/>
          <w:lang w:val="es-ES"/>
        </w:rPr>
        <w:t>Absorber el cambio sin ajuste:</w:t>
      </w:r>
      <w:r w:rsidRPr="00602DF1">
        <w:rPr>
          <w:lang w:val="es-ES"/>
        </w:rPr>
        <w:t xml:space="preserve"> implica asumir el costo internamente, afectando directamente el margen del proyecto.</w:t>
      </w:r>
      <w:r w:rsidRPr="00602DF1">
        <w:rPr>
          <w:lang w:val="es-ES"/>
        </w:rPr>
        <w:br/>
      </w:r>
      <w:r w:rsidRPr="0016236B">
        <w:rPr>
          <w:b/>
          <w:bCs/>
          <w:lang w:val="es-ES"/>
        </w:rPr>
        <w:t>- No implementar el cambio:</w:t>
      </w:r>
      <w:r w:rsidRPr="00602DF1">
        <w:rPr>
          <w:lang w:val="es-ES"/>
        </w:rPr>
        <w:t xml:space="preserve"> genera un incumplimiento regulatorio crítico, lo cual no es viable.</w:t>
      </w:r>
      <w:r w:rsidRPr="00602DF1">
        <w:rPr>
          <w:lang w:val="es-ES"/>
        </w:rPr>
        <w:br/>
      </w:r>
      <w:r w:rsidRPr="0016236B">
        <w:rPr>
          <w:b/>
          <w:bCs/>
          <w:lang w:val="es-ES"/>
        </w:rPr>
        <w:t xml:space="preserve">- Formalizar el Change </w:t>
      </w:r>
      <w:proofErr w:type="spellStart"/>
      <w:r w:rsidRPr="0016236B">
        <w:rPr>
          <w:b/>
          <w:bCs/>
          <w:lang w:val="es-ES"/>
        </w:rPr>
        <w:t>Request</w:t>
      </w:r>
      <w:proofErr w:type="spellEnd"/>
      <w:r w:rsidRPr="0016236B">
        <w:rPr>
          <w:b/>
          <w:bCs/>
          <w:lang w:val="es-ES"/>
        </w:rPr>
        <w:t>:</w:t>
      </w:r>
      <w:r w:rsidRPr="00602DF1">
        <w:rPr>
          <w:lang w:val="es-ES"/>
        </w:rPr>
        <w:t xml:space="preserve"> permite gestionar el cambio de manera estructurada, asegurando trazabilidad y negociación con el cliente.</w:t>
      </w:r>
      <w:r w:rsidRPr="00602DF1">
        <w:rPr>
          <w:lang w:val="es-ES"/>
        </w:rPr>
        <w:br/>
      </w:r>
      <w:r w:rsidRPr="00602DF1">
        <w:rPr>
          <w:lang w:val="es-ES"/>
        </w:rPr>
        <w:br/>
        <w:t>La evaluación concluye que la única alternativa viable es la formalización del cambio mediante CR.</w:t>
      </w:r>
    </w:p>
    <w:p w14:paraId="7B1F6B6A" w14:textId="77777777" w:rsidR="001C32E2" w:rsidRPr="00602DF1" w:rsidRDefault="00000000" w:rsidP="00602DF1">
      <w:pPr>
        <w:pStyle w:val="Ttulo2"/>
        <w:ind w:left="-567"/>
        <w:rPr>
          <w:lang w:val="es-ES"/>
        </w:rPr>
      </w:pPr>
      <w:r w:rsidRPr="00602DF1">
        <w:rPr>
          <w:lang w:val="es-ES"/>
        </w:rPr>
        <w:t>2.5 Recomendación</w:t>
      </w:r>
    </w:p>
    <w:p w14:paraId="7F68C288" w14:textId="77777777" w:rsidR="001C32E2" w:rsidRPr="00602DF1" w:rsidRDefault="00000000" w:rsidP="0016236B">
      <w:pPr>
        <w:ind w:left="-567"/>
        <w:jc w:val="both"/>
        <w:rPr>
          <w:lang w:val="es-ES"/>
        </w:rPr>
      </w:pPr>
      <w:r w:rsidRPr="00602DF1">
        <w:rPr>
          <w:lang w:val="es-ES"/>
        </w:rPr>
        <w:t xml:space="preserve">Se recomienda formalizar el Change </w:t>
      </w:r>
      <w:proofErr w:type="spellStart"/>
      <w:r w:rsidRPr="00602DF1">
        <w:rPr>
          <w:lang w:val="es-ES"/>
        </w:rPr>
        <w:t>Request</w:t>
      </w:r>
      <w:proofErr w:type="spellEnd"/>
      <w:r w:rsidRPr="00602DF1">
        <w:rPr>
          <w:lang w:val="es-ES"/>
        </w:rPr>
        <w:t>, actualizar la línea base del proyecto y negociar con el cliente el reconocimiento del costo y del impacto en cronograma. Esta acción permite mantener el equilibrio entre cumplimiento técnico y sostenibilidad financiera.</w:t>
      </w:r>
    </w:p>
    <w:p w14:paraId="70FBD383" w14:textId="77777777" w:rsidR="001C32E2" w:rsidRPr="00602DF1" w:rsidRDefault="00000000" w:rsidP="00602DF1">
      <w:pPr>
        <w:pStyle w:val="Ttulo2"/>
        <w:ind w:left="-567"/>
        <w:rPr>
          <w:lang w:val="es-ES"/>
        </w:rPr>
      </w:pPr>
      <w:r w:rsidRPr="00602DF1">
        <w:rPr>
          <w:lang w:val="es-ES"/>
        </w:rPr>
        <w:t>2.6 Nivel de Aprobación</w:t>
      </w:r>
    </w:p>
    <w:p w14:paraId="07EE4F64" w14:textId="77777777" w:rsidR="001C32E2" w:rsidRPr="00602DF1" w:rsidRDefault="00000000" w:rsidP="00602DF1">
      <w:pPr>
        <w:ind w:left="-567"/>
        <w:rPr>
          <w:lang w:val="es-ES"/>
        </w:rPr>
      </w:pPr>
      <w:r w:rsidRPr="00602DF1">
        <w:rPr>
          <w:lang w:val="es-ES"/>
        </w:rPr>
        <w:t>Sponsor del cliente, PMO y área financiera.</w:t>
      </w:r>
    </w:p>
    <w:p w14:paraId="5C685A1C" w14:textId="77777777" w:rsidR="001C32E2" w:rsidRPr="00602DF1" w:rsidRDefault="00000000" w:rsidP="00602DF1">
      <w:pPr>
        <w:pStyle w:val="Ttulo1"/>
        <w:ind w:left="-567"/>
        <w:rPr>
          <w:lang w:val="es-ES"/>
        </w:rPr>
      </w:pPr>
      <w:r w:rsidRPr="00602DF1">
        <w:rPr>
          <w:lang w:val="es-ES"/>
        </w:rPr>
        <w:t>3. CR-02: Indisponibilidad de Recurso Crítico</w:t>
      </w:r>
    </w:p>
    <w:p w14:paraId="2A55D983" w14:textId="77777777" w:rsidR="001C32E2" w:rsidRPr="00602DF1" w:rsidRDefault="00000000" w:rsidP="00602DF1">
      <w:pPr>
        <w:pStyle w:val="Ttulo2"/>
        <w:ind w:left="-567"/>
        <w:rPr>
          <w:lang w:val="es-ES"/>
        </w:rPr>
      </w:pPr>
      <w:r w:rsidRPr="00602DF1">
        <w:rPr>
          <w:lang w:val="es-ES"/>
        </w:rPr>
        <w:t>3.1 Descripción Detallada</w:t>
      </w:r>
    </w:p>
    <w:p w14:paraId="3A863B4D" w14:textId="77777777" w:rsidR="001C32E2" w:rsidRPr="00602DF1" w:rsidRDefault="00000000" w:rsidP="0016236B">
      <w:pPr>
        <w:ind w:left="-567"/>
        <w:jc w:val="both"/>
        <w:rPr>
          <w:lang w:val="es-ES"/>
        </w:rPr>
      </w:pPr>
      <w:r w:rsidRPr="00602DF1">
        <w:rPr>
          <w:lang w:val="es-ES"/>
        </w:rPr>
        <w:t>El especialista Cloud AWS, encargado de actividades críticas del proyecto, estará indisponible durante 15 días calendario debido a un evento imprevisto. Este recurso es clave para la ejecución de tareas como configuración de infraestructura, despliegue de servicios y pruebas de resiliencia.</w:t>
      </w:r>
    </w:p>
    <w:p w14:paraId="4A9DC21A" w14:textId="77777777" w:rsidR="001C32E2" w:rsidRPr="00602DF1" w:rsidRDefault="00000000" w:rsidP="00602DF1">
      <w:pPr>
        <w:pStyle w:val="Ttulo2"/>
        <w:ind w:left="-567"/>
        <w:rPr>
          <w:lang w:val="es-ES"/>
        </w:rPr>
      </w:pPr>
      <w:r w:rsidRPr="00602DF1">
        <w:rPr>
          <w:lang w:val="es-ES"/>
        </w:rPr>
        <w:t>3.2 Justificación</w:t>
      </w:r>
    </w:p>
    <w:p w14:paraId="212C4414" w14:textId="77777777" w:rsidR="001C32E2" w:rsidRPr="00602DF1" w:rsidRDefault="00000000" w:rsidP="0016236B">
      <w:pPr>
        <w:ind w:left="-567"/>
        <w:jc w:val="both"/>
        <w:rPr>
          <w:lang w:val="es-ES"/>
        </w:rPr>
      </w:pPr>
      <w:r w:rsidRPr="00602DF1">
        <w:rPr>
          <w:lang w:val="es-ES"/>
        </w:rPr>
        <w:t>La ausencia de este recurso afecta directamente la continuidad de las actividades en la ruta crítica del proyecto. Dado que no existe un reemplazo interno inmediato, el impacto en el cronograma es significativo y requiere una respuesta estructurada.</w:t>
      </w:r>
    </w:p>
    <w:p w14:paraId="3A3C6492" w14:textId="77777777" w:rsidR="001C32E2" w:rsidRPr="00602DF1" w:rsidRDefault="00000000" w:rsidP="00602DF1">
      <w:pPr>
        <w:pStyle w:val="Ttulo2"/>
        <w:ind w:left="-567"/>
        <w:rPr>
          <w:lang w:val="es-ES"/>
        </w:rPr>
      </w:pPr>
      <w:r w:rsidRPr="00602DF1">
        <w:rPr>
          <w:lang w:val="es-ES"/>
        </w:rPr>
        <w:t>3.3 Impacto Detallado</w:t>
      </w:r>
    </w:p>
    <w:p w14:paraId="39EAFC72" w14:textId="77777777" w:rsidR="001C32E2" w:rsidRPr="00602DF1" w:rsidRDefault="00000000" w:rsidP="00602DF1">
      <w:pPr>
        <w:ind w:left="-567"/>
        <w:rPr>
          <w:lang w:val="es-ES"/>
        </w:rPr>
      </w:pPr>
      <w:r w:rsidRPr="0016236B">
        <w:rPr>
          <w:b/>
          <w:bCs/>
          <w:lang w:val="es-ES"/>
        </w:rPr>
        <w:t>Costo:</w:t>
      </w:r>
      <w:r w:rsidRPr="00602DF1">
        <w:rPr>
          <w:lang w:val="es-ES"/>
        </w:rPr>
        <w:t xml:space="preserve"> No cuantificado debido a la falta de información sobre la tarifa base del recurso.</w:t>
      </w:r>
      <w:r w:rsidRPr="00602DF1">
        <w:rPr>
          <w:lang w:val="es-ES"/>
        </w:rPr>
        <w:br/>
      </w:r>
      <w:r w:rsidRPr="0016236B">
        <w:rPr>
          <w:b/>
          <w:bCs/>
          <w:lang w:val="es-ES"/>
        </w:rPr>
        <w:t>Cronograma:</w:t>
      </w:r>
      <w:r w:rsidRPr="00602DF1">
        <w:rPr>
          <w:lang w:val="es-ES"/>
        </w:rPr>
        <w:t xml:space="preserve"> Alto riesgo de retraso en actividades críticas.</w:t>
      </w:r>
      <w:r w:rsidRPr="00602DF1">
        <w:rPr>
          <w:lang w:val="es-ES"/>
        </w:rPr>
        <w:br/>
      </w:r>
      <w:r w:rsidRPr="0016236B">
        <w:rPr>
          <w:b/>
          <w:bCs/>
          <w:lang w:val="es-ES"/>
        </w:rPr>
        <w:t>Alcance:</w:t>
      </w:r>
      <w:r w:rsidRPr="00602DF1">
        <w:rPr>
          <w:lang w:val="es-ES"/>
        </w:rPr>
        <w:t xml:space="preserve"> No presenta impacto directo.</w:t>
      </w:r>
      <w:r w:rsidRPr="00602DF1">
        <w:rPr>
          <w:lang w:val="es-ES"/>
        </w:rPr>
        <w:br/>
      </w:r>
      <w:r w:rsidRPr="0016236B">
        <w:rPr>
          <w:b/>
          <w:bCs/>
          <w:lang w:val="es-ES"/>
        </w:rPr>
        <w:t xml:space="preserve">Riesgos: </w:t>
      </w:r>
      <w:r w:rsidRPr="00602DF1">
        <w:rPr>
          <w:lang w:val="es-ES"/>
        </w:rPr>
        <w:t>Incremento en el riesgo de incumplimiento contractual y penalidades.</w:t>
      </w:r>
    </w:p>
    <w:p w14:paraId="06E37F3A" w14:textId="77777777" w:rsidR="001C32E2" w:rsidRPr="00602DF1" w:rsidRDefault="00000000" w:rsidP="00602DF1">
      <w:pPr>
        <w:pStyle w:val="Ttulo2"/>
        <w:ind w:left="-567"/>
        <w:rPr>
          <w:lang w:val="es-ES"/>
        </w:rPr>
      </w:pPr>
      <w:r w:rsidRPr="00602DF1">
        <w:rPr>
          <w:lang w:val="es-ES"/>
        </w:rPr>
        <w:lastRenderedPageBreak/>
        <w:t>3.4 Análisis de Alternativas</w:t>
      </w:r>
    </w:p>
    <w:p w14:paraId="6094976E" w14:textId="77777777" w:rsidR="001C32E2" w:rsidRPr="00602DF1" w:rsidRDefault="00000000" w:rsidP="00602DF1">
      <w:pPr>
        <w:ind w:left="-567"/>
        <w:rPr>
          <w:lang w:val="es-ES"/>
        </w:rPr>
      </w:pPr>
      <w:r w:rsidRPr="0016236B">
        <w:rPr>
          <w:b/>
          <w:bCs/>
          <w:lang w:val="es-ES"/>
        </w:rPr>
        <w:t>- Esperar al recurso:</w:t>
      </w:r>
      <w:r w:rsidRPr="00602DF1">
        <w:rPr>
          <w:lang w:val="es-ES"/>
        </w:rPr>
        <w:t xml:space="preserve"> genera retraso significativo.</w:t>
      </w:r>
      <w:r w:rsidRPr="00602DF1">
        <w:rPr>
          <w:lang w:val="es-ES"/>
        </w:rPr>
        <w:br/>
      </w:r>
      <w:r w:rsidRPr="0016236B">
        <w:rPr>
          <w:b/>
          <w:bCs/>
          <w:lang w:val="es-ES"/>
        </w:rPr>
        <w:t>- Contratar recurso externo:</w:t>
      </w:r>
      <w:r w:rsidRPr="00602DF1">
        <w:rPr>
          <w:lang w:val="es-ES"/>
        </w:rPr>
        <w:t xml:space="preserve"> implica incremento de costo del 40%.</w:t>
      </w:r>
      <w:r w:rsidRPr="00602DF1">
        <w:rPr>
          <w:lang w:val="es-ES"/>
        </w:rPr>
        <w:br/>
      </w:r>
      <w:r w:rsidRPr="0016236B">
        <w:rPr>
          <w:b/>
          <w:bCs/>
          <w:lang w:val="es-ES"/>
        </w:rPr>
        <w:t>- Replanificar cronograma:</w:t>
      </w:r>
      <w:r w:rsidRPr="00602DF1">
        <w:rPr>
          <w:lang w:val="es-ES"/>
        </w:rPr>
        <w:t xml:space="preserve"> permite redistribuir actividades y mitigar impacto.</w:t>
      </w:r>
      <w:r w:rsidRPr="00602DF1">
        <w:rPr>
          <w:lang w:val="es-ES"/>
        </w:rPr>
        <w:br/>
      </w:r>
      <w:r w:rsidRPr="00602DF1">
        <w:rPr>
          <w:lang w:val="es-ES"/>
        </w:rPr>
        <w:br/>
        <w:t>Se recomienda evaluar una combinación de replanificación y contratación externa.</w:t>
      </w:r>
    </w:p>
    <w:p w14:paraId="3F823C1D" w14:textId="77777777" w:rsidR="001C32E2" w:rsidRPr="00602DF1" w:rsidRDefault="00000000" w:rsidP="00602DF1">
      <w:pPr>
        <w:pStyle w:val="Ttulo2"/>
        <w:ind w:left="-567"/>
        <w:rPr>
          <w:lang w:val="es-ES"/>
        </w:rPr>
      </w:pPr>
      <w:r w:rsidRPr="00602DF1">
        <w:rPr>
          <w:lang w:val="es-ES"/>
        </w:rPr>
        <w:t>3.5 Recomendación</w:t>
      </w:r>
    </w:p>
    <w:p w14:paraId="0249069F" w14:textId="77777777" w:rsidR="001C32E2" w:rsidRPr="00602DF1" w:rsidRDefault="00000000" w:rsidP="00602DF1">
      <w:pPr>
        <w:ind w:left="-567"/>
        <w:rPr>
          <w:lang w:val="es-ES"/>
        </w:rPr>
      </w:pPr>
      <w:r w:rsidRPr="00602DF1">
        <w:rPr>
          <w:lang w:val="es-ES"/>
        </w:rPr>
        <w:t>Se recomienda replanificar el cronograma, priorizar tareas críticas y evaluar la contratación de un recurso externo bajo aprobación formal, con el fin de mitigar el impacto en el cronograma.</w:t>
      </w:r>
    </w:p>
    <w:p w14:paraId="468FAC52" w14:textId="77777777" w:rsidR="001C32E2" w:rsidRPr="00602DF1" w:rsidRDefault="00000000" w:rsidP="00602DF1">
      <w:pPr>
        <w:pStyle w:val="Ttulo2"/>
        <w:ind w:left="-567"/>
        <w:rPr>
          <w:lang w:val="es-ES"/>
        </w:rPr>
      </w:pPr>
      <w:r w:rsidRPr="00602DF1">
        <w:rPr>
          <w:lang w:val="es-ES"/>
        </w:rPr>
        <w:t>3.6 Nivel de Aprobación</w:t>
      </w:r>
    </w:p>
    <w:p w14:paraId="10D2A63A" w14:textId="77777777" w:rsidR="001C32E2" w:rsidRPr="00602DF1" w:rsidRDefault="00000000" w:rsidP="00602DF1">
      <w:pPr>
        <w:ind w:left="-567"/>
        <w:rPr>
          <w:lang w:val="es-ES"/>
        </w:rPr>
      </w:pPr>
      <w:r w:rsidRPr="00602DF1">
        <w:rPr>
          <w:lang w:val="es-ES"/>
        </w:rPr>
        <w:t>PMO, Sponsor y área financiera.</w:t>
      </w:r>
    </w:p>
    <w:p w14:paraId="34D39DF6" w14:textId="087F4AFC" w:rsidR="001C32E2" w:rsidRPr="00602DF1" w:rsidRDefault="001C32E2" w:rsidP="00602DF1">
      <w:pPr>
        <w:ind w:left="-567"/>
        <w:rPr>
          <w:lang w:val="es-ES"/>
        </w:rPr>
      </w:pPr>
    </w:p>
    <w:sectPr w:rsidR="001C32E2" w:rsidRPr="00602DF1" w:rsidSect="00602DF1">
      <w:pgSz w:w="12240" w:h="15840"/>
      <w:pgMar w:top="1440" w:right="9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2658104">
    <w:abstractNumId w:val="8"/>
  </w:num>
  <w:num w:numId="2" w16cid:durableId="1750157104">
    <w:abstractNumId w:val="6"/>
  </w:num>
  <w:num w:numId="3" w16cid:durableId="2015300941">
    <w:abstractNumId w:val="5"/>
  </w:num>
  <w:num w:numId="4" w16cid:durableId="1432434470">
    <w:abstractNumId w:val="4"/>
  </w:num>
  <w:num w:numId="5" w16cid:durableId="27341138">
    <w:abstractNumId w:val="7"/>
  </w:num>
  <w:num w:numId="6" w16cid:durableId="1051156532">
    <w:abstractNumId w:val="3"/>
  </w:num>
  <w:num w:numId="7" w16cid:durableId="299387644">
    <w:abstractNumId w:val="2"/>
  </w:num>
  <w:num w:numId="8" w16cid:durableId="1006665553">
    <w:abstractNumId w:val="1"/>
  </w:num>
  <w:num w:numId="9" w16cid:durableId="9508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36B"/>
    <w:rsid w:val="001C32E2"/>
    <w:rsid w:val="0029639D"/>
    <w:rsid w:val="00326F90"/>
    <w:rsid w:val="00502AA3"/>
    <w:rsid w:val="00602DF1"/>
    <w:rsid w:val="00AA1D8D"/>
    <w:rsid w:val="00B47730"/>
    <w:rsid w:val="00BA56BB"/>
    <w:rsid w:val="00CB0664"/>
    <w:rsid w:val="00ED3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B3F1A"/>
  <w14:defaultImageDpi w14:val="300"/>
  <w15:docId w15:val="{4B8C308F-816A-492F-B7AD-A76C2932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Pages>
  <Words>807</Words>
  <Characters>4443</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Wilder Andrés Alcántara Díaz</cp:lastModifiedBy>
  <cp:revision>3</cp:revision>
  <dcterms:created xsi:type="dcterms:W3CDTF">2026-05-03T14:53:00Z</dcterms:created>
  <dcterms:modified xsi:type="dcterms:W3CDTF">2026-05-03T19:56:00Z</dcterms:modified>
  <cp:category/>
</cp:coreProperties>
</file>