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32"/>
          <w:szCs w:val="32"/>
          <w:rtl w:val="0"/>
        </w:rPr>
        <w:t xml:space="preserve">TAXONOMÍA COMPORTAMENTAL DEL MERCADO P2P USDT/BOB DE BINANCE:</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b w:val="1"/>
          <w:bCs w:val="1"/>
          <w:sz w:val="32"/>
          <w:szCs w:val="32"/>
          <w:rtl w:val="0"/>
        </w:rPr>
        <w:t xml:space="preserve">Segmentación de Agentes mediante Machine Learning</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1"/>
        <w:jc w:val="both"/>
        <w:rPr>
          <w:color w:val="000000"/>
          <w:sz w:val="24"/>
          <w:szCs w:val="24"/>
        </w:rPr>
      </w:pPr>
      <w:r w:rsidDel="00000000" w:rsidR="00000000" w:rsidRPr="00000000">
        <w:rPr>
          <w:color w:val="000000"/>
          <w:sz w:val="24"/>
          <w:szCs w:val="24"/>
          <w:rtl w:val="0"/>
        </w:rPr>
        <w:t xml:space="preserve">RESUMEN </w:t>
      </w:r>
    </w:p>
    <w:p w:rsidR="00000000" w:rsidDel="00000000" w:rsidP="00000000" w:rsidRDefault="00000000" w:rsidRPr="00000000" w14:paraId="00000005">
      <w:pPr>
        <w:spacing w:after="200" w:lineRule="auto"/>
        <w:jc w:val="both"/>
        <w:rPr/>
      </w:pPr>
      <w:r w:rsidDel="00000000" w:rsidR="00000000" w:rsidRPr="00000000">
        <w:rPr>
          <w:rtl w:val="0"/>
        </w:rPr>
        <w:t xml:space="preserve">Esta investigación desarrolla la primera taxonomía empírica de agentes del mercado P2P de criptomonedas USDT/BOB en Bolivia, utilizando técnicas de Machine Learning para clasificar el comportamiento de 3,262 traders a partir de 641,541 transacciones que totalizan 665.7 millones de USDT durante el período septiembre 2024 - diciembre 2025.</w:t>
      </w:r>
    </w:p>
    <w:p w:rsidR="00000000" w:rsidDel="00000000" w:rsidP="00000000" w:rsidRDefault="00000000" w:rsidRPr="00000000" w14:paraId="00000006">
      <w:pPr>
        <w:spacing w:after="200" w:lineRule="auto"/>
        <w:jc w:val="both"/>
        <w:rPr/>
      </w:pPr>
      <w:r w:rsidDel="00000000" w:rsidR="00000000" w:rsidRPr="00000000">
        <w:rPr>
          <w:rtl w:val="0"/>
        </w:rPr>
        <w:t xml:space="preserve">Mediante clustering K-Means estratificado por segmento Binance, se identificaron cinco tipos distintivos de agentes: Profesionales Dominantes (P3), Market Makers Mass (M2), Usuarios Retail (M1), Profesionales Medianos (P2) y Profesionales Mínimos (P1). El hallazgo principal revela una concentración extrema del mercado: apenas 139 traders (4.3%) controlan el 85.4% del volumen total.</w:t>
      </w:r>
    </w:p>
    <w:p w:rsidR="00000000" w:rsidDel="00000000" w:rsidP="00000000" w:rsidRDefault="00000000" w:rsidRPr="00000000" w14:paraId="00000007">
      <w:pPr>
        <w:spacing w:after="200" w:lineRule="auto"/>
        <w:jc w:val="both"/>
        <w:rPr/>
      </w:pPr>
      <w:r w:rsidDel="00000000" w:rsidR="00000000" w:rsidRPr="00000000">
        <w:rPr>
          <w:rtl w:val="0"/>
        </w:rPr>
        <w:t xml:space="preserve">La validación temporal mediante análisis de efectos calendario confirma que todos los tipos de agentes reducen su actividad en fines de semana de forma similar (-33.4%), sugiriendo un vínculo sistemático con la economía formal boliviana. Los resultados tienen implicaciones significativas para la regulación del mercado cripto en contextos de controles cambiarios.</w:t>
      </w:r>
    </w:p>
    <w:p w:rsidR="00000000" w:rsidDel="00000000" w:rsidP="00000000" w:rsidRDefault="00000000" w:rsidRPr="00000000" w14:paraId="0000000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both"/>
        <w:rPr>
          <w:color w:val="000000"/>
          <w:sz w:val="24"/>
          <w:szCs w:val="24"/>
        </w:rPr>
      </w:pPr>
      <w:r w:rsidDel="00000000" w:rsidR="00000000" w:rsidRPr="00000000">
        <w:rPr>
          <w:color w:val="000000"/>
          <w:sz w:val="24"/>
          <w:szCs w:val="24"/>
          <w:rtl w:val="0"/>
        </w:rPr>
        <w:t xml:space="preserve">ÍNDICE DE CONTENIDO</w:t>
      </w:r>
    </w:p>
    <w:p w:rsidR="00000000" w:rsidDel="00000000" w:rsidP="00000000" w:rsidRDefault="00000000" w:rsidRPr="00000000" w14:paraId="0000000A">
      <w:pPr>
        <w:spacing w:after="200" w:lineRule="auto"/>
        <w:jc w:val="both"/>
        <w:rPr/>
      </w:pPr>
      <w:r w:rsidDel="00000000" w:rsidR="00000000" w:rsidRPr="00000000">
        <w:rPr>
          <w:rtl w:val="0"/>
        </w:rPr>
        <w:t xml:space="preserve">CAPÍTULO 1. INTRODUCCIÓN </w:t>
      </w:r>
    </w:p>
    <w:p w:rsidR="00000000" w:rsidDel="00000000" w:rsidP="00000000" w:rsidRDefault="00000000" w:rsidRPr="00000000" w14:paraId="0000000B">
      <w:pPr>
        <w:jc w:val="both"/>
        <w:rPr/>
      </w:pPr>
      <w:r w:rsidDel="00000000" w:rsidR="00000000" w:rsidRPr="00000000">
        <w:rPr>
          <w:rtl w:val="0"/>
        </w:rPr>
        <w:t xml:space="preserve">   1.1. Contexto y Problema de Investigación </w:t>
      </w:r>
    </w:p>
    <w:p w:rsidR="00000000" w:rsidDel="00000000" w:rsidP="00000000" w:rsidRDefault="00000000" w:rsidRPr="00000000" w14:paraId="0000000C">
      <w:pPr>
        <w:jc w:val="both"/>
        <w:rPr/>
      </w:pPr>
      <w:r w:rsidDel="00000000" w:rsidR="00000000" w:rsidRPr="00000000">
        <w:rPr>
          <w:rtl w:val="0"/>
        </w:rPr>
        <w:t xml:space="preserve">   1.2. Objetivos </w:t>
      </w:r>
    </w:p>
    <w:p w:rsidR="00000000" w:rsidDel="00000000" w:rsidP="00000000" w:rsidRDefault="00000000" w:rsidRPr="00000000" w14:paraId="0000000D">
      <w:pPr>
        <w:jc w:val="both"/>
        <w:rPr/>
      </w:pPr>
      <w:r w:rsidDel="00000000" w:rsidR="00000000" w:rsidRPr="00000000">
        <w:rPr>
          <w:rtl w:val="0"/>
        </w:rPr>
        <w:t xml:space="preserve">   1.3. Justificación </w:t>
      </w:r>
    </w:p>
    <w:p w:rsidR="00000000" w:rsidDel="00000000" w:rsidP="00000000" w:rsidRDefault="00000000" w:rsidRPr="00000000" w14:paraId="0000000E">
      <w:pPr>
        <w:jc w:val="both"/>
        <w:rPr/>
      </w:pPr>
      <w:r w:rsidDel="00000000" w:rsidR="00000000" w:rsidRPr="00000000">
        <w:rPr>
          <w:rtl w:val="0"/>
        </w:rPr>
        <w:t xml:space="preserve">   1.4. Alcance y Limitaciones </w:t>
      </w:r>
    </w:p>
    <w:p w:rsidR="00000000" w:rsidDel="00000000" w:rsidP="00000000" w:rsidRDefault="00000000" w:rsidRPr="00000000" w14:paraId="0000000F">
      <w:pPr>
        <w:spacing w:after="200" w:lineRule="auto"/>
        <w:jc w:val="both"/>
        <w:rPr/>
      </w:pPr>
      <w:r w:rsidDel="00000000" w:rsidR="00000000" w:rsidRPr="00000000">
        <w:rPr>
          <w:rtl w:val="0"/>
        </w:rPr>
        <w:t xml:space="preserve">CAPÍTULO 2. MARCO TEÓRICO </w:t>
      </w:r>
    </w:p>
    <w:p w:rsidR="00000000" w:rsidDel="00000000" w:rsidP="00000000" w:rsidRDefault="00000000" w:rsidRPr="00000000" w14:paraId="00000010">
      <w:pPr>
        <w:jc w:val="both"/>
        <w:rPr/>
      </w:pPr>
      <w:r w:rsidDel="00000000" w:rsidR="00000000" w:rsidRPr="00000000">
        <w:rPr>
          <w:rtl w:val="0"/>
        </w:rPr>
        <w:t xml:space="preserve">   2.1. Microestructura de Mercados </w:t>
      </w:r>
    </w:p>
    <w:p w:rsidR="00000000" w:rsidDel="00000000" w:rsidP="00000000" w:rsidRDefault="00000000" w:rsidRPr="00000000" w14:paraId="00000011">
      <w:pPr>
        <w:jc w:val="both"/>
        <w:rPr/>
      </w:pPr>
      <w:r w:rsidDel="00000000" w:rsidR="00000000" w:rsidRPr="00000000">
        <w:rPr>
          <w:rtl w:val="0"/>
        </w:rPr>
        <w:t xml:space="preserve">   2.2. Mercados P2P de Criptomonedas </w:t>
      </w:r>
    </w:p>
    <w:p w:rsidR="00000000" w:rsidDel="00000000" w:rsidP="00000000" w:rsidRDefault="00000000" w:rsidRPr="00000000" w14:paraId="00000012">
      <w:pPr>
        <w:jc w:val="both"/>
        <w:rPr/>
      </w:pPr>
      <w:r w:rsidDel="00000000" w:rsidR="00000000" w:rsidRPr="00000000">
        <w:rPr>
          <w:rtl w:val="0"/>
        </w:rPr>
        <w:t xml:space="preserve">   2.3. Taxonomía de Agentes de Mercado </w:t>
      </w:r>
    </w:p>
    <w:p w:rsidR="00000000" w:rsidDel="00000000" w:rsidP="00000000" w:rsidRDefault="00000000" w:rsidRPr="00000000" w14:paraId="00000013">
      <w:pPr>
        <w:jc w:val="both"/>
        <w:rPr/>
      </w:pPr>
      <w:r w:rsidDel="00000000" w:rsidR="00000000" w:rsidRPr="00000000">
        <w:rPr>
          <w:rtl w:val="0"/>
        </w:rPr>
        <w:t xml:space="preserve">   2.4. Controles Cambiarios y Mercados Paralelos </w:t>
      </w:r>
    </w:p>
    <w:p w:rsidR="00000000" w:rsidDel="00000000" w:rsidP="00000000" w:rsidRDefault="00000000" w:rsidRPr="00000000" w14:paraId="00000014">
      <w:pPr>
        <w:jc w:val="both"/>
        <w:rPr/>
      </w:pPr>
      <w:r w:rsidDel="00000000" w:rsidR="00000000" w:rsidRPr="00000000">
        <w:rPr>
          <w:rtl w:val="0"/>
        </w:rPr>
        <w:t xml:space="preserve">   2.5. Machine Learning en Finanzas </w:t>
      </w:r>
    </w:p>
    <w:p w:rsidR="00000000" w:rsidDel="00000000" w:rsidP="00000000" w:rsidRDefault="00000000" w:rsidRPr="00000000" w14:paraId="00000015">
      <w:pPr>
        <w:spacing w:after="200" w:lineRule="auto"/>
        <w:jc w:val="both"/>
        <w:rPr/>
      </w:pPr>
      <w:r w:rsidDel="00000000" w:rsidR="00000000" w:rsidRPr="00000000">
        <w:rPr>
          <w:rtl w:val="0"/>
        </w:rPr>
        <w:t xml:space="preserve">CAPÍTULO 3. METODOLOGÍA </w:t>
      </w:r>
    </w:p>
    <w:p w:rsidR="00000000" w:rsidDel="00000000" w:rsidP="00000000" w:rsidRDefault="00000000" w:rsidRPr="00000000" w14:paraId="00000016">
      <w:pPr>
        <w:jc w:val="both"/>
        <w:rPr/>
      </w:pPr>
      <w:r w:rsidDel="00000000" w:rsidR="00000000" w:rsidRPr="00000000">
        <w:rPr>
          <w:rtl w:val="0"/>
        </w:rPr>
        <w:t xml:space="preserve">   3.1. Datos y Fuentes </w:t>
      </w:r>
    </w:p>
    <w:p w:rsidR="00000000" w:rsidDel="00000000" w:rsidP="00000000" w:rsidRDefault="00000000" w:rsidRPr="00000000" w14:paraId="00000017">
      <w:pPr>
        <w:jc w:val="both"/>
        <w:rPr/>
      </w:pPr>
      <w:r w:rsidDel="00000000" w:rsidR="00000000" w:rsidRPr="00000000">
        <w:rPr>
          <w:rtl w:val="0"/>
        </w:rPr>
        <w:t xml:space="preserve">   3.2. Detección de Transacciones </w:t>
      </w:r>
    </w:p>
    <w:p w:rsidR="00000000" w:rsidDel="00000000" w:rsidP="00000000" w:rsidRDefault="00000000" w:rsidRPr="00000000" w14:paraId="00000018">
      <w:pPr>
        <w:jc w:val="both"/>
        <w:rPr/>
      </w:pPr>
      <w:r w:rsidDel="00000000" w:rsidR="00000000" w:rsidRPr="00000000">
        <w:rPr>
          <w:rtl w:val="0"/>
        </w:rPr>
        <w:t xml:space="preserve">   3.3. Ingeniería de Features </w:t>
      </w:r>
    </w:p>
    <w:p w:rsidR="00000000" w:rsidDel="00000000" w:rsidP="00000000" w:rsidRDefault="00000000" w:rsidRPr="00000000" w14:paraId="00000019">
      <w:pPr>
        <w:jc w:val="both"/>
        <w:rPr/>
      </w:pPr>
      <w:r w:rsidDel="00000000" w:rsidR="00000000" w:rsidRPr="00000000">
        <w:rPr>
          <w:rtl w:val="0"/>
        </w:rPr>
        <w:t xml:space="preserve">   3.4. Clustering K-Means Estratificado </w:t>
      </w:r>
    </w:p>
    <w:p w:rsidR="00000000" w:rsidDel="00000000" w:rsidP="00000000" w:rsidRDefault="00000000" w:rsidRPr="00000000" w14:paraId="0000001A">
      <w:pPr>
        <w:jc w:val="both"/>
        <w:rPr/>
      </w:pPr>
      <w:r w:rsidDel="00000000" w:rsidR="00000000" w:rsidRPr="00000000">
        <w:rPr>
          <w:rtl w:val="0"/>
        </w:rPr>
        <w:t xml:space="preserve">   3.5. Validación del Modelo </w:t>
      </w:r>
    </w:p>
    <w:p w:rsidR="00000000" w:rsidDel="00000000" w:rsidP="00000000" w:rsidRDefault="00000000" w:rsidRPr="00000000" w14:paraId="0000001B">
      <w:pPr>
        <w:spacing w:after="200" w:lineRule="auto"/>
        <w:jc w:val="both"/>
        <w:rPr/>
      </w:pPr>
      <w:r w:rsidDel="00000000" w:rsidR="00000000" w:rsidRPr="00000000">
        <w:rPr>
          <w:b w:val="1"/>
          <w:bCs w:val="1"/>
          <w:rtl w:val="0"/>
        </w:rPr>
        <w:t xml:space="preserve">CAPÍTULO 4. RESULTADOS: TAXONOMÍA DE AGENTES </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   4.1. Caracterización General del Mercado </w:t>
      </w:r>
    </w:p>
    <w:p w:rsidR="00000000" w:rsidDel="00000000" w:rsidP="00000000" w:rsidRDefault="00000000" w:rsidRPr="00000000" w14:paraId="0000001D">
      <w:pPr>
        <w:jc w:val="both"/>
        <w:rPr/>
      </w:pPr>
      <w:r w:rsidDel="00000000" w:rsidR="00000000" w:rsidRPr="00000000">
        <w:rPr>
          <w:rtl w:val="0"/>
        </w:rPr>
        <w:t xml:space="preserve">   4.2. Taxonomía: Cinco Tipos de Agentes </w:t>
      </w:r>
    </w:p>
    <w:p w:rsidR="00000000" w:rsidDel="00000000" w:rsidP="00000000" w:rsidRDefault="00000000" w:rsidRPr="00000000" w14:paraId="0000001E">
      <w:pPr>
        <w:jc w:val="both"/>
        <w:rPr/>
      </w:pPr>
      <w:r w:rsidDel="00000000" w:rsidR="00000000" w:rsidRPr="00000000">
        <w:rPr>
          <w:rtl w:val="0"/>
        </w:rPr>
        <w:t xml:space="preserve">   4.3. Concentración de Mercado </w:t>
      </w:r>
    </w:p>
    <w:p w:rsidR="00000000" w:rsidDel="00000000" w:rsidP="00000000" w:rsidRDefault="00000000" w:rsidRPr="00000000" w14:paraId="0000001F">
      <w:pPr>
        <w:jc w:val="both"/>
        <w:rPr/>
      </w:pPr>
      <w:r w:rsidDel="00000000" w:rsidR="00000000" w:rsidRPr="00000000">
        <w:rPr>
          <w:rtl w:val="0"/>
        </w:rPr>
        <w:t xml:space="preserve">   4.4. Perfiles Comportamentales </w:t>
      </w:r>
    </w:p>
    <w:p w:rsidR="00000000" w:rsidDel="00000000" w:rsidP="00000000" w:rsidRDefault="00000000" w:rsidRPr="00000000" w14:paraId="00000020">
      <w:pPr>
        <w:spacing w:after="200" w:lineRule="auto"/>
        <w:jc w:val="both"/>
        <w:rPr/>
      </w:pPr>
      <w:r w:rsidDel="00000000" w:rsidR="00000000" w:rsidRPr="00000000">
        <w:rPr>
          <w:b w:val="1"/>
          <w:bCs w:val="1"/>
          <w:rtl w:val="0"/>
        </w:rPr>
        <w:t xml:space="preserve">CAPÍTULO 5. VALIDACIÓN: PATRONES TEMPORALES </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   5.1. Efecto Fin de Semana </w:t>
      </w:r>
    </w:p>
    <w:p w:rsidR="00000000" w:rsidDel="00000000" w:rsidP="00000000" w:rsidRDefault="00000000" w:rsidRPr="00000000" w14:paraId="00000022">
      <w:pPr>
        <w:jc w:val="both"/>
        <w:rPr/>
      </w:pPr>
      <w:r w:rsidDel="00000000" w:rsidR="00000000" w:rsidRPr="00000000">
        <w:rPr>
          <w:rtl w:val="0"/>
        </w:rPr>
        <w:t xml:space="preserve">   5.2. Robustez del Efecto </w:t>
      </w:r>
    </w:p>
    <w:p w:rsidR="00000000" w:rsidDel="00000000" w:rsidP="00000000" w:rsidRDefault="00000000" w:rsidRPr="00000000" w14:paraId="00000023">
      <w:pPr>
        <w:jc w:val="both"/>
        <w:rPr/>
      </w:pPr>
      <w:r w:rsidDel="00000000" w:rsidR="00000000" w:rsidRPr="00000000">
        <w:rPr>
          <w:rtl w:val="0"/>
        </w:rPr>
        <w:t xml:space="preserve">   5.3. Heterogeneidad por Tipo de Agente </w:t>
      </w:r>
    </w:p>
    <w:p w:rsidR="00000000" w:rsidDel="00000000" w:rsidP="00000000" w:rsidRDefault="00000000" w:rsidRPr="00000000" w14:paraId="00000024">
      <w:pPr>
        <w:spacing w:after="200" w:lineRule="auto"/>
        <w:jc w:val="both"/>
        <w:rPr/>
      </w:pPr>
      <w:r w:rsidDel="00000000" w:rsidR="00000000" w:rsidRPr="00000000">
        <w:rPr>
          <w:rtl w:val="0"/>
        </w:rPr>
        <w:t xml:space="preserve">CAPÍTULO 6. DISCUSIÓN </w:t>
      </w:r>
    </w:p>
    <w:p w:rsidR="00000000" w:rsidDel="00000000" w:rsidP="00000000" w:rsidRDefault="00000000" w:rsidRPr="00000000" w14:paraId="00000025">
      <w:pPr>
        <w:jc w:val="both"/>
        <w:rPr/>
      </w:pPr>
      <w:r w:rsidDel="00000000" w:rsidR="00000000" w:rsidRPr="00000000">
        <w:rPr>
          <w:rtl w:val="0"/>
        </w:rPr>
        <w:t xml:space="preserve">   6.1. Interpretación de la Taxonomía </w:t>
      </w:r>
    </w:p>
    <w:p w:rsidR="00000000" w:rsidDel="00000000" w:rsidP="00000000" w:rsidRDefault="00000000" w:rsidRPr="00000000" w14:paraId="00000026">
      <w:pPr>
        <w:jc w:val="both"/>
        <w:rPr/>
      </w:pPr>
      <w:r w:rsidDel="00000000" w:rsidR="00000000" w:rsidRPr="00000000">
        <w:rPr>
          <w:rtl w:val="0"/>
        </w:rPr>
        <w:t xml:space="preserve">   6.2. Implicaciones Regulatorias </w:t>
      </w:r>
    </w:p>
    <w:p w:rsidR="00000000" w:rsidDel="00000000" w:rsidP="00000000" w:rsidRDefault="00000000" w:rsidRPr="00000000" w14:paraId="00000027">
      <w:pPr>
        <w:jc w:val="both"/>
        <w:rPr/>
      </w:pPr>
      <w:r w:rsidDel="00000000" w:rsidR="00000000" w:rsidRPr="00000000">
        <w:rPr>
          <w:rtl w:val="0"/>
        </w:rPr>
        <w:t xml:space="preserve">   6.3. Comparación con Literatura </w:t>
      </w:r>
    </w:p>
    <w:p w:rsidR="00000000" w:rsidDel="00000000" w:rsidP="00000000" w:rsidRDefault="00000000" w:rsidRPr="00000000" w14:paraId="00000028">
      <w:pPr>
        <w:spacing w:after="200" w:lineRule="auto"/>
        <w:jc w:val="both"/>
        <w:rPr/>
      </w:pPr>
      <w:r w:rsidDel="00000000" w:rsidR="00000000" w:rsidRPr="00000000">
        <w:rPr>
          <w:rtl w:val="0"/>
        </w:rPr>
        <w:t xml:space="preserve">CAPÍTULO 7. CONCLUSIONES </w:t>
      </w:r>
    </w:p>
    <w:p w:rsidR="00000000" w:rsidDel="00000000" w:rsidP="00000000" w:rsidRDefault="00000000" w:rsidRPr="00000000" w14:paraId="0000002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color w:val="000000"/>
          <w:sz w:val="24"/>
          <w:szCs w:val="24"/>
        </w:rPr>
      </w:pPr>
      <w:r w:rsidDel="00000000" w:rsidR="00000000" w:rsidRPr="00000000">
        <w:rPr>
          <w:color w:val="000000"/>
          <w:sz w:val="24"/>
          <w:szCs w:val="24"/>
          <w:rtl w:val="0"/>
        </w:rPr>
        <w:t xml:space="preserve">CAPÍTULO 1. INTRODUCCIÓN</w:t>
      </w:r>
    </w:p>
    <w:p w:rsidR="00000000" w:rsidDel="00000000" w:rsidP="00000000" w:rsidRDefault="00000000" w:rsidRPr="00000000" w14:paraId="0000002B">
      <w:pPr>
        <w:pStyle w:val="Heading2"/>
        <w:jc w:val="both"/>
        <w:rPr>
          <w:color w:val="000000"/>
          <w:sz w:val="24"/>
          <w:szCs w:val="24"/>
        </w:rPr>
      </w:pPr>
      <w:r w:rsidDel="00000000" w:rsidR="00000000" w:rsidRPr="00000000">
        <w:rPr>
          <w:color w:val="000000"/>
          <w:sz w:val="24"/>
          <w:szCs w:val="24"/>
          <w:rtl w:val="0"/>
        </w:rPr>
        <w:t xml:space="preserve">1.1. Contexto y Problema de Investigación</w:t>
      </w:r>
    </w:p>
    <w:p w:rsidR="00000000" w:rsidDel="00000000" w:rsidP="00000000" w:rsidRDefault="00000000" w:rsidRPr="00000000" w14:paraId="0000002C">
      <w:pPr>
        <w:spacing w:after="200" w:lineRule="auto"/>
        <w:jc w:val="both"/>
        <w:rPr/>
      </w:pPr>
      <w:r w:rsidDel="00000000" w:rsidR="00000000" w:rsidRPr="00000000">
        <w:rPr>
          <w:b w:val="1"/>
          <w:bCs w:val="1"/>
          <w:rtl w:val="0"/>
        </w:rPr>
        <w:t xml:space="preserve">Pregunta de investigación: </w:t>
      </w:r>
      <w:r w:rsidDel="00000000" w:rsidR="00000000" w:rsidRPr="00000000">
        <w:rPr>
          <w:i w:val="1"/>
          <w:iCs w:val="1"/>
          <w:rtl w:val="0"/>
        </w:rPr>
        <w:t xml:space="preserve">¿Cuáles son los tipos distintivos de agentes que operan en el mercado P2P USDT/BOB en Bolivia, y qué patrones de concentración y comportamiento caracterizan a cada segmento?</w:t>
      </w:r>
      <w:r w:rsidDel="00000000" w:rsidR="00000000" w:rsidRPr="00000000">
        <w:rPr>
          <w:rtl w:val="0"/>
        </w:rPr>
      </w:r>
    </w:p>
    <w:p w:rsidR="00000000" w:rsidDel="00000000" w:rsidP="00000000" w:rsidRDefault="00000000" w:rsidRPr="00000000" w14:paraId="0000002D">
      <w:pPr>
        <w:pStyle w:val="Heading2"/>
        <w:jc w:val="both"/>
        <w:rPr>
          <w:color w:val="000000"/>
          <w:sz w:val="24"/>
          <w:szCs w:val="24"/>
        </w:rPr>
      </w:pPr>
      <w:r w:rsidDel="00000000" w:rsidR="00000000" w:rsidRPr="00000000">
        <w:rPr>
          <w:color w:val="000000"/>
          <w:sz w:val="24"/>
          <w:szCs w:val="24"/>
          <w:rtl w:val="0"/>
        </w:rPr>
        <w:t xml:space="preserve">1.2. Objetivos</w:t>
      </w:r>
    </w:p>
    <w:p w:rsidR="00000000" w:rsidDel="00000000" w:rsidP="00000000" w:rsidRDefault="00000000" w:rsidRPr="00000000" w14:paraId="0000002E">
      <w:pPr>
        <w:spacing w:after="120" w:lineRule="auto"/>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2F">
      <w:pPr>
        <w:spacing w:after="200" w:lineRule="auto"/>
        <w:jc w:val="both"/>
        <w:rPr/>
      </w:pPr>
      <w:r w:rsidDel="00000000" w:rsidR="00000000" w:rsidRPr="00000000">
        <w:rPr>
          <w:rtl w:val="0"/>
        </w:rPr>
        <w:t xml:space="preserve">Desarrollar una taxonomía empírica de los agentes del mercado P2P USDT/BOB de Binance para el periodo septiembre 2024 a noviembre 2025 mediante técnicas de Machine Learning, caracterizando sus patrones de comportamiento y la estructura de concentración del mercado.</w:t>
      </w:r>
    </w:p>
    <w:p w:rsidR="00000000" w:rsidDel="00000000" w:rsidP="00000000" w:rsidRDefault="00000000" w:rsidRPr="00000000" w14:paraId="00000030">
      <w:pPr>
        <w:spacing w:after="120" w:lineRule="auto"/>
        <w:jc w:val="both"/>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31">
      <w:pPr>
        <w:spacing w:after="100" w:lineRule="auto"/>
        <w:jc w:val="both"/>
        <w:rPr/>
      </w:pPr>
      <w:r w:rsidDel="00000000" w:rsidR="00000000" w:rsidRPr="00000000">
        <w:rPr>
          <w:rtl w:val="0"/>
        </w:rPr>
        <w:t xml:space="preserve">1. Construir un dataset de transacciones P2P mediante técnicas de webscraping e inferencia a partir de snapshots de la API de Binance.</w:t>
      </w:r>
    </w:p>
    <w:p w:rsidR="00000000" w:rsidDel="00000000" w:rsidP="00000000" w:rsidRDefault="00000000" w:rsidRPr="00000000" w14:paraId="00000032">
      <w:pPr>
        <w:spacing w:after="100" w:lineRule="auto"/>
        <w:jc w:val="both"/>
        <w:rPr/>
      </w:pPr>
      <w:r w:rsidDel="00000000" w:rsidR="00000000" w:rsidRPr="00000000">
        <w:rPr>
          <w:rtl w:val="0"/>
        </w:rPr>
        <w:t xml:space="preserve">2. Diseñar y calcular features comportamentales que capturen las dimensiones relevantes de la actividad de cada trader.</w:t>
      </w:r>
    </w:p>
    <w:p w:rsidR="00000000" w:rsidDel="00000000" w:rsidP="00000000" w:rsidRDefault="00000000" w:rsidRPr="00000000" w14:paraId="00000033">
      <w:pPr>
        <w:spacing w:after="100" w:lineRule="auto"/>
        <w:jc w:val="both"/>
        <w:rPr/>
      </w:pPr>
      <w:r w:rsidDel="00000000" w:rsidR="00000000" w:rsidRPr="00000000">
        <w:rPr>
          <w:rtl w:val="0"/>
        </w:rPr>
        <w:t xml:space="preserve">3. Aplicar clustering K-Means estratificado para identificar tipos distintivos de agentes.</w:t>
      </w:r>
    </w:p>
    <w:p w:rsidR="00000000" w:rsidDel="00000000" w:rsidP="00000000" w:rsidRDefault="00000000" w:rsidRPr="00000000" w14:paraId="00000034">
      <w:pPr>
        <w:spacing w:after="100" w:lineRule="auto"/>
        <w:jc w:val="both"/>
        <w:rPr/>
      </w:pPr>
      <w:r w:rsidDel="00000000" w:rsidR="00000000" w:rsidRPr="00000000">
        <w:rPr>
          <w:rtl w:val="0"/>
        </w:rPr>
        <w:t xml:space="preserve">4. Analizar la concentración de mercado y caracterizar el perfil de cada tipo de agente.</w:t>
      </w:r>
    </w:p>
    <w:p w:rsidR="00000000" w:rsidDel="00000000" w:rsidP="00000000" w:rsidRDefault="00000000" w:rsidRPr="00000000" w14:paraId="00000035">
      <w:pPr>
        <w:spacing w:after="200" w:lineRule="auto"/>
        <w:jc w:val="both"/>
        <w:rPr/>
      </w:pPr>
      <w:r w:rsidDel="00000000" w:rsidR="00000000" w:rsidRPr="00000000">
        <w:rPr>
          <w:rtl w:val="0"/>
        </w:rPr>
        <w:t xml:space="preserve">5. Validar la taxonomía mediante análisis de patrones temporales.</w:t>
      </w:r>
    </w:p>
    <w:p w:rsidR="00000000" w:rsidDel="00000000" w:rsidP="00000000" w:rsidRDefault="00000000" w:rsidRPr="00000000" w14:paraId="00000036">
      <w:pPr>
        <w:spacing w:after="200" w:lineRule="auto"/>
        <w:jc w:val="both"/>
        <w:rPr/>
      </w:pPr>
      <w:r w:rsidDel="00000000" w:rsidR="00000000" w:rsidRPr="00000000">
        <w:rPr>
          <w:rtl w:val="0"/>
        </w:rPr>
      </w:r>
    </w:p>
    <w:p w:rsidR="00000000" w:rsidDel="00000000" w:rsidP="00000000" w:rsidRDefault="00000000" w:rsidRPr="00000000" w14:paraId="00000037">
      <w:pPr>
        <w:pStyle w:val="Heading2"/>
        <w:jc w:val="both"/>
        <w:rPr>
          <w:color w:val="000000"/>
          <w:sz w:val="24"/>
          <w:szCs w:val="24"/>
        </w:rPr>
      </w:pPr>
      <w:r w:rsidDel="00000000" w:rsidR="00000000" w:rsidRPr="00000000">
        <w:rPr>
          <w:color w:val="000000"/>
          <w:sz w:val="24"/>
          <w:szCs w:val="24"/>
          <w:rtl w:val="0"/>
        </w:rPr>
        <w:t xml:space="preserve">1.3. Justificación</w:t>
      </w:r>
    </w:p>
    <w:p w:rsidR="00000000" w:rsidDel="00000000" w:rsidP="00000000" w:rsidRDefault="00000000" w:rsidRPr="00000000" w14:paraId="00000038">
      <w:pPr>
        <w:spacing w:after="200" w:lineRule="auto"/>
        <w:jc w:val="both"/>
        <w:rPr/>
      </w:pPr>
      <w:r w:rsidDel="00000000" w:rsidR="00000000" w:rsidRPr="00000000">
        <w:rPr>
          <w:rtl w:val="0"/>
        </w:rPr>
        <w:t xml:space="preserve">Esta investigación aporta valor en tres dimensiones: académica, regulatoria y práctica.</w:t>
      </w:r>
    </w:p>
    <w:p w:rsidR="00000000" w:rsidDel="00000000" w:rsidP="00000000" w:rsidRDefault="00000000" w:rsidRPr="00000000" w14:paraId="00000039">
      <w:pPr>
        <w:spacing w:after="200" w:lineRule="auto"/>
        <w:jc w:val="both"/>
        <w:rPr/>
      </w:pPr>
      <w:r w:rsidDel="00000000" w:rsidR="00000000" w:rsidRPr="00000000">
        <w:rPr>
          <w:b w:val="1"/>
          <w:bCs w:val="1"/>
          <w:rtl w:val="0"/>
        </w:rPr>
        <w:t xml:space="preserve">Contribución académica: </w:t>
      </w:r>
      <w:r w:rsidDel="00000000" w:rsidR="00000000" w:rsidRPr="00000000">
        <w:rPr>
          <w:rtl w:val="0"/>
        </w:rPr>
        <w:t xml:space="preserve">Se desarrolla la primera taxonomía empírica de agentes en un mercado P2P cripto bajo controles cambiarios, extendiendo la literatura de microestructura de mercados a un contexto novedoso.</w:t>
      </w:r>
    </w:p>
    <w:p w:rsidR="00000000" w:rsidDel="00000000" w:rsidP="00000000" w:rsidRDefault="00000000" w:rsidRPr="00000000" w14:paraId="0000003A">
      <w:pPr>
        <w:spacing w:after="200" w:lineRule="auto"/>
        <w:jc w:val="both"/>
        <w:rPr/>
      </w:pPr>
      <w:r w:rsidDel="00000000" w:rsidR="00000000" w:rsidRPr="00000000">
        <w:rPr>
          <w:b w:val="1"/>
          <w:bCs w:val="1"/>
          <w:rtl w:val="0"/>
        </w:rPr>
        <w:t xml:space="preserve">Relevancia regulatoria: </w:t>
      </w:r>
      <w:r w:rsidDel="00000000" w:rsidR="00000000" w:rsidRPr="00000000">
        <w:rPr>
          <w:rtl w:val="0"/>
        </w:rPr>
        <w:t xml:space="preserve">Los hallazgos sobre concentración de mercado proveen evidencia para informar políticas de supervisión en mercados cripto emergentes.</w:t>
      </w:r>
    </w:p>
    <w:p w:rsidR="00000000" w:rsidDel="00000000" w:rsidP="00000000" w:rsidRDefault="00000000" w:rsidRPr="00000000" w14:paraId="0000003B">
      <w:pPr>
        <w:spacing w:after="200" w:lineRule="auto"/>
        <w:jc w:val="both"/>
        <w:rPr/>
      </w:pPr>
      <w:r w:rsidDel="00000000" w:rsidR="00000000" w:rsidRPr="00000000">
        <w:rPr>
          <w:b w:val="1"/>
          <w:bCs w:val="1"/>
          <w:rtl w:val="0"/>
        </w:rPr>
        <w:t xml:space="preserve">Aplicación práctica: </w:t>
      </w:r>
      <w:r w:rsidDel="00000000" w:rsidR="00000000" w:rsidRPr="00000000">
        <w:rPr>
          <w:rtl w:val="0"/>
        </w:rPr>
        <w:t xml:space="preserve">La metodología desarrollada es replicable para otros pares y mercados P2P, ofreciendo un framework de análisis transferible.</w:t>
      </w:r>
    </w:p>
    <w:p w:rsidR="00000000" w:rsidDel="00000000" w:rsidP="00000000" w:rsidRDefault="00000000" w:rsidRPr="00000000" w14:paraId="0000003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jc w:val="both"/>
        <w:rPr>
          <w:color w:val="000000"/>
          <w:sz w:val="24"/>
          <w:szCs w:val="24"/>
        </w:rPr>
      </w:pPr>
      <w:r w:rsidDel="00000000" w:rsidR="00000000" w:rsidRPr="00000000">
        <w:rPr>
          <w:color w:val="000000"/>
          <w:sz w:val="24"/>
          <w:szCs w:val="24"/>
          <w:rtl w:val="0"/>
        </w:rPr>
        <w:t xml:space="preserve">CAPÍTULO 4. RESULTADOS: TAXONOMÍA DE AGENTES</w:t>
      </w:r>
    </w:p>
    <w:p w:rsidR="00000000" w:rsidDel="00000000" w:rsidP="00000000" w:rsidRDefault="00000000" w:rsidRPr="00000000" w14:paraId="0000003E">
      <w:pPr>
        <w:pStyle w:val="Heading2"/>
        <w:jc w:val="both"/>
        <w:rPr>
          <w:color w:val="000000"/>
          <w:sz w:val="24"/>
          <w:szCs w:val="24"/>
        </w:rPr>
      </w:pPr>
      <w:r w:rsidDel="00000000" w:rsidR="00000000" w:rsidRPr="00000000">
        <w:rPr>
          <w:color w:val="000000"/>
          <w:sz w:val="24"/>
          <w:szCs w:val="24"/>
          <w:rtl w:val="0"/>
        </w:rPr>
        <w:t xml:space="preserve">4.1. Caracterización General del Mercado</w:t>
      </w:r>
    </w:p>
    <w:p w:rsidR="00000000" w:rsidDel="00000000" w:rsidP="00000000" w:rsidRDefault="00000000" w:rsidRPr="00000000" w14:paraId="0000003F">
      <w:pPr>
        <w:spacing w:after="200" w:lineRule="auto"/>
        <w:jc w:val="both"/>
        <w:rPr/>
      </w:pPr>
      <w:r w:rsidDel="00000000" w:rsidR="00000000" w:rsidRPr="00000000">
        <w:rPr>
          <w:rtl w:val="0"/>
        </w:rPr>
        <w:t xml:space="preserve">El análisis comprende 641.541 transacciones detectadas entre el 9 de septiembre de 2024 y el 30 de noviembre de 2025, totalizando un volumen de 665,7 millones de USDT operados por 3.262 traders únicos durante 452 días de observación.</w:t>
      </w:r>
    </w:p>
    <w:p w:rsidR="00000000" w:rsidDel="00000000" w:rsidP="00000000" w:rsidRDefault="00000000" w:rsidRPr="00000000" w14:paraId="00000040">
      <w:pPr>
        <w:spacing w:after="120" w:lineRule="auto"/>
        <w:jc w:val="both"/>
        <w:rPr/>
      </w:pPr>
      <w:r w:rsidDel="00000000" w:rsidR="00000000" w:rsidRPr="00000000">
        <w:rPr>
          <w:b w:val="1"/>
          <w:bCs w:val="1"/>
          <w:rtl w:val="0"/>
        </w:rPr>
        <w:t xml:space="preserve">Tabla 4.1: Estadísticas Descriptivas del Mercado</w:t>
      </w:r>
      <w:r w:rsidDel="00000000" w:rsidR="00000000" w:rsidRPr="00000000">
        <w:rPr>
          <w:rtl w:val="0"/>
        </w:rPr>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9"/>
        <w:gridCol w:w="4679"/>
        <w:tblGridChange w:id="0">
          <w:tblGrid>
            <w:gridCol w:w="4679"/>
            <w:gridCol w:w="467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b w:val="1"/>
                <w:bCs w:val="1"/>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b w:val="1"/>
                <w:bCs w:val="1"/>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rtl w:val="0"/>
              </w:rPr>
              <w:t xml:space="preserve">Período de análisis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jc w:val="both"/>
              <w:rPr/>
            </w:pPr>
            <w:r w:rsidDel="00000000" w:rsidR="00000000" w:rsidRPr="00000000">
              <w:rPr>
                <w:rtl w:val="0"/>
              </w:rPr>
              <w:t xml:space="preserve">Sep 2024 - Nov 2025 (452 días)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rtl w:val="0"/>
              </w:rPr>
              <w:t xml:space="preserve">Transacciones totales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jc w:val="both"/>
              <w:rPr/>
            </w:pPr>
            <w:r w:rsidDel="00000000" w:rsidR="00000000" w:rsidRPr="00000000">
              <w:rPr>
                <w:rtl w:val="0"/>
              </w:rPr>
              <w:t xml:space="preserve">641.541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rtl w:val="0"/>
              </w:rPr>
              <w:t xml:space="preserve">Volumen total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both"/>
              <w:rPr/>
            </w:pPr>
            <w:r w:rsidDel="00000000" w:rsidR="00000000" w:rsidRPr="00000000">
              <w:rPr>
                <w:rtl w:val="0"/>
              </w:rPr>
              <w:t xml:space="preserve">665.714.674 USDT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rtl w:val="0"/>
              </w:rPr>
              <w:t xml:space="preserve">Traders únicos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both"/>
              <w:rPr/>
            </w:pPr>
            <w:r w:rsidDel="00000000" w:rsidR="00000000" w:rsidRPr="00000000">
              <w:rPr>
                <w:rtl w:val="0"/>
              </w:rPr>
              <w:t xml:space="preserve">3.262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rtl w:val="0"/>
              </w:rPr>
              <w:t xml:space="preserve">Volumen diario promedio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both"/>
              <w:rPr/>
            </w:pPr>
            <w:r w:rsidDel="00000000" w:rsidR="00000000" w:rsidRPr="00000000">
              <w:rPr>
                <w:rtl w:val="0"/>
              </w:rPr>
              <w:t xml:space="preserve">1.472.820 USDT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tl w:val="0"/>
              </w:rPr>
              <w:t xml:space="preserve">Transacciones diarias promedio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rtl w:val="0"/>
              </w:rPr>
              <w:t xml:space="preserve">1.419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tl w:val="0"/>
              </w:rPr>
              <w:t xml:space="preserve">Ticket promedio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rtl w:val="0"/>
              </w:rPr>
              <w:t xml:space="preserve">1.038 USDT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tl w:val="0"/>
              </w:rPr>
              <w:t xml:space="preserve">Ratio Compra/Venta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jc w:val="both"/>
              <w:rPr/>
            </w:pPr>
            <w:r w:rsidDel="00000000" w:rsidR="00000000" w:rsidRPr="00000000">
              <w:rPr>
                <w:rtl w:val="0"/>
              </w:rPr>
              <w:t xml:space="preserve">1,23 (predomina compra)</w:t>
            </w:r>
          </w:p>
        </w:tc>
      </w:tr>
    </w:tbl>
    <w:p w:rsidR="00000000" w:rsidDel="00000000" w:rsidP="00000000" w:rsidRDefault="00000000" w:rsidRPr="00000000" w14:paraId="00000053">
      <w:pPr>
        <w:spacing w:after="300" w:lineRule="auto"/>
        <w:jc w:val="both"/>
        <w:rPr/>
      </w:pPr>
      <w:r w:rsidDel="00000000" w:rsidR="00000000" w:rsidRPr="00000000">
        <w:rPr>
          <w:rtl w:val="0"/>
        </w:rPr>
      </w:r>
    </w:p>
    <w:p w:rsidR="00000000" w:rsidDel="00000000" w:rsidP="00000000" w:rsidRDefault="00000000" w:rsidRPr="00000000" w14:paraId="00000054">
      <w:pPr>
        <w:pStyle w:val="Heading2"/>
        <w:jc w:val="both"/>
        <w:rPr>
          <w:color w:val="000000"/>
          <w:sz w:val="24"/>
          <w:szCs w:val="24"/>
        </w:rPr>
      </w:pPr>
      <w:r w:rsidDel="00000000" w:rsidR="00000000" w:rsidRPr="00000000">
        <w:rPr>
          <w:color w:val="000000"/>
          <w:sz w:val="24"/>
          <w:szCs w:val="24"/>
          <w:rtl w:val="0"/>
        </w:rPr>
        <w:t xml:space="preserve">4.2. Taxonomía: Cinco Tipos de Agentes</w:t>
      </w:r>
    </w:p>
    <w:p w:rsidR="00000000" w:rsidDel="00000000" w:rsidP="00000000" w:rsidRDefault="00000000" w:rsidRPr="00000000" w14:paraId="00000055">
      <w:pPr>
        <w:spacing w:after="200" w:lineRule="auto"/>
        <w:jc w:val="both"/>
        <w:rPr/>
      </w:pPr>
      <w:r w:rsidDel="00000000" w:rsidR="00000000" w:rsidRPr="00000000">
        <w:rPr>
          <w:rtl w:val="0"/>
        </w:rPr>
        <w:t xml:space="preserve">El clustering K-Means estratificado identificó cinco tipos distintivos de agentes, tres en el segmento Profession y dos en el segmento Mass. La Tabla 4.2 resume las características principales de cada tipo.</w:t>
      </w:r>
    </w:p>
    <w:p w:rsidR="00000000" w:rsidDel="00000000" w:rsidP="00000000" w:rsidRDefault="00000000" w:rsidRPr="00000000" w14:paraId="00000056">
      <w:pPr>
        <w:spacing w:after="120" w:lineRule="auto"/>
        <w:jc w:val="both"/>
        <w:rPr/>
      </w:pPr>
      <w:r w:rsidDel="00000000" w:rsidR="00000000" w:rsidRPr="00000000">
        <w:rPr>
          <w:b w:val="1"/>
          <w:bCs w:val="1"/>
          <w:rtl w:val="0"/>
        </w:rPr>
        <w:t xml:space="preserve">Tabla 4.2: Taxonomía de Agentes del Mercado P2P USDT/BOB</w:t>
      </w:r>
      <w:r w:rsidDel="00000000" w:rsidR="00000000" w:rsidRPr="00000000">
        <w:rPr>
          <w:rtl w:val="0"/>
        </w:rPr>
      </w:r>
    </w:p>
    <w:tbl>
      <w:tblPr>
        <w:tblStyle w:val="Table2"/>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994"/>
        <w:gridCol w:w="1125"/>
        <w:gridCol w:w="1175"/>
        <w:gridCol w:w="1389"/>
        <w:gridCol w:w="1306"/>
        <w:gridCol w:w="2343"/>
        <w:tblGridChange w:id="0">
          <w:tblGrid>
            <w:gridCol w:w="1026"/>
            <w:gridCol w:w="994"/>
            <w:gridCol w:w="1125"/>
            <w:gridCol w:w="1175"/>
            <w:gridCol w:w="1389"/>
            <w:gridCol w:w="1306"/>
            <w:gridCol w:w="234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7">
            <w:pPr>
              <w:jc w:val="both"/>
              <w:rPr/>
            </w:pPr>
            <w:r w:rsidDel="00000000" w:rsidR="00000000" w:rsidRPr="00000000">
              <w:rPr>
                <w:b w:val="1"/>
                <w:bCs w:val="1"/>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8">
            <w:pPr>
              <w:jc w:val="both"/>
              <w:rPr/>
            </w:pPr>
            <w:r w:rsidDel="00000000" w:rsidR="00000000" w:rsidRPr="00000000">
              <w:rPr>
                <w:b w:val="1"/>
                <w:bCs w:val="1"/>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9">
            <w:pPr>
              <w:jc w:val="both"/>
              <w:rPr/>
            </w:pPr>
            <w:r w:rsidDel="00000000" w:rsidR="00000000" w:rsidRPr="00000000">
              <w:rPr>
                <w:b w:val="1"/>
                <w:bCs w:val="1"/>
                <w:rtl w:val="0"/>
              </w:rPr>
              <w:t xml:space="preserve">% Vol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A">
            <w:pPr>
              <w:jc w:val="both"/>
              <w:rPr/>
            </w:pPr>
            <w:r w:rsidDel="00000000" w:rsidR="00000000" w:rsidRPr="00000000">
              <w:rPr>
                <w:b w:val="1"/>
                <w:bCs w:val="1"/>
                <w:rtl w:val="0"/>
              </w:rPr>
              <w:t xml:space="preserve">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jc w:val="both"/>
              <w:rPr/>
            </w:pPr>
            <w:r w:rsidDel="00000000" w:rsidR="00000000" w:rsidRPr="00000000">
              <w:rPr>
                <w:b w:val="1"/>
                <w:bCs w:val="1"/>
                <w:rtl w:val="0"/>
              </w:rPr>
              <w:t xml:space="preserve">Trans/día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jc w:val="both"/>
              <w:rPr/>
            </w:pPr>
            <w:r w:rsidDel="00000000" w:rsidR="00000000" w:rsidRPr="00000000">
              <w:rPr>
                <w:b w:val="1"/>
                <w:bCs w:val="1"/>
                <w:rtl w:val="0"/>
              </w:rPr>
              <w:t xml:space="preserve">Balance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jc w:val="both"/>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jc w:val="both"/>
              <w:rPr/>
            </w:pPr>
            <w:r w:rsidDel="00000000" w:rsidR="00000000" w:rsidRPr="00000000">
              <w:rPr>
                <w:rtl w:val="0"/>
              </w:rPr>
              <w:t xml:space="preserve">P3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jc w:val="both"/>
              <w:rPr/>
            </w:pPr>
            <w:r w:rsidDel="00000000" w:rsidR="00000000" w:rsidRPr="00000000">
              <w:rPr>
                <w:rtl w:val="0"/>
              </w:rPr>
              <w:t xml:space="preserve">86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jc w:val="both"/>
              <w:rPr/>
            </w:pPr>
            <w:r w:rsidDel="00000000" w:rsidR="00000000" w:rsidRPr="00000000">
              <w:rPr>
                <w:rtl w:val="0"/>
              </w:rPr>
              <w:t xml:space="preserve">50,7%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jc w:val="both"/>
              <w:rPr/>
            </w:pPr>
            <w:r w:rsidDel="00000000" w:rsidR="00000000" w:rsidRPr="00000000">
              <w:rPr>
                <w:rtl w:val="0"/>
              </w:rPr>
              <w:t xml:space="preserve">1.166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both"/>
              <w:rPr/>
            </w:pPr>
            <w:r w:rsidDel="00000000" w:rsidR="00000000" w:rsidRPr="00000000">
              <w:rPr>
                <w:rtl w:val="0"/>
              </w:rPr>
              <w:t xml:space="preserve">10,9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both"/>
              <w:rPr/>
            </w:pPr>
            <w:r w:rsidDel="00000000" w:rsidR="00000000" w:rsidRPr="00000000">
              <w:rPr>
                <w:rtl w:val="0"/>
              </w:rPr>
              <w:t xml:space="preserve">0,70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both"/>
              <w:rPr/>
            </w:pPr>
            <w:r w:rsidDel="00000000" w:rsidR="00000000" w:rsidRPr="00000000">
              <w:rPr>
                <w:rtl w:val="0"/>
              </w:rPr>
              <w:t xml:space="preserve">Dominantes, alta frecuencia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both"/>
              <w:rPr/>
            </w:pPr>
            <w:r w:rsidDel="00000000" w:rsidR="00000000" w:rsidRPr="00000000">
              <w:rPr>
                <w:rtl w:val="0"/>
              </w:rPr>
              <w:t xml:space="preserve">M2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jc w:val="both"/>
              <w:rPr/>
            </w:pPr>
            <w:r w:rsidDel="00000000" w:rsidR="00000000" w:rsidRPr="00000000">
              <w:rPr>
                <w:rtl w:val="0"/>
              </w:rPr>
              <w:t xml:space="preserve">53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both"/>
              <w:rPr/>
            </w:pPr>
            <w:r w:rsidDel="00000000" w:rsidR="00000000" w:rsidRPr="00000000">
              <w:rPr>
                <w:rtl w:val="0"/>
              </w:rPr>
              <w:t xml:space="preserve">34,7%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both"/>
              <w:rPr/>
            </w:pPr>
            <w:r w:rsidDel="00000000" w:rsidR="00000000" w:rsidRPr="00000000">
              <w:rPr>
                <w:rtl w:val="0"/>
              </w:rPr>
              <w:t xml:space="preserve">1.017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both"/>
              <w:rPr/>
            </w:pPr>
            <w:r w:rsidDel="00000000" w:rsidR="00000000" w:rsidRPr="00000000">
              <w:rPr>
                <w:rtl w:val="0"/>
              </w:rPr>
              <w:t xml:space="preserve">18,8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jc w:val="both"/>
              <w:rPr/>
            </w:pPr>
            <w:r w:rsidDel="00000000" w:rsidR="00000000" w:rsidRPr="00000000">
              <w:rPr>
                <w:rtl w:val="0"/>
              </w:rPr>
              <w:t xml:space="preserve">0,78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both"/>
              <w:rPr/>
            </w:pPr>
            <w:r w:rsidDel="00000000" w:rsidR="00000000" w:rsidRPr="00000000">
              <w:rPr>
                <w:rtl w:val="0"/>
              </w:rPr>
              <w:t xml:space="preserve">Market Makers equilibrados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jc w:val="both"/>
              <w:rPr/>
            </w:pPr>
            <w:r w:rsidDel="00000000" w:rsidR="00000000" w:rsidRPr="00000000">
              <w:rPr>
                <w:rtl w:val="0"/>
              </w:rPr>
              <w:t xml:space="preserve">M1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jc w:val="both"/>
              <w:rPr/>
            </w:pPr>
            <w:r w:rsidDel="00000000" w:rsidR="00000000" w:rsidRPr="00000000">
              <w:rPr>
                <w:rtl w:val="0"/>
              </w:rPr>
              <w:t xml:space="preserve">2.964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jc w:val="both"/>
              <w:rPr/>
            </w:pPr>
            <w:r w:rsidDel="00000000" w:rsidR="00000000" w:rsidRPr="00000000">
              <w:rPr>
                <w:rtl w:val="0"/>
              </w:rPr>
              <w:t xml:space="preserve">12,4%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jc w:val="both"/>
              <w:rPr/>
            </w:pPr>
            <w:r w:rsidDel="00000000" w:rsidR="00000000" w:rsidRPr="00000000">
              <w:rPr>
                <w:rtl w:val="0"/>
              </w:rPr>
              <w:t xml:space="preserve">467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jc w:val="both"/>
              <w:rPr/>
            </w:pPr>
            <w:r w:rsidDel="00000000" w:rsidR="00000000" w:rsidRPr="00000000">
              <w:rPr>
                <w:rtl w:val="0"/>
              </w:rPr>
              <w:t xml:space="preserve">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jc w:val="both"/>
              <w:rPr/>
            </w:pPr>
            <w:r w:rsidDel="00000000" w:rsidR="00000000" w:rsidRPr="00000000">
              <w:rPr>
                <w:rtl w:val="0"/>
              </w:rPr>
              <w:t xml:space="preserve">0,23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jc w:val="both"/>
              <w:rPr/>
            </w:pPr>
            <w:r w:rsidDel="00000000" w:rsidR="00000000" w:rsidRPr="00000000">
              <w:rPr>
                <w:rtl w:val="0"/>
              </w:rPr>
              <w:t xml:space="preserve">Usuarios retail ocasionales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jc w:val="both"/>
              <w:rPr/>
            </w:pPr>
            <w:r w:rsidDel="00000000" w:rsidR="00000000" w:rsidRPr="00000000">
              <w:rPr>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jc w:val="both"/>
              <w:rPr/>
            </w:pPr>
            <w:r w:rsidDel="00000000" w:rsidR="00000000" w:rsidRPr="00000000">
              <w:rPr>
                <w:rtl w:val="0"/>
              </w:rPr>
              <w:t xml:space="preserve">147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jc w:val="both"/>
              <w:rPr/>
            </w:pPr>
            <w:r w:rsidDel="00000000" w:rsidR="00000000" w:rsidRPr="00000000">
              <w:rPr>
                <w:rtl w:val="0"/>
              </w:rPr>
              <w:t xml:space="preserve">2,1%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jc w:val="both"/>
              <w:rPr/>
            </w:pPr>
            <w:r w:rsidDel="00000000" w:rsidR="00000000" w:rsidRPr="00000000">
              <w:rPr>
                <w:rtl w:val="0"/>
              </w:rPr>
              <w:t xml:space="preserve">864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jc w:val="both"/>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jc w:val="both"/>
              <w:rPr/>
            </w:pPr>
            <w:r w:rsidDel="00000000" w:rsidR="00000000" w:rsidRPr="00000000">
              <w:rPr>
                <w:rtl w:val="0"/>
              </w:rPr>
              <w:t xml:space="preserve">0,29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jc w:val="both"/>
              <w:rPr/>
            </w:pPr>
            <w:r w:rsidDel="00000000" w:rsidR="00000000" w:rsidRPr="00000000">
              <w:rPr>
                <w:rtl w:val="0"/>
              </w:rPr>
              <w:t xml:space="preserve">Profesionales medianos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jc w:val="both"/>
              <w:rPr/>
            </w:pPr>
            <w:r w:rsidDel="00000000" w:rsidR="00000000" w:rsidRPr="00000000">
              <w:rPr>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jc w:val="both"/>
              <w:rPr/>
            </w:pPr>
            <w:r w:rsidDel="00000000" w:rsidR="00000000" w:rsidRPr="00000000">
              <w:rPr>
                <w:rtl w:val="0"/>
              </w:rPr>
              <w:t xml:space="preserve">12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jc w:val="both"/>
              <w:rPr/>
            </w:pPr>
            <w:r w:rsidDel="00000000" w:rsidR="00000000" w:rsidRPr="00000000">
              <w:rPr>
                <w:rtl w:val="0"/>
              </w:rPr>
              <w:t xml:space="preserve">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both"/>
              <w:rPr/>
            </w:pPr>
            <w:r w:rsidDel="00000000" w:rsidR="00000000" w:rsidRPr="00000000">
              <w:rPr>
                <w:rtl w:val="0"/>
              </w:rPr>
              <w:t xml:space="preserve">2.609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jc w:val="both"/>
              <w:rPr/>
            </w:pPr>
            <w:r w:rsidDel="00000000" w:rsidR="00000000" w:rsidRPr="00000000">
              <w:rPr>
                <w:rtl w:val="0"/>
              </w:rPr>
              <w:t xml:space="preserve">1,3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jc w:val="both"/>
              <w:rPr/>
            </w:pPr>
            <w:r w:rsidDel="00000000" w:rsidR="00000000" w:rsidRPr="00000000">
              <w:rPr>
                <w:rtl w:val="0"/>
              </w:rPr>
              <w:t xml:space="preserve">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jc w:val="both"/>
              <w:rPr/>
            </w:pPr>
            <w:r w:rsidDel="00000000" w:rsidR="00000000" w:rsidRPr="00000000">
              <w:rPr>
                <w:rtl w:val="0"/>
              </w:rPr>
              <w:t xml:space="preserve">Mínima actividad</w:t>
            </w:r>
          </w:p>
        </w:tc>
      </w:tr>
    </w:tbl>
    <w:p w:rsidR="00000000" w:rsidDel="00000000" w:rsidP="00000000" w:rsidRDefault="00000000" w:rsidRPr="00000000" w14:paraId="00000081">
      <w:pPr>
        <w:spacing w:after="200" w:lineRule="auto"/>
        <w:jc w:val="both"/>
        <w:rPr/>
      </w:pPr>
      <w:r w:rsidDel="00000000" w:rsidR="00000000" w:rsidRPr="00000000">
        <w:rPr>
          <w:rtl w:val="0"/>
        </w:rPr>
      </w:r>
    </w:p>
    <w:p w:rsidR="00000000" w:rsidDel="00000000" w:rsidP="00000000" w:rsidRDefault="00000000" w:rsidRPr="00000000" w14:paraId="00000082">
      <w:pPr>
        <w:spacing w:after="200" w:lineRule="auto"/>
        <w:jc w:val="both"/>
        <w:rPr/>
      </w:pPr>
      <w:r w:rsidDel="00000000" w:rsidR="00000000" w:rsidRPr="00000000">
        <w:rPr>
          <w:b w:val="1"/>
          <w:bCs w:val="1"/>
          <w:rtl w:val="0"/>
        </w:rPr>
        <w:t xml:space="preserve">Interpretación de los tipos:</w:t>
      </w:r>
      <w:r w:rsidDel="00000000" w:rsidR="00000000" w:rsidRPr="00000000">
        <w:rPr>
          <w:rtl w:val="0"/>
        </w:rPr>
      </w:r>
    </w:p>
    <w:p w:rsidR="00000000" w:rsidDel="00000000" w:rsidP="00000000" w:rsidRDefault="00000000" w:rsidRPr="00000000" w14:paraId="00000083">
      <w:pPr>
        <w:spacing w:after="150" w:lineRule="auto"/>
        <w:jc w:val="both"/>
        <w:rPr/>
      </w:pPr>
      <w:r w:rsidDel="00000000" w:rsidR="00000000" w:rsidRPr="00000000">
        <w:rPr>
          <w:b w:val="1"/>
          <w:bCs w:val="1"/>
          <w:rtl w:val="0"/>
        </w:rPr>
        <w:t xml:space="preserve">P3 - Profesionales Dominantes: </w:t>
      </w:r>
      <w:r w:rsidDel="00000000" w:rsidR="00000000" w:rsidRPr="00000000">
        <w:rPr>
          <w:rtl w:val="0"/>
        </w:rPr>
        <w:t xml:space="preserve">Con apenas 86 traders (2,6% del total), este grupo controla más de la mitad del volumen del mercado. Operan con alta frecuencia (10,9 trans/día) y muestran un balance equilibrado entre compra y venta (0,70), sugiriendo actividad de intermediación.</w:t>
      </w:r>
    </w:p>
    <w:p w:rsidR="00000000" w:rsidDel="00000000" w:rsidP="00000000" w:rsidRDefault="00000000" w:rsidRPr="00000000" w14:paraId="00000084">
      <w:pPr>
        <w:spacing w:after="150" w:lineRule="auto"/>
        <w:jc w:val="both"/>
        <w:rPr/>
      </w:pPr>
      <w:r w:rsidDel="00000000" w:rsidR="00000000" w:rsidRPr="00000000">
        <w:rPr>
          <w:b w:val="1"/>
          <w:bCs w:val="1"/>
          <w:rtl w:val="0"/>
        </w:rPr>
        <w:t xml:space="preserve">M2 - Market Makers Mass: </w:t>
      </w:r>
      <w:r w:rsidDel="00000000" w:rsidR="00000000" w:rsidRPr="00000000">
        <w:rPr>
          <w:rtl w:val="0"/>
        </w:rPr>
        <w:t xml:space="preserve">Aunque clasificados como "Mass" por Binance, estos 53 traders son efectivamente market makers con la mayor frecuencia de operación (18,8 trans/día) y el balance compra/venta más equilibrado (0,78), indicando posible arbitraje.</w:t>
      </w:r>
    </w:p>
    <w:p w:rsidR="00000000" w:rsidDel="00000000" w:rsidP="00000000" w:rsidRDefault="00000000" w:rsidRPr="00000000" w14:paraId="00000085">
      <w:pPr>
        <w:spacing w:after="150" w:lineRule="auto"/>
        <w:jc w:val="both"/>
        <w:rPr/>
      </w:pPr>
      <w:r w:rsidDel="00000000" w:rsidR="00000000" w:rsidRPr="00000000">
        <w:rPr>
          <w:b w:val="1"/>
          <w:bCs w:val="1"/>
          <w:rtl w:val="0"/>
        </w:rPr>
        <w:t xml:space="preserve">M1 - Usuarios Retail: </w:t>
      </w:r>
      <w:r w:rsidDel="00000000" w:rsidR="00000000" w:rsidRPr="00000000">
        <w:rPr>
          <w:rtl w:val="0"/>
        </w:rPr>
        <w:t xml:space="preserve">El 87% de los traders pertenecen a este grupo, pero solo representan el 12,4% del volumen. Operan ocasionalmente (1,8 trans/día) con tickets pequeños (USD467), probablemente para necesidades puntuales de dolarización.</w:t>
      </w:r>
    </w:p>
    <w:p w:rsidR="00000000" w:rsidDel="00000000" w:rsidP="00000000" w:rsidRDefault="00000000" w:rsidRPr="00000000" w14:paraId="00000086">
      <w:pPr>
        <w:pStyle w:val="Heading2"/>
        <w:jc w:val="both"/>
        <w:rPr>
          <w:color w:val="000000"/>
          <w:sz w:val="24"/>
          <w:szCs w:val="24"/>
        </w:rPr>
      </w:pPr>
      <w:r w:rsidDel="00000000" w:rsidR="00000000" w:rsidRPr="00000000">
        <w:rPr>
          <w:color w:val="000000"/>
          <w:sz w:val="24"/>
          <w:szCs w:val="24"/>
          <w:rtl w:val="0"/>
        </w:rPr>
        <w:t xml:space="preserve">4.3. Concentración de Mercado</w:t>
      </w:r>
    </w:p>
    <w:p w:rsidR="00000000" w:rsidDel="00000000" w:rsidP="00000000" w:rsidRDefault="00000000" w:rsidRPr="00000000" w14:paraId="00000087">
      <w:pPr>
        <w:spacing w:after="200" w:lineRule="auto"/>
        <w:jc w:val="both"/>
        <w:rPr/>
      </w:pPr>
      <w:r w:rsidDel="00000000" w:rsidR="00000000" w:rsidRPr="00000000">
        <w:rPr>
          <w:rtl w:val="0"/>
        </w:rPr>
        <w:t xml:space="preserve">El hallazgo más significativo es la extrema concentración del mercado. Los datos revelan una estructura oligopólica donde un pequeño grupo de traders domina la liquidez.</w:t>
      </w:r>
    </w:p>
    <w:p w:rsidR="00000000" w:rsidDel="00000000" w:rsidP="00000000" w:rsidRDefault="00000000" w:rsidRPr="00000000" w14:paraId="00000088">
      <w:pPr>
        <w:spacing w:after="120" w:lineRule="auto"/>
        <w:jc w:val="both"/>
        <w:rPr/>
      </w:pPr>
      <w:r w:rsidDel="00000000" w:rsidR="00000000" w:rsidRPr="00000000">
        <w:rPr>
          <w:b w:val="1"/>
          <w:bCs w:val="1"/>
          <w:rtl w:val="0"/>
        </w:rPr>
        <w:t xml:space="preserve">Tabla 4.3: Métricas de Concentración</w:t>
      </w:r>
      <w:r w:rsidDel="00000000" w:rsidR="00000000" w:rsidRPr="00000000">
        <w:rPr>
          <w:rtl w:val="0"/>
        </w:rPr>
      </w:r>
    </w:p>
    <w:tbl>
      <w:tblPr>
        <w:tblStyle w:val="Table3"/>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9"/>
        <w:gridCol w:w="2066"/>
        <w:gridCol w:w="3403"/>
        <w:tblGridChange w:id="0">
          <w:tblGrid>
            <w:gridCol w:w="3889"/>
            <w:gridCol w:w="2066"/>
            <w:gridCol w:w="340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9">
            <w:pPr>
              <w:jc w:val="both"/>
              <w:rPr/>
            </w:pPr>
            <w:r w:rsidDel="00000000" w:rsidR="00000000" w:rsidRPr="00000000">
              <w:rPr>
                <w:b w:val="1"/>
                <w:bCs w:val="1"/>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A">
            <w:pPr>
              <w:jc w:val="both"/>
              <w:rPr/>
            </w:pPr>
            <w:r w:rsidDel="00000000" w:rsidR="00000000" w:rsidRPr="00000000">
              <w:rPr>
                <w:b w:val="1"/>
                <w:bCs w:val="1"/>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B">
            <w:pPr>
              <w:jc w:val="both"/>
              <w:rPr/>
            </w:pPr>
            <w:r w:rsidDel="00000000" w:rsidR="00000000" w:rsidRPr="00000000">
              <w:rPr>
                <w:b w:val="1"/>
                <w:bCs w:val="1"/>
                <w:rtl w:val="0"/>
              </w:rPr>
              <w:t xml:space="preserve">Interpretación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jc w:val="both"/>
              <w:rPr/>
            </w:pPr>
            <w:r w:rsidDel="00000000" w:rsidR="00000000" w:rsidRPr="00000000">
              <w:rPr>
                <w:rtl w:val="0"/>
              </w:rPr>
              <w:t xml:space="preserve">P3 + M2 (139 traders)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rtl w:val="0"/>
              </w:rPr>
              <w:t xml:space="preserve">85,4% del volumen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rtl w:val="0"/>
              </w:rPr>
              <w:t xml:space="preserve">Oligopolio de 4.3%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rtl w:val="0"/>
              </w:rPr>
              <w:t xml:space="preserve">Top 10 traders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rtl w:val="0"/>
              </w:rPr>
              <w:t xml:space="preserve">29,2% del volumen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rtl w:val="0"/>
              </w:rPr>
              <w:t xml:space="preserve">Alta concentración individual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rtl w:val="0"/>
              </w:rPr>
              <w:t xml:space="preserve">Top 1% de traders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rtl w:val="0"/>
              </w:rPr>
              <w:t xml:space="preserve">52,8% del volumen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jc w:val="both"/>
              <w:rPr/>
            </w:pPr>
            <w:r w:rsidDel="00000000" w:rsidR="00000000" w:rsidRPr="00000000">
              <w:rPr>
                <w:rtl w:val="0"/>
              </w:rPr>
              <w:t xml:space="preserve">Ley de Pareto extrema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rtl w:val="0"/>
              </w:rPr>
              <w:t xml:space="preserve">Gini global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rtl w:val="0"/>
              </w:rPr>
              <w:t xml:space="preserve">0,78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rtl w:val="0"/>
              </w:rPr>
              <w:t xml:space="preserve">Alta desigualdad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both"/>
              <w:rPr/>
            </w:pPr>
            <w:r w:rsidDel="00000000" w:rsidR="00000000" w:rsidRPr="00000000">
              <w:rPr>
                <w:rtl w:val="0"/>
              </w:rPr>
              <w:t xml:space="preserve">HHI promedio diario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jc w:val="both"/>
              <w:rPr/>
            </w:pPr>
            <w:r w:rsidDel="00000000" w:rsidR="00000000" w:rsidRPr="00000000">
              <w:rPr>
                <w:rtl w:val="0"/>
              </w:rPr>
              <w:t xml:space="preserve">348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jc w:val="both"/>
              <w:rPr/>
            </w:pPr>
            <w:r w:rsidDel="00000000" w:rsidR="00000000" w:rsidRPr="00000000">
              <w:rPr>
                <w:rtl w:val="0"/>
              </w:rPr>
              <w:t xml:space="preserve">Mercado competitivo a nivel diario</w:t>
            </w:r>
          </w:p>
        </w:tc>
      </w:tr>
    </w:tbl>
    <w:p w:rsidR="00000000" w:rsidDel="00000000" w:rsidP="00000000" w:rsidRDefault="00000000" w:rsidRPr="00000000" w14:paraId="0000009B">
      <w:pPr>
        <w:spacing w:after="200" w:lineRule="auto"/>
        <w:jc w:val="both"/>
        <w:rPr/>
      </w:pPr>
      <w:r w:rsidDel="00000000" w:rsidR="00000000" w:rsidRPr="00000000">
        <w:rPr>
          <w:rtl w:val="0"/>
        </w:rPr>
      </w:r>
    </w:p>
    <w:p w:rsidR="00000000" w:rsidDel="00000000" w:rsidP="00000000" w:rsidRDefault="00000000" w:rsidRPr="00000000" w14:paraId="0000009C">
      <w:pPr>
        <w:spacing w:after="200" w:lineRule="auto"/>
        <w:jc w:val="both"/>
        <w:rPr/>
      </w:pPr>
      <w:r w:rsidDel="00000000" w:rsidR="00000000" w:rsidRPr="00000000">
        <w:rPr>
          <w:rtl w:val="0"/>
        </w:rPr>
        <w:t xml:space="preserve">Esta paradoja aparente (HHI bajo pero concentración alta) se explica porque el HHI se calcula diariamente sobre traders activos ese día, mientras que la concentración global considera el volumen acumulado. Los traders dominantes no operan todos los días, pero cuando lo hacen, capturan la mayoría del volumen.</w:t>
      </w:r>
    </w:p>
    <w:p w:rsidR="00000000" w:rsidDel="00000000" w:rsidP="00000000" w:rsidRDefault="00000000" w:rsidRPr="00000000" w14:paraId="0000009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color w:val="000000"/>
          <w:sz w:val="24"/>
          <w:szCs w:val="24"/>
        </w:rPr>
      </w:pPr>
      <w:r w:rsidDel="00000000" w:rsidR="00000000" w:rsidRPr="00000000">
        <w:rPr>
          <w:color w:val="000000"/>
          <w:sz w:val="24"/>
          <w:szCs w:val="24"/>
          <w:rtl w:val="0"/>
        </w:rPr>
        <w:t xml:space="preserve">CAPÍTULO 5. VALIDACIÓN: PATRONES TEMPORALES</w:t>
      </w:r>
    </w:p>
    <w:p w:rsidR="00000000" w:rsidDel="00000000" w:rsidP="00000000" w:rsidRDefault="00000000" w:rsidRPr="00000000" w14:paraId="0000009F">
      <w:pPr>
        <w:pStyle w:val="Heading2"/>
        <w:jc w:val="both"/>
        <w:rPr>
          <w:color w:val="000000"/>
          <w:sz w:val="24"/>
          <w:szCs w:val="24"/>
        </w:rPr>
      </w:pPr>
      <w:r w:rsidDel="00000000" w:rsidR="00000000" w:rsidRPr="00000000">
        <w:rPr>
          <w:color w:val="000000"/>
          <w:sz w:val="24"/>
          <w:szCs w:val="24"/>
          <w:rtl w:val="0"/>
        </w:rPr>
        <w:t xml:space="preserve">5.1. Efecto Fin de Semana</w:t>
      </w:r>
    </w:p>
    <w:p w:rsidR="00000000" w:rsidDel="00000000" w:rsidP="00000000" w:rsidRDefault="00000000" w:rsidRPr="00000000" w14:paraId="000000A0">
      <w:pPr>
        <w:spacing w:after="200" w:lineRule="auto"/>
        <w:jc w:val="both"/>
        <w:rPr/>
      </w:pPr>
      <w:r w:rsidDel="00000000" w:rsidR="00000000" w:rsidRPr="00000000">
        <w:rPr>
          <w:rtl w:val="0"/>
        </w:rPr>
        <w:t xml:space="preserve">Para validar la taxonomía y comprender el comportamiento del mercado, se analizaron los patrones temporales de actividad. El efecto más pronunciado es la reducción sistemática del volumen durante los fines de semana.</w:t>
      </w:r>
    </w:p>
    <w:p w:rsidR="00000000" w:rsidDel="00000000" w:rsidP="00000000" w:rsidRDefault="00000000" w:rsidRPr="00000000" w14:paraId="000000A1">
      <w:pPr>
        <w:spacing w:after="120" w:lineRule="auto"/>
        <w:jc w:val="both"/>
        <w:rPr/>
      </w:pPr>
      <w:r w:rsidDel="00000000" w:rsidR="00000000" w:rsidRPr="00000000">
        <w:rPr>
          <w:b w:val="1"/>
          <w:bCs w:val="1"/>
          <w:rtl w:val="0"/>
        </w:rPr>
        <w:t xml:space="preserve">Tabla 5.1: Descomposición del Efecto Fin de Semana</w:t>
      </w:r>
      <w:r w:rsidDel="00000000" w:rsidR="00000000" w:rsidRPr="00000000">
        <w:rPr>
          <w:rtl w:val="0"/>
        </w:rPr>
      </w:r>
    </w:p>
    <w:tbl>
      <w:tblPr>
        <w:tblStyle w:val="Table4"/>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9"/>
        <w:gridCol w:w="2339"/>
        <w:gridCol w:w="2340"/>
        <w:tblGridChange w:id="0">
          <w:tblGrid>
            <w:gridCol w:w="4679"/>
            <w:gridCol w:w="2339"/>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2">
            <w:pPr>
              <w:jc w:val="both"/>
              <w:rPr/>
            </w:pPr>
            <w:r w:rsidDel="00000000" w:rsidR="00000000" w:rsidRPr="00000000">
              <w:rPr>
                <w:b w:val="1"/>
                <w:bCs w:val="1"/>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3">
            <w:pPr>
              <w:jc w:val="both"/>
              <w:rPr/>
            </w:pPr>
            <w:r w:rsidDel="00000000" w:rsidR="00000000" w:rsidRPr="00000000">
              <w:rPr>
                <w:b w:val="1"/>
                <w:bCs w:val="1"/>
                <w:rtl w:val="0"/>
              </w:rPr>
              <w:t xml:space="preserve">Efecto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b w:val="1"/>
                <w:bCs w:val="1"/>
                <w:rtl w:val="0"/>
              </w:rPr>
              <w:t xml:space="preserve">Contribución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jc w:val="both"/>
              <w:rPr/>
            </w:pPr>
            <w:r w:rsidDel="00000000" w:rsidR="00000000" w:rsidRPr="00000000">
              <w:rPr>
                <w:rtl w:val="0"/>
              </w:rPr>
              <w:t xml:space="preserve">Volumen total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jc w:val="both"/>
              <w:rPr/>
            </w:pPr>
            <w:r w:rsidDel="00000000" w:rsidR="00000000" w:rsidRPr="00000000">
              <w:rPr>
                <w:rtl w:val="0"/>
              </w:rPr>
              <w:t xml:space="preserve">-33,4%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jc w:val="both"/>
              <w:rPr/>
            </w:pPr>
            <w:r w:rsidDel="00000000" w:rsidR="00000000" w:rsidRPr="00000000">
              <w:rPr>
                <w:rtl w:val="0"/>
              </w:rPr>
              <w:t xml:space="preserve">100%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jc w:val="both"/>
              <w:rPr/>
            </w:pPr>
            <w:r w:rsidDel="00000000" w:rsidR="00000000" w:rsidRPr="00000000">
              <w:rPr>
                <w:rtl w:val="0"/>
              </w:rPr>
              <w:t xml:space="preserve">Por menos transacciones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jc w:val="both"/>
              <w:rPr/>
            </w:pPr>
            <w:r w:rsidDel="00000000" w:rsidR="00000000" w:rsidRPr="00000000">
              <w:rPr>
                <w:rtl w:val="0"/>
              </w:rPr>
              <w:t xml:space="preserve">-18,7%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jc w:val="both"/>
              <w:rPr/>
            </w:pPr>
            <w:r w:rsidDel="00000000" w:rsidR="00000000" w:rsidRPr="00000000">
              <w:rPr>
                <w:rtl w:val="0"/>
              </w:rPr>
              <w:t xml:space="preserve">51%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jc w:val="both"/>
              <w:rPr/>
            </w:pPr>
            <w:r w:rsidDel="00000000" w:rsidR="00000000" w:rsidRPr="00000000">
              <w:rPr>
                <w:rtl w:val="0"/>
              </w:rPr>
              <w:t xml:space="preserve">Por ticket más pequeño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jc w:val="both"/>
              <w:rPr/>
            </w:pPr>
            <w:r w:rsidDel="00000000" w:rsidR="00000000" w:rsidRPr="00000000">
              <w:rPr>
                <w:rtl w:val="0"/>
              </w:rPr>
              <w:t xml:space="preserve">-18,0%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jc w:val="both"/>
              <w:rPr/>
            </w:pPr>
            <w:r w:rsidDel="00000000" w:rsidR="00000000" w:rsidRPr="00000000">
              <w:rPr>
                <w:rtl w:val="0"/>
              </w:rPr>
              <w:t xml:space="preserve">49%</w:t>
            </w:r>
          </w:p>
        </w:tc>
      </w:tr>
    </w:tbl>
    <w:p w:rsidR="00000000" w:rsidDel="00000000" w:rsidP="00000000" w:rsidRDefault="00000000" w:rsidRPr="00000000" w14:paraId="000000AE">
      <w:pPr>
        <w:spacing w:after="200" w:before="100" w:lineRule="auto"/>
        <w:jc w:val="both"/>
        <w:rPr/>
      </w:pPr>
      <w:r w:rsidDel="00000000" w:rsidR="00000000" w:rsidRPr="00000000">
        <w:rPr>
          <w:i w:val="1"/>
          <w:iCs w:val="1"/>
          <w:rtl w:val="0"/>
        </w:rPr>
        <w:t xml:space="preserve">Nota: *** p &lt; 0.001. Efecto estimado mediante regresión OLS con errores robustos HC3.</w:t>
      </w:r>
      <w:r w:rsidDel="00000000" w:rsidR="00000000" w:rsidRPr="00000000">
        <w:rPr>
          <w:rtl w:val="0"/>
        </w:rPr>
      </w:r>
    </w:p>
    <w:p w:rsidR="00000000" w:rsidDel="00000000" w:rsidP="00000000" w:rsidRDefault="00000000" w:rsidRPr="00000000" w14:paraId="000000AF">
      <w:pPr>
        <w:pStyle w:val="Heading2"/>
        <w:jc w:val="both"/>
        <w:rPr>
          <w:color w:val="000000"/>
          <w:sz w:val="24"/>
          <w:szCs w:val="24"/>
        </w:rPr>
      </w:pPr>
      <w:r w:rsidDel="00000000" w:rsidR="00000000" w:rsidRPr="00000000">
        <w:rPr>
          <w:color w:val="000000"/>
          <w:sz w:val="24"/>
          <w:szCs w:val="24"/>
          <w:rtl w:val="0"/>
        </w:rPr>
        <w:t xml:space="preserve">5.2. Robustez del Efecto</w:t>
      </w:r>
    </w:p>
    <w:p w:rsidR="00000000" w:rsidDel="00000000" w:rsidP="00000000" w:rsidRDefault="00000000" w:rsidRPr="00000000" w14:paraId="000000B0">
      <w:pPr>
        <w:spacing w:after="200" w:lineRule="auto"/>
        <w:jc w:val="both"/>
        <w:rPr/>
      </w:pPr>
      <w:r w:rsidDel="00000000" w:rsidR="00000000" w:rsidRPr="00000000">
        <w:rPr>
          <w:rtl w:val="0"/>
        </w:rPr>
        <w:t xml:space="preserve">El efecto fin de semana se validó mediante ocho especificaciones econométricas, controlando por variables de mercado cripto (BTC), autocorrelación, shocks macroeconómicos y efectos fijos.</w:t>
      </w:r>
    </w:p>
    <w:p w:rsidR="00000000" w:rsidDel="00000000" w:rsidP="00000000" w:rsidRDefault="00000000" w:rsidRPr="00000000" w14:paraId="000000B1">
      <w:pPr>
        <w:spacing w:after="120" w:lineRule="auto"/>
        <w:jc w:val="both"/>
        <w:rPr/>
      </w:pPr>
      <w:r w:rsidDel="00000000" w:rsidR="00000000" w:rsidRPr="00000000">
        <w:rPr>
          <w:b w:val="1"/>
          <w:bCs w:val="1"/>
          <w:rtl w:val="0"/>
        </w:rPr>
        <w:t xml:space="preserve">Tabla 5.2: Robustez del Efecto FDS (8 Modelos)</w:t>
      </w:r>
      <w:r w:rsidDel="00000000" w:rsidR="00000000" w:rsidRPr="00000000">
        <w:rPr>
          <w:rtl w:val="0"/>
        </w:rPr>
      </w:r>
    </w:p>
    <w:tbl>
      <w:tblPr>
        <w:tblStyle w:val="Table5"/>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2"/>
        <w:gridCol w:w="2127"/>
        <w:gridCol w:w="1914"/>
        <w:gridCol w:w="1595"/>
        <w:tblGridChange w:id="0">
          <w:tblGrid>
            <w:gridCol w:w="3722"/>
            <w:gridCol w:w="2127"/>
            <w:gridCol w:w="1914"/>
            <w:gridCol w:w="15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jc w:val="both"/>
              <w:rPr/>
            </w:pPr>
            <w:r w:rsidDel="00000000" w:rsidR="00000000" w:rsidRPr="00000000">
              <w:rPr>
                <w:b w:val="1"/>
                <w:bCs w:val="1"/>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b w:val="1"/>
                <w:bCs w:val="1"/>
                <w:rtl w:val="0"/>
              </w:rPr>
              <w:t xml:space="preserve">Efecto FDS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jc w:val="both"/>
              <w:rPr/>
            </w:pPr>
            <w:r w:rsidDel="00000000" w:rsidR="00000000" w:rsidRPr="00000000">
              <w:rPr>
                <w:b w:val="1"/>
                <w:bCs w:val="1"/>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b w:val="1"/>
                <w:bCs w:val="1"/>
                <w:rtl w:val="0"/>
              </w:rPr>
              <w:t xml:space="preserve">R²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rtl w:val="0"/>
              </w:rPr>
              <w:t xml:space="preserve">M1: 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jc w:val="both"/>
              <w:rPr/>
            </w:pPr>
            <w:r w:rsidDel="00000000" w:rsidR="00000000" w:rsidRPr="00000000">
              <w:rPr>
                <w:rtl w:val="0"/>
              </w:rPr>
              <w:t xml:space="preserve">-33,7%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jc w:val="both"/>
              <w:rPr/>
            </w:pPr>
            <w:r w:rsidDel="00000000" w:rsidR="00000000" w:rsidRPr="00000000">
              <w:rPr>
                <w:rtl w:val="0"/>
              </w:rPr>
              <w:t xml:space="preserve">0,729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jc w:val="both"/>
              <w:rPr/>
            </w:pPr>
            <w:r w:rsidDel="00000000" w:rsidR="00000000" w:rsidRPr="00000000">
              <w:rPr>
                <w:rtl w:val="0"/>
              </w:rPr>
              <w:t xml:space="preserve">M2: + Rezago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jc w:val="both"/>
              <w:rPr/>
            </w:pPr>
            <w:r w:rsidDel="00000000" w:rsidR="00000000" w:rsidRPr="00000000">
              <w:rPr>
                <w:rtl w:val="0"/>
              </w:rPr>
              <w:t xml:space="preserve">-32,5%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jc w:val="both"/>
              <w:rPr/>
            </w:pPr>
            <w:r w:rsidDel="00000000" w:rsidR="00000000" w:rsidRPr="00000000">
              <w:rPr>
                <w:rtl w:val="0"/>
              </w:rPr>
              <w:t xml:space="preserve">0,765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jc w:val="both"/>
              <w:rPr/>
            </w:pPr>
            <w:r w:rsidDel="00000000" w:rsidR="00000000" w:rsidRPr="00000000">
              <w:rPr>
                <w:rtl w:val="0"/>
              </w:rPr>
              <w:t xml:space="preserve">M3: + BTC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jc w:val="both"/>
              <w:rPr/>
            </w:pPr>
            <w:r w:rsidDel="00000000" w:rsidR="00000000" w:rsidRPr="00000000">
              <w:rPr>
                <w:rtl w:val="0"/>
              </w:rPr>
              <w:t xml:space="preserve">-33,8%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jc w:val="both"/>
              <w:rPr/>
            </w:pPr>
            <w:r w:rsidDel="00000000" w:rsidR="00000000" w:rsidRPr="00000000">
              <w:rPr>
                <w:rtl w:val="0"/>
              </w:rPr>
              <w:t xml:space="preserve">0,730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jc w:val="both"/>
              <w:rPr/>
            </w:pPr>
            <w:r w:rsidDel="00000000" w:rsidR="00000000" w:rsidRPr="00000000">
              <w:rPr>
                <w:rtl w:val="0"/>
              </w:rPr>
              <w:t xml:space="preserve">M4: + Shocks macro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jc w:val="both"/>
              <w:rPr/>
            </w:pPr>
            <w:r w:rsidDel="00000000" w:rsidR="00000000" w:rsidRPr="00000000">
              <w:rPr>
                <w:rtl w:val="0"/>
              </w:rPr>
              <w:t xml:space="preserve">-33,5%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jc w:val="both"/>
              <w:rPr/>
            </w:pPr>
            <w:r w:rsidDel="00000000" w:rsidR="00000000" w:rsidRPr="00000000">
              <w:rPr>
                <w:rtl w:val="0"/>
              </w:rPr>
              <w:t xml:space="preserve">0,731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jc w:val="both"/>
              <w:rPr/>
            </w:pPr>
            <w:r w:rsidDel="00000000" w:rsidR="00000000" w:rsidRPr="00000000">
              <w:rPr>
                <w:rtl w:val="0"/>
              </w:rPr>
              <w:t xml:space="preserve">M5: + Efectos fijos mes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jc w:val="both"/>
              <w:rPr/>
            </w:pPr>
            <w:r w:rsidDel="00000000" w:rsidR="00000000" w:rsidRPr="00000000">
              <w:rPr>
                <w:rtl w:val="0"/>
              </w:rPr>
              <w:t xml:space="preserve">-34,1%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jc w:val="both"/>
              <w:rPr/>
            </w:pPr>
            <w:r w:rsidDel="00000000" w:rsidR="00000000" w:rsidRPr="00000000">
              <w:rPr>
                <w:rtl w:val="0"/>
              </w:rPr>
              <w:t xml:space="preserve">0,742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jc w:val="both"/>
              <w:rPr/>
            </w:pPr>
            <w:r w:rsidDel="00000000" w:rsidR="00000000" w:rsidRPr="00000000">
              <w:rPr>
                <w:rtl w:val="0"/>
              </w:rPr>
              <w:t xml:space="preserve">M6: Completo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jc w:val="both"/>
              <w:rPr/>
            </w:pPr>
            <w:r w:rsidDel="00000000" w:rsidR="00000000" w:rsidRPr="00000000">
              <w:rPr>
                <w:rtl w:val="0"/>
              </w:rPr>
              <w:t xml:space="preserve">-32,8%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jc w:val="both"/>
              <w:rPr/>
            </w:pPr>
            <w:r w:rsidDel="00000000" w:rsidR="00000000" w:rsidRPr="00000000">
              <w:rPr>
                <w:rtl w:val="0"/>
              </w:rPr>
              <w:t xml:space="preserve">0,768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jc w:val="both"/>
              <w:rPr/>
            </w:pPr>
            <w:r w:rsidDel="00000000" w:rsidR="00000000" w:rsidRPr="00000000">
              <w:rPr>
                <w:rtl w:val="0"/>
              </w:rPr>
              <w:t xml:space="preserve">M7: Errores HAC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jc w:val="both"/>
              <w:rPr/>
            </w:pPr>
            <w:r w:rsidDel="00000000" w:rsidR="00000000" w:rsidRPr="00000000">
              <w:rPr>
                <w:rtl w:val="0"/>
              </w:rPr>
              <w:t xml:space="preserve">-33,7%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jc w:val="both"/>
              <w:rPr/>
            </w:pPr>
            <w:r w:rsidDel="00000000" w:rsidR="00000000" w:rsidRPr="00000000">
              <w:rPr>
                <w:rtl w:val="0"/>
              </w:rPr>
              <w:t xml:space="preserve">-</w:t>
            </w:r>
          </w:p>
        </w:tc>
      </w:tr>
    </w:tbl>
    <w:p w:rsidR="00000000" w:rsidDel="00000000" w:rsidP="00000000" w:rsidRDefault="00000000" w:rsidRPr="00000000" w14:paraId="000000D2">
      <w:pPr>
        <w:spacing w:after="200" w:before="100" w:lineRule="auto"/>
        <w:jc w:val="both"/>
        <w:rPr/>
      </w:pPr>
      <w:r w:rsidDel="00000000" w:rsidR="00000000" w:rsidRPr="00000000">
        <w:rPr>
          <w:i w:val="1"/>
          <w:iCs w:val="1"/>
          <w:rtl w:val="0"/>
        </w:rPr>
        <w:t xml:space="preserve">Conclusión: El efecto es robusto entre -32,5% y -34,1% en todas las especificaciones.</w:t>
      </w:r>
      <w:r w:rsidDel="00000000" w:rsidR="00000000" w:rsidRPr="00000000">
        <w:rPr>
          <w:rtl w:val="0"/>
        </w:rPr>
      </w:r>
    </w:p>
    <w:p w:rsidR="00000000" w:rsidDel="00000000" w:rsidP="00000000" w:rsidRDefault="00000000" w:rsidRPr="00000000" w14:paraId="000000D3">
      <w:pPr>
        <w:pStyle w:val="Heading2"/>
        <w:jc w:val="both"/>
        <w:rPr>
          <w:color w:val="000000"/>
          <w:sz w:val="24"/>
          <w:szCs w:val="24"/>
        </w:rPr>
      </w:pPr>
      <w:r w:rsidDel="00000000" w:rsidR="00000000" w:rsidRPr="00000000">
        <w:rPr>
          <w:color w:val="000000"/>
          <w:sz w:val="24"/>
          <w:szCs w:val="24"/>
          <w:rtl w:val="0"/>
        </w:rPr>
        <w:t xml:space="preserve">5.3. Heterogeneidad por Tipo de Agente</w:t>
      </w:r>
    </w:p>
    <w:p w:rsidR="00000000" w:rsidDel="00000000" w:rsidP="00000000" w:rsidRDefault="00000000" w:rsidRPr="00000000" w14:paraId="000000D4">
      <w:pPr>
        <w:spacing w:after="200" w:lineRule="auto"/>
        <w:jc w:val="both"/>
        <w:rPr/>
      </w:pPr>
      <w:r w:rsidDel="00000000" w:rsidR="00000000" w:rsidRPr="00000000">
        <w:rPr>
          <w:rtl w:val="0"/>
        </w:rPr>
        <w:t xml:space="preserve">Se analizó si el efecto fin de semana difiere entre los tipos de agentes identificados. Los resultados muestran diferencias descriptivas, pero sin significancia estadística en las interacciones.</w:t>
      </w:r>
    </w:p>
    <w:p w:rsidR="00000000" w:rsidDel="00000000" w:rsidP="00000000" w:rsidRDefault="00000000" w:rsidRPr="00000000" w14:paraId="000000D5">
      <w:pPr>
        <w:spacing w:after="200" w:lineRule="auto"/>
        <w:jc w:val="both"/>
        <w:rPr/>
      </w:pPr>
      <w:r w:rsidDel="00000000" w:rsidR="00000000" w:rsidRPr="00000000">
        <w:rPr>
          <w:rtl w:val="0"/>
        </w:rPr>
      </w:r>
    </w:p>
    <w:p w:rsidR="00000000" w:rsidDel="00000000" w:rsidP="00000000" w:rsidRDefault="00000000" w:rsidRPr="00000000" w14:paraId="000000D6">
      <w:pPr>
        <w:spacing w:after="200" w:lineRule="auto"/>
        <w:jc w:val="both"/>
        <w:rPr/>
      </w:pPr>
      <w:r w:rsidDel="00000000" w:rsidR="00000000" w:rsidRPr="00000000">
        <w:rPr>
          <w:rtl w:val="0"/>
        </w:rPr>
      </w:r>
    </w:p>
    <w:p w:rsidR="00000000" w:rsidDel="00000000" w:rsidP="00000000" w:rsidRDefault="00000000" w:rsidRPr="00000000" w14:paraId="000000D7">
      <w:pPr>
        <w:spacing w:after="120" w:lineRule="auto"/>
        <w:jc w:val="both"/>
        <w:rPr/>
      </w:pPr>
      <w:r w:rsidDel="00000000" w:rsidR="00000000" w:rsidRPr="00000000">
        <w:rPr>
          <w:b w:val="1"/>
          <w:bCs w:val="1"/>
          <w:rtl w:val="0"/>
        </w:rPr>
        <w:t xml:space="preserve">Tabla 5.3: Efecto FDS por Tipo de Agente</w:t>
      </w:r>
      <w:r w:rsidDel="00000000" w:rsidR="00000000" w:rsidRPr="00000000">
        <w:rPr>
          <w:rtl w:val="0"/>
        </w:rPr>
      </w:r>
    </w:p>
    <w:tbl>
      <w:tblPr>
        <w:tblStyle w:val="Table6"/>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800"/>
        <w:gridCol w:w="2000"/>
        <w:gridCol w:w="1560"/>
        <w:tblGridChange w:id="0">
          <w:tblGrid>
            <w:gridCol w:w="1999"/>
            <w:gridCol w:w="1999"/>
            <w:gridCol w:w="1800"/>
            <w:gridCol w:w="2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8">
            <w:pPr>
              <w:jc w:val="both"/>
              <w:rPr/>
            </w:pPr>
            <w:r w:rsidDel="00000000" w:rsidR="00000000" w:rsidRPr="00000000">
              <w:rPr>
                <w:b w:val="1"/>
                <w:bCs w:val="1"/>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9">
            <w:pPr>
              <w:jc w:val="both"/>
              <w:rPr/>
            </w:pPr>
            <w:r w:rsidDel="00000000" w:rsidR="00000000" w:rsidRPr="00000000">
              <w:rPr>
                <w:b w:val="1"/>
                <w:bCs w:val="1"/>
                <w:rtl w:val="0"/>
              </w:rPr>
              <w:t xml:space="preserve">Efecto FDS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A">
            <w:pPr>
              <w:jc w:val="both"/>
              <w:rPr/>
            </w:pPr>
            <w:r w:rsidDel="00000000" w:rsidR="00000000" w:rsidRPr="00000000">
              <w:rPr>
                <w:b w:val="1"/>
                <w:bCs w:val="1"/>
                <w:rtl w:val="0"/>
              </w:rPr>
              <w:t xml:space="preserve">p-value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jc w:val="both"/>
              <w:rPr/>
            </w:pPr>
            <w:r w:rsidDel="00000000" w:rsidR="00000000" w:rsidRPr="00000000">
              <w:rPr>
                <w:b w:val="1"/>
                <w:bCs w:val="1"/>
                <w:rtl w:val="0"/>
              </w:rPr>
              <w:t xml:space="preserve">Interacción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C">
            <w:pPr>
              <w:jc w:val="both"/>
              <w:rPr/>
            </w:pPr>
            <w:r w:rsidDel="00000000" w:rsidR="00000000" w:rsidRPr="00000000">
              <w:rPr>
                <w:b w:val="1"/>
                <w:bCs w:val="1"/>
                <w:rtl w:val="0"/>
              </w:rPr>
              <w:t xml:space="preserve">p (interac.)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jc w:val="both"/>
              <w:rPr/>
            </w:pPr>
            <w:r w:rsidDel="00000000" w:rsidR="00000000" w:rsidRPr="00000000">
              <w:rPr>
                <w:rtl w:val="0"/>
              </w:rPr>
              <w:t xml:space="preserve">P3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jc w:val="both"/>
              <w:rPr/>
            </w:pPr>
            <w:r w:rsidDel="00000000" w:rsidR="00000000" w:rsidRPr="00000000">
              <w:rPr>
                <w:rtl w:val="0"/>
              </w:rPr>
              <w:t xml:space="preserve">-37,1%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rtl w:val="0"/>
              </w:rPr>
              <w:t xml:space="preserve">Referencia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jc w:val="both"/>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rtl w:val="0"/>
              </w:rPr>
              <w:t xml:space="preserve">M2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rtl w:val="0"/>
              </w:rPr>
              <w:t xml:space="preserve">-28,8%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rtl w:val="0"/>
              </w:rPr>
              <w:t xml:space="preserve">+8,3 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rtl w:val="0"/>
              </w:rPr>
              <w:t xml:space="preserve">0,142 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rtl w:val="0"/>
              </w:rPr>
              <w:t xml:space="preserve">M1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rtl w:val="0"/>
              </w:rPr>
              <w:t xml:space="preserve">-33,0%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jc w:val="both"/>
              <w:rPr/>
            </w:pPr>
            <w:r w:rsidDel="00000000" w:rsidR="00000000" w:rsidRPr="00000000">
              <w:rPr>
                <w:rtl w:val="0"/>
              </w:rPr>
              <w:t xml:space="preserve">+4,1 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jc w:val="both"/>
              <w:rPr/>
            </w:pPr>
            <w:r w:rsidDel="00000000" w:rsidR="00000000" w:rsidRPr="00000000">
              <w:rPr>
                <w:rtl w:val="0"/>
              </w:rPr>
              <w:t xml:space="preserve">0,318 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jc w:val="both"/>
              <w:rPr/>
            </w:pPr>
            <w:r w:rsidDel="00000000" w:rsidR="00000000" w:rsidRPr="00000000">
              <w:rPr>
                <w:rtl w:val="0"/>
              </w:rPr>
              <w:t xml:space="preserve">P2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jc w:val="both"/>
              <w:rPr/>
            </w:pPr>
            <w:r w:rsidDel="00000000" w:rsidR="00000000" w:rsidRPr="00000000">
              <w:rPr>
                <w:rtl w:val="0"/>
              </w:rPr>
              <w:t xml:space="preserve">-52,9%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jc w:val="both"/>
              <w:rPr/>
            </w:pPr>
            <w:r w:rsidDel="00000000" w:rsidR="00000000" w:rsidRPr="00000000">
              <w:rPr>
                <w:rtl w:val="0"/>
              </w:rPr>
              <w:t xml:space="preserve">&lt; 0,001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jc w:val="both"/>
              <w:rPr/>
            </w:pPr>
            <w:r w:rsidDel="00000000" w:rsidR="00000000" w:rsidRPr="00000000">
              <w:rPr>
                <w:rtl w:val="0"/>
              </w:rPr>
              <w:t xml:space="preserve">-15,8 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jc w:val="both"/>
              <w:rPr/>
            </w:pPr>
            <w:r w:rsidDel="00000000" w:rsidR="00000000" w:rsidRPr="00000000">
              <w:rPr>
                <w:rtl w:val="0"/>
              </w:rPr>
              <w:t xml:space="preserve">&lt; 0,05 *</w:t>
            </w:r>
          </w:p>
        </w:tc>
      </w:tr>
    </w:tbl>
    <w:p w:rsidR="00000000" w:rsidDel="00000000" w:rsidP="00000000" w:rsidRDefault="00000000" w:rsidRPr="00000000" w14:paraId="000000F1">
      <w:pPr>
        <w:spacing w:after="200" w:before="100" w:lineRule="auto"/>
        <w:jc w:val="both"/>
        <w:rPr/>
      </w:pPr>
      <w:r w:rsidDel="00000000" w:rsidR="00000000" w:rsidRPr="00000000">
        <w:rPr>
          <w:i w:val="1"/>
          <w:iCs w:val="1"/>
          <w:rtl w:val="0"/>
        </w:rPr>
        <w:t xml:space="preserve">Nota: n.s. = no significativo. Solo P2 muestra diferencia significativa respecto a P3.</w:t>
      </w:r>
      <w:r w:rsidDel="00000000" w:rsidR="00000000" w:rsidRPr="00000000">
        <w:rPr>
          <w:rtl w:val="0"/>
        </w:rPr>
      </w:r>
    </w:p>
    <w:p w:rsidR="00000000" w:rsidDel="00000000" w:rsidP="00000000" w:rsidRDefault="00000000" w:rsidRPr="00000000" w14:paraId="000000F2">
      <w:pPr>
        <w:spacing w:after="200" w:lineRule="auto"/>
        <w:jc w:val="both"/>
        <w:rPr/>
      </w:pPr>
      <w:r w:rsidDel="00000000" w:rsidR="00000000" w:rsidRPr="00000000">
        <w:rPr>
          <w:rtl w:val="0"/>
        </w:rPr>
        <w:t xml:space="preserve">La homogeneidad del efecto FDS entre tipos principales (P3, M2, M1) valida la taxonomía: todos los agentes responden de forma similar a los patrones de la economía formal boliviana, confirmando que el mercado P2P está sincronizado con el horario bancario tradicional.</w:t>
      </w:r>
    </w:p>
    <w:p w:rsidR="00000000" w:rsidDel="00000000" w:rsidP="00000000" w:rsidRDefault="00000000" w:rsidRPr="00000000" w14:paraId="000000F3">
      <w:pPr>
        <w:pStyle w:val="Heading1"/>
        <w:jc w:val="both"/>
        <w:rPr>
          <w:color w:val="000000"/>
          <w:sz w:val="24"/>
          <w:szCs w:val="24"/>
        </w:rPr>
      </w:pPr>
      <w:r w:rsidDel="00000000" w:rsidR="00000000" w:rsidRPr="00000000">
        <w:rPr>
          <w:color w:val="000000"/>
          <w:sz w:val="24"/>
          <w:szCs w:val="24"/>
          <w:rtl w:val="0"/>
        </w:rPr>
        <w:t xml:space="preserve">CAPÍTULO 7. CONCLUSIONES</w:t>
      </w:r>
    </w:p>
    <w:p w:rsidR="00000000" w:rsidDel="00000000" w:rsidP="00000000" w:rsidRDefault="00000000" w:rsidRPr="00000000" w14:paraId="000000F4">
      <w:pPr>
        <w:pStyle w:val="Heading2"/>
        <w:jc w:val="both"/>
        <w:rPr>
          <w:color w:val="000000"/>
          <w:sz w:val="24"/>
          <w:szCs w:val="24"/>
        </w:rPr>
      </w:pPr>
      <w:r w:rsidDel="00000000" w:rsidR="00000000" w:rsidRPr="00000000">
        <w:rPr>
          <w:color w:val="000000"/>
          <w:sz w:val="24"/>
          <w:szCs w:val="24"/>
          <w:rtl w:val="0"/>
        </w:rPr>
        <w:t xml:space="preserve">7.1. Hallazgos Principales</w:t>
      </w:r>
    </w:p>
    <w:p w:rsidR="00000000" w:rsidDel="00000000" w:rsidP="00000000" w:rsidRDefault="00000000" w:rsidRPr="00000000" w14:paraId="000000F5">
      <w:pPr>
        <w:spacing w:after="200" w:lineRule="auto"/>
        <w:jc w:val="both"/>
        <w:rPr/>
      </w:pPr>
      <w:r w:rsidDel="00000000" w:rsidR="00000000" w:rsidRPr="00000000">
        <w:rPr>
          <w:rtl w:val="0"/>
        </w:rPr>
        <w:t xml:space="preserve">Esta investigación desarrolló la primera taxonomía empírica de agentes del mercado P2P USDT/BOB en Bolivia. Los hallazgos principales son:</w:t>
      </w:r>
    </w:p>
    <w:p w:rsidR="00000000" w:rsidDel="00000000" w:rsidP="00000000" w:rsidRDefault="00000000" w:rsidRPr="00000000" w14:paraId="000000F6">
      <w:pPr>
        <w:spacing w:after="150" w:lineRule="auto"/>
        <w:jc w:val="both"/>
        <w:rPr/>
      </w:pPr>
      <w:r w:rsidDel="00000000" w:rsidR="00000000" w:rsidRPr="00000000">
        <w:rPr>
          <w:b w:val="1"/>
          <w:bCs w:val="1"/>
          <w:rtl w:val="0"/>
        </w:rPr>
        <w:t xml:space="preserve">1. Taxonomía de cinco tipos: </w:t>
      </w:r>
      <w:r w:rsidDel="00000000" w:rsidR="00000000" w:rsidRPr="00000000">
        <w:rPr>
          <w:rtl w:val="0"/>
        </w:rPr>
        <w:t xml:space="preserve">El clustering K-Means estratificado identificó cinco tipos distintivos de agentes con perfiles comportamentales diferenciados: Profesionales Dominantes (P3), Market Makers Mass (M2), Usuarios Retail (M1), Profesionales Medianos (P2) y Profesionales Mínimos (P1).</w:t>
      </w:r>
    </w:p>
    <w:p w:rsidR="00000000" w:rsidDel="00000000" w:rsidP="00000000" w:rsidRDefault="00000000" w:rsidRPr="00000000" w14:paraId="000000F7">
      <w:pPr>
        <w:spacing w:after="150" w:lineRule="auto"/>
        <w:jc w:val="both"/>
        <w:rPr/>
      </w:pPr>
      <w:r w:rsidDel="00000000" w:rsidR="00000000" w:rsidRPr="00000000">
        <w:rPr>
          <w:b w:val="1"/>
          <w:bCs w:val="1"/>
          <w:rtl w:val="0"/>
        </w:rPr>
        <w:t xml:space="preserve">2. Concentración extrema: </w:t>
      </w:r>
      <w:r w:rsidDel="00000000" w:rsidR="00000000" w:rsidRPr="00000000">
        <w:rPr>
          <w:rtl w:val="0"/>
        </w:rPr>
        <w:t xml:space="preserve">Apenas 139 traders (4,3%) controlan el 85,4% del volumen total, revelando una estructura oligopólica en un mercado que opera fuera del sistema financiero regulado.</w:t>
      </w:r>
    </w:p>
    <w:p w:rsidR="00000000" w:rsidDel="00000000" w:rsidP="00000000" w:rsidRDefault="00000000" w:rsidRPr="00000000" w14:paraId="000000F8">
      <w:pPr>
        <w:spacing w:after="150" w:lineRule="auto"/>
        <w:jc w:val="both"/>
        <w:rPr/>
      </w:pPr>
      <w:r w:rsidDel="00000000" w:rsidR="00000000" w:rsidRPr="00000000">
        <w:rPr>
          <w:b w:val="1"/>
          <w:bCs w:val="1"/>
          <w:rtl w:val="0"/>
        </w:rPr>
        <w:t xml:space="preserve">3. Dualidad del mercado: </w:t>
      </w:r>
      <w:r w:rsidDel="00000000" w:rsidR="00000000" w:rsidRPr="00000000">
        <w:rPr>
          <w:rtl w:val="0"/>
        </w:rPr>
        <w:t xml:space="preserve">El mercado exhibe una clara bifurcación: profesionales (7,5% de traders, 52,8% del volumen) versus usuarios mass (92,5% de traders, 47,2% del volumen).</w:t>
      </w:r>
    </w:p>
    <w:p w:rsidR="00000000" w:rsidDel="00000000" w:rsidP="00000000" w:rsidRDefault="00000000" w:rsidRPr="00000000" w14:paraId="000000F9">
      <w:pPr>
        <w:spacing w:after="150" w:lineRule="auto"/>
        <w:jc w:val="both"/>
        <w:rPr/>
      </w:pPr>
      <w:r w:rsidDel="00000000" w:rsidR="00000000" w:rsidRPr="00000000">
        <w:rPr>
          <w:b w:val="1"/>
          <w:bCs w:val="1"/>
          <w:rtl w:val="0"/>
        </w:rPr>
        <w:t xml:space="preserve">4. Validación temporal: </w:t>
      </w:r>
      <w:r w:rsidDel="00000000" w:rsidR="00000000" w:rsidRPr="00000000">
        <w:rPr>
          <w:rtl w:val="0"/>
        </w:rPr>
        <w:t xml:space="preserve">El efecto fin de semana (-33,4%) es robusto en ocho especificaciones econométricas y homogéneo entre tipos de agentes, confirmando el vínculo del mercado P2P con la economía formal.</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B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