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1E7" w:rsidRPr="00C2709A" w:rsidRDefault="008471E7" w:rsidP="00E11FE7">
      <w:pPr>
        <w:jc w:val="center"/>
        <w:rPr>
          <w:rFonts w:ascii="Arial" w:hAnsi="Arial" w:cs="Arial"/>
        </w:rPr>
      </w:pPr>
      <w:r w:rsidRPr="00C2709A">
        <w:rPr>
          <w:rFonts w:ascii="Arial" w:hAnsi="Arial" w:cs="Arial"/>
        </w:rPr>
        <w:t>UNIVERSIDAD CATOLICA BOLIVIANA “SAN PABLO”</w:t>
      </w:r>
    </w:p>
    <w:p w:rsidR="008471E7" w:rsidRPr="00C2709A" w:rsidRDefault="008471E7" w:rsidP="00E11FE7">
      <w:pPr>
        <w:jc w:val="center"/>
        <w:rPr>
          <w:rFonts w:ascii="Arial" w:hAnsi="Arial" w:cs="Arial"/>
        </w:rPr>
      </w:pPr>
      <w:r w:rsidRPr="00C2709A">
        <w:rPr>
          <w:rFonts w:ascii="Arial" w:hAnsi="Arial" w:cs="Arial"/>
        </w:rPr>
        <w:t>MAESTRIA EN CIENCIA DE DATOS, TERCERA VERSION</w:t>
      </w:r>
    </w:p>
    <w:p w:rsidR="008471E7" w:rsidRPr="00C2709A" w:rsidRDefault="008471E7" w:rsidP="00E11FE7">
      <w:pPr>
        <w:jc w:val="center"/>
        <w:rPr>
          <w:rFonts w:ascii="Arial" w:hAnsi="Arial" w:cs="Arial"/>
          <w:sz w:val="24"/>
        </w:rPr>
      </w:pPr>
    </w:p>
    <w:p w:rsidR="008471E7" w:rsidRPr="00C2709A" w:rsidRDefault="008471E7" w:rsidP="00E11FE7">
      <w:pPr>
        <w:jc w:val="center"/>
        <w:rPr>
          <w:rFonts w:ascii="Arial" w:hAnsi="Arial" w:cs="Arial"/>
          <w:sz w:val="24"/>
        </w:rPr>
      </w:pPr>
    </w:p>
    <w:p w:rsidR="008471E7" w:rsidRPr="00C2709A" w:rsidRDefault="008471E7" w:rsidP="00E11FE7">
      <w:pPr>
        <w:jc w:val="center"/>
        <w:rPr>
          <w:rFonts w:ascii="Arial" w:hAnsi="Arial" w:cs="Arial"/>
          <w:sz w:val="24"/>
        </w:rPr>
      </w:pPr>
    </w:p>
    <w:p w:rsidR="009662A4" w:rsidRPr="00C2709A" w:rsidRDefault="004B2BCC" w:rsidP="00E11FE7">
      <w:pPr>
        <w:jc w:val="center"/>
        <w:rPr>
          <w:rFonts w:ascii="Arial" w:hAnsi="Arial" w:cs="Arial"/>
        </w:rPr>
      </w:pPr>
      <w:r w:rsidRPr="00C2709A">
        <w:rPr>
          <w:rFonts w:ascii="Arial" w:hAnsi="Arial" w:cs="Arial"/>
          <w:noProof/>
          <w:lang w:eastAsia="es-BO"/>
        </w:rPr>
        <w:drawing>
          <wp:inline distT="0" distB="0" distL="0" distR="0">
            <wp:extent cx="2552369" cy="2552369"/>
            <wp:effectExtent l="0" t="0" r="635" b="635"/>
            <wp:docPr id="2" name="Imagen 2" descr="Bolivia Design: Logo grande en PSD Universidad Católica Boliviana &amp;quot;UCB&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ivia Design: Logo grande en PSD Universidad Católica Boliviana &amp;quot;UCB&amp;quot;"/>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2561799" cy="2561799"/>
                    </a:xfrm>
                    <a:prstGeom prst="rect">
                      <a:avLst/>
                    </a:prstGeom>
                    <a:noFill/>
                    <a:ln>
                      <a:noFill/>
                    </a:ln>
                  </pic:spPr>
                </pic:pic>
              </a:graphicData>
            </a:graphic>
          </wp:inline>
        </w:drawing>
      </w:r>
    </w:p>
    <w:p w:rsidR="008471E7" w:rsidRPr="00C2709A" w:rsidRDefault="008471E7" w:rsidP="00E11FE7">
      <w:pPr>
        <w:jc w:val="center"/>
        <w:rPr>
          <w:rFonts w:ascii="Arial" w:hAnsi="Arial" w:cs="Arial"/>
        </w:rPr>
      </w:pPr>
    </w:p>
    <w:p w:rsidR="008471E7" w:rsidRPr="00C2709A" w:rsidRDefault="008471E7" w:rsidP="00E11FE7">
      <w:pPr>
        <w:jc w:val="center"/>
        <w:rPr>
          <w:rFonts w:ascii="Arial" w:hAnsi="Arial" w:cs="Arial"/>
        </w:rPr>
      </w:pPr>
    </w:p>
    <w:p w:rsidR="008471E7" w:rsidRPr="00C2709A" w:rsidRDefault="008471E7" w:rsidP="00E11FE7">
      <w:pPr>
        <w:jc w:val="center"/>
        <w:rPr>
          <w:rFonts w:ascii="Arial" w:hAnsi="Arial" w:cs="Arial"/>
        </w:rPr>
      </w:pPr>
    </w:p>
    <w:p w:rsidR="008471E7" w:rsidRDefault="008471E7" w:rsidP="00E11FE7">
      <w:pPr>
        <w:jc w:val="center"/>
        <w:rPr>
          <w:rFonts w:ascii="Arial" w:hAnsi="Arial" w:cs="Arial"/>
          <w:sz w:val="28"/>
        </w:rPr>
      </w:pPr>
      <w:r w:rsidRPr="00C2709A">
        <w:rPr>
          <w:rFonts w:ascii="Arial" w:hAnsi="Arial" w:cs="Arial"/>
          <w:sz w:val="28"/>
        </w:rPr>
        <w:t>Materia: ANALISIS ESTADÍSTICO I</w:t>
      </w:r>
      <w:r w:rsidR="009A1D69" w:rsidRPr="00C2709A">
        <w:rPr>
          <w:rFonts w:ascii="Arial" w:hAnsi="Arial" w:cs="Arial"/>
          <w:sz w:val="28"/>
        </w:rPr>
        <w:t>I</w:t>
      </w:r>
    </w:p>
    <w:p w:rsidR="00B55AA1" w:rsidRPr="00C2709A" w:rsidRDefault="00B55AA1" w:rsidP="00E11FE7">
      <w:pPr>
        <w:jc w:val="center"/>
        <w:rPr>
          <w:rFonts w:ascii="Arial" w:hAnsi="Arial" w:cs="Arial"/>
          <w:sz w:val="28"/>
        </w:rPr>
      </w:pPr>
    </w:p>
    <w:p w:rsidR="008471E7" w:rsidRDefault="00B55AA1" w:rsidP="00E11FE7">
      <w:pPr>
        <w:jc w:val="center"/>
        <w:rPr>
          <w:rFonts w:ascii="Arial" w:hAnsi="Arial" w:cs="Arial"/>
          <w:color w:val="0070C0"/>
          <w:sz w:val="28"/>
        </w:rPr>
      </w:pPr>
      <w:r w:rsidRPr="006B1D53">
        <w:rPr>
          <w:rFonts w:ascii="Arial" w:hAnsi="Arial" w:cs="Arial"/>
          <w:color w:val="0070C0"/>
          <w:sz w:val="28"/>
        </w:rPr>
        <w:t>PROYECTO FINAL</w:t>
      </w:r>
    </w:p>
    <w:p w:rsidR="00F2749E" w:rsidRDefault="00F2749E" w:rsidP="00E11FE7">
      <w:pPr>
        <w:jc w:val="center"/>
        <w:rPr>
          <w:rFonts w:ascii="Arial" w:hAnsi="Arial" w:cs="Arial"/>
          <w:color w:val="0070C0"/>
          <w:sz w:val="28"/>
        </w:rPr>
      </w:pPr>
      <w:r>
        <w:rPr>
          <w:rFonts w:ascii="Arial" w:hAnsi="Arial" w:cs="Arial"/>
          <w:color w:val="0070C0"/>
          <w:sz w:val="28"/>
        </w:rPr>
        <w:t>Análisis de las exportaciones bolivianas mediante modelos</w:t>
      </w:r>
    </w:p>
    <w:p w:rsidR="00F2749E" w:rsidRPr="006B1D53" w:rsidRDefault="00F2749E" w:rsidP="00E11FE7">
      <w:pPr>
        <w:jc w:val="center"/>
        <w:rPr>
          <w:rFonts w:ascii="Arial" w:hAnsi="Arial" w:cs="Arial"/>
          <w:color w:val="0070C0"/>
          <w:sz w:val="28"/>
        </w:rPr>
      </w:pPr>
      <w:r>
        <w:rPr>
          <w:rFonts w:ascii="Arial" w:hAnsi="Arial" w:cs="Arial"/>
          <w:color w:val="0070C0"/>
          <w:sz w:val="28"/>
        </w:rPr>
        <w:t xml:space="preserve">ARIMA y </w:t>
      </w:r>
      <w:proofErr w:type="spellStart"/>
      <w:r>
        <w:rPr>
          <w:rFonts w:ascii="Arial" w:hAnsi="Arial" w:cs="Arial"/>
          <w:color w:val="0070C0"/>
          <w:sz w:val="28"/>
        </w:rPr>
        <w:t>Clustering</w:t>
      </w:r>
      <w:proofErr w:type="spellEnd"/>
      <w:r>
        <w:rPr>
          <w:rFonts w:ascii="Arial" w:hAnsi="Arial" w:cs="Arial"/>
          <w:color w:val="0070C0"/>
          <w:sz w:val="28"/>
        </w:rPr>
        <w:t xml:space="preserve"> para el Periodo 2000-2022</w:t>
      </w:r>
    </w:p>
    <w:p w:rsidR="008471E7" w:rsidRPr="00C2709A" w:rsidRDefault="008471E7" w:rsidP="00E11FE7">
      <w:pPr>
        <w:jc w:val="center"/>
        <w:rPr>
          <w:rFonts w:ascii="Arial" w:hAnsi="Arial" w:cs="Arial"/>
        </w:rPr>
      </w:pPr>
    </w:p>
    <w:p w:rsidR="008471E7" w:rsidRPr="00C2709A" w:rsidRDefault="008471E7" w:rsidP="00E11FE7">
      <w:pPr>
        <w:jc w:val="center"/>
        <w:rPr>
          <w:rFonts w:ascii="Arial" w:hAnsi="Arial" w:cs="Arial"/>
          <w:sz w:val="28"/>
        </w:rPr>
      </w:pPr>
      <w:r w:rsidRPr="00C2709A">
        <w:rPr>
          <w:rFonts w:ascii="Arial" w:hAnsi="Arial" w:cs="Arial"/>
          <w:sz w:val="28"/>
        </w:rPr>
        <w:t>Maestrante: Ramón Wilder Serdán Cárdenas</w:t>
      </w:r>
    </w:p>
    <w:p w:rsidR="008471E7" w:rsidRPr="00C2709A" w:rsidRDefault="008471E7" w:rsidP="00E11FE7">
      <w:pPr>
        <w:jc w:val="center"/>
        <w:rPr>
          <w:rFonts w:ascii="Arial" w:hAnsi="Arial" w:cs="Arial"/>
          <w:sz w:val="28"/>
        </w:rPr>
      </w:pPr>
    </w:p>
    <w:p w:rsidR="009A1D69" w:rsidRPr="00C2709A" w:rsidRDefault="009A1D69" w:rsidP="00E11FE7">
      <w:pPr>
        <w:jc w:val="center"/>
        <w:rPr>
          <w:rFonts w:ascii="Arial" w:hAnsi="Arial" w:cs="Arial"/>
          <w:sz w:val="28"/>
        </w:rPr>
      </w:pPr>
      <w:r w:rsidRPr="00C2709A">
        <w:rPr>
          <w:rFonts w:ascii="Arial" w:hAnsi="Arial" w:cs="Arial"/>
          <w:sz w:val="28"/>
        </w:rPr>
        <w:t>Julio</w:t>
      </w:r>
      <w:r w:rsidR="008471E7" w:rsidRPr="00C2709A">
        <w:rPr>
          <w:rFonts w:ascii="Arial" w:hAnsi="Arial" w:cs="Arial"/>
          <w:sz w:val="28"/>
        </w:rPr>
        <w:t xml:space="preserve"> 202</w:t>
      </w:r>
      <w:r w:rsidRPr="00C2709A">
        <w:rPr>
          <w:rFonts w:ascii="Arial" w:hAnsi="Arial" w:cs="Arial"/>
          <w:sz w:val="28"/>
        </w:rPr>
        <w:t>2</w:t>
      </w:r>
    </w:p>
    <w:p w:rsidR="008471E7" w:rsidRPr="00C2709A" w:rsidRDefault="008471E7" w:rsidP="00E11FE7">
      <w:pPr>
        <w:jc w:val="center"/>
        <w:rPr>
          <w:rFonts w:ascii="Arial" w:hAnsi="Arial" w:cs="Arial"/>
          <w:sz w:val="28"/>
        </w:rPr>
      </w:pPr>
      <w:r w:rsidRPr="00C2709A">
        <w:rPr>
          <w:rFonts w:ascii="Arial" w:hAnsi="Arial" w:cs="Arial"/>
          <w:sz w:val="28"/>
        </w:rPr>
        <w:t>La Paz – Bolivia</w:t>
      </w:r>
    </w:p>
    <w:p w:rsidR="008471E7" w:rsidRPr="00C2709A" w:rsidRDefault="008471E7" w:rsidP="008E6F21">
      <w:pPr>
        <w:jc w:val="both"/>
        <w:rPr>
          <w:rFonts w:ascii="Arial" w:hAnsi="Arial" w:cs="Arial"/>
          <w:sz w:val="28"/>
        </w:rPr>
      </w:pPr>
    </w:p>
    <w:sdt>
      <w:sdtPr>
        <w:rPr>
          <w:rFonts w:ascii="Arial" w:eastAsiaTheme="minorHAnsi" w:hAnsi="Arial" w:cs="Arial"/>
          <w:color w:val="auto"/>
          <w:sz w:val="22"/>
          <w:szCs w:val="22"/>
          <w:lang w:val="es-ES" w:eastAsia="en-US"/>
        </w:rPr>
        <w:id w:val="-1320036773"/>
        <w:docPartObj>
          <w:docPartGallery w:val="Table of Contents"/>
          <w:docPartUnique/>
        </w:docPartObj>
      </w:sdtPr>
      <w:sdtEndPr>
        <w:rPr>
          <w:b/>
          <w:bCs/>
        </w:rPr>
      </w:sdtEndPr>
      <w:sdtContent>
        <w:p w:rsidR="001C626D" w:rsidRPr="00C2709A" w:rsidRDefault="001C626D">
          <w:pPr>
            <w:pStyle w:val="TtuloTDC"/>
            <w:rPr>
              <w:rFonts w:ascii="Arial" w:hAnsi="Arial" w:cs="Arial"/>
            </w:rPr>
          </w:pPr>
          <w:r w:rsidRPr="00C2709A">
            <w:rPr>
              <w:rFonts w:ascii="Arial" w:hAnsi="Arial" w:cs="Arial"/>
              <w:lang w:val="es-ES"/>
            </w:rPr>
            <w:t>Contenido</w:t>
          </w:r>
        </w:p>
        <w:p w:rsidR="00F80CC5" w:rsidRDefault="001C626D">
          <w:pPr>
            <w:pStyle w:val="TDC1"/>
            <w:tabs>
              <w:tab w:val="right" w:leader="dot" w:pos="9350"/>
            </w:tabs>
            <w:rPr>
              <w:rFonts w:eastAsiaTheme="minorEastAsia"/>
              <w:noProof/>
              <w:lang w:eastAsia="es-BO"/>
            </w:rPr>
          </w:pPr>
          <w:r w:rsidRPr="00C2709A">
            <w:rPr>
              <w:rFonts w:ascii="Arial" w:hAnsi="Arial" w:cs="Arial"/>
            </w:rPr>
            <w:fldChar w:fldCharType="begin"/>
          </w:r>
          <w:r w:rsidRPr="00C2709A">
            <w:rPr>
              <w:rFonts w:ascii="Arial" w:hAnsi="Arial" w:cs="Arial"/>
            </w:rPr>
            <w:instrText xml:space="preserve"> TOC \o "1-3" \h \z \u </w:instrText>
          </w:r>
          <w:r w:rsidRPr="00C2709A">
            <w:rPr>
              <w:rFonts w:ascii="Arial" w:hAnsi="Arial" w:cs="Arial"/>
            </w:rPr>
            <w:fldChar w:fldCharType="separate"/>
          </w:r>
          <w:hyperlink w:anchor="_Toc109144673" w:history="1">
            <w:r w:rsidR="00F80CC5" w:rsidRPr="00452764">
              <w:rPr>
                <w:rStyle w:val="Hipervnculo"/>
                <w:rFonts w:ascii="Arial" w:hAnsi="Arial" w:cs="Arial"/>
                <w:noProof/>
              </w:rPr>
              <w:t>Introducción</w:t>
            </w:r>
            <w:r w:rsidR="00F80CC5">
              <w:rPr>
                <w:noProof/>
                <w:webHidden/>
              </w:rPr>
              <w:tab/>
            </w:r>
            <w:r w:rsidR="00F80CC5">
              <w:rPr>
                <w:noProof/>
                <w:webHidden/>
              </w:rPr>
              <w:fldChar w:fldCharType="begin"/>
            </w:r>
            <w:r w:rsidR="00F80CC5">
              <w:rPr>
                <w:noProof/>
                <w:webHidden/>
              </w:rPr>
              <w:instrText xml:space="preserve"> PAGEREF _Toc109144673 \h </w:instrText>
            </w:r>
            <w:r w:rsidR="00F80CC5">
              <w:rPr>
                <w:noProof/>
                <w:webHidden/>
              </w:rPr>
            </w:r>
            <w:r w:rsidR="00F80CC5">
              <w:rPr>
                <w:noProof/>
                <w:webHidden/>
              </w:rPr>
              <w:fldChar w:fldCharType="separate"/>
            </w:r>
            <w:r w:rsidR="00F80CC5">
              <w:rPr>
                <w:noProof/>
                <w:webHidden/>
              </w:rPr>
              <w:t>3</w:t>
            </w:r>
            <w:r w:rsidR="00F80CC5">
              <w:rPr>
                <w:noProof/>
                <w:webHidden/>
              </w:rPr>
              <w:fldChar w:fldCharType="end"/>
            </w:r>
          </w:hyperlink>
        </w:p>
        <w:p w:rsidR="00F80CC5" w:rsidRDefault="00F80CC5">
          <w:pPr>
            <w:pStyle w:val="TDC1"/>
            <w:tabs>
              <w:tab w:val="right" w:leader="dot" w:pos="9350"/>
            </w:tabs>
            <w:rPr>
              <w:rFonts w:eastAsiaTheme="minorEastAsia"/>
              <w:noProof/>
              <w:lang w:eastAsia="es-BO"/>
            </w:rPr>
          </w:pPr>
          <w:hyperlink w:anchor="_Toc109144674" w:history="1">
            <w:r w:rsidRPr="00452764">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_Toc109144674 \h </w:instrText>
            </w:r>
            <w:r>
              <w:rPr>
                <w:noProof/>
                <w:webHidden/>
              </w:rPr>
            </w:r>
            <w:r>
              <w:rPr>
                <w:noProof/>
                <w:webHidden/>
              </w:rPr>
              <w:fldChar w:fldCharType="separate"/>
            </w:r>
            <w:r>
              <w:rPr>
                <w:noProof/>
                <w:webHidden/>
              </w:rPr>
              <w:t>3</w:t>
            </w:r>
            <w:r>
              <w:rPr>
                <w:noProof/>
                <w:webHidden/>
              </w:rPr>
              <w:fldChar w:fldCharType="end"/>
            </w:r>
          </w:hyperlink>
        </w:p>
        <w:p w:rsidR="00F80CC5" w:rsidRDefault="00F80CC5">
          <w:pPr>
            <w:pStyle w:val="TDC1"/>
            <w:tabs>
              <w:tab w:val="right" w:leader="dot" w:pos="9350"/>
            </w:tabs>
            <w:rPr>
              <w:rFonts w:eastAsiaTheme="minorEastAsia"/>
              <w:noProof/>
              <w:lang w:eastAsia="es-BO"/>
            </w:rPr>
          </w:pPr>
          <w:hyperlink w:anchor="_Toc109144675" w:history="1">
            <w:r w:rsidRPr="00452764">
              <w:rPr>
                <w:rStyle w:val="Hipervnculo"/>
                <w:rFonts w:ascii="Arial" w:hAnsi="Arial" w:cs="Arial"/>
                <w:noProof/>
              </w:rPr>
              <w:t>Datos</w:t>
            </w:r>
            <w:r>
              <w:rPr>
                <w:noProof/>
                <w:webHidden/>
              </w:rPr>
              <w:tab/>
            </w:r>
            <w:r>
              <w:rPr>
                <w:noProof/>
                <w:webHidden/>
              </w:rPr>
              <w:fldChar w:fldCharType="begin"/>
            </w:r>
            <w:r>
              <w:rPr>
                <w:noProof/>
                <w:webHidden/>
              </w:rPr>
              <w:instrText xml:space="preserve"> PAGEREF _Toc109144675 \h </w:instrText>
            </w:r>
            <w:r>
              <w:rPr>
                <w:noProof/>
                <w:webHidden/>
              </w:rPr>
            </w:r>
            <w:r>
              <w:rPr>
                <w:noProof/>
                <w:webHidden/>
              </w:rPr>
              <w:fldChar w:fldCharType="separate"/>
            </w:r>
            <w:r>
              <w:rPr>
                <w:noProof/>
                <w:webHidden/>
              </w:rPr>
              <w:t>3</w:t>
            </w:r>
            <w:r>
              <w:rPr>
                <w:noProof/>
                <w:webHidden/>
              </w:rPr>
              <w:fldChar w:fldCharType="end"/>
            </w:r>
          </w:hyperlink>
        </w:p>
        <w:p w:rsidR="00F80CC5" w:rsidRDefault="00F80CC5">
          <w:pPr>
            <w:pStyle w:val="TDC1"/>
            <w:tabs>
              <w:tab w:val="right" w:leader="dot" w:pos="9350"/>
            </w:tabs>
            <w:rPr>
              <w:rFonts w:eastAsiaTheme="minorEastAsia"/>
              <w:noProof/>
              <w:lang w:eastAsia="es-BO"/>
            </w:rPr>
          </w:pPr>
          <w:hyperlink w:anchor="_Toc109144676" w:history="1">
            <w:r w:rsidRPr="00452764">
              <w:rPr>
                <w:rStyle w:val="Hipervnculo"/>
                <w:rFonts w:ascii="Arial" w:hAnsi="Arial" w:cs="Arial"/>
                <w:noProof/>
              </w:rPr>
              <w:t>Análisis</w:t>
            </w:r>
            <w:r>
              <w:rPr>
                <w:noProof/>
                <w:webHidden/>
              </w:rPr>
              <w:tab/>
            </w:r>
            <w:r>
              <w:rPr>
                <w:noProof/>
                <w:webHidden/>
              </w:rPr>
              <w:fldChar w:fldCharType="begin"/>
            </w:r>
            <w:r>
              <w:rPr>
                <w:noProof/>
                <w:webHidden/>
              </w:rPr>
              <w:instrText xml:space="preserve"> PAGEREF _Toc109144676 \h </w:instrText>
            </w:r>
            <w:r>
              <w:rPr>
                <w:noProof/>
                <w:webHidden/>
              </w:rPr>
            </w:r>
            <w:r>
              <w:rPr>
                <w:noProof/>
                <w:webHidden/>
              </w:rPr>
              <w:fldChar w:fldCharType="separate"/>
            </w:r>
            <w:r>
              <w:rPr>
                <w:noProof/>
                <w:webHidden/>
              </w:rPr>
              <w:t>4</w:t>
            </w:r>
            <w:r>
              <w:rPr>
                <w:noProof/>
                <w:webHidden/>
              </w:rPr>
              <w:fldChar w:fldCharType="end"/>
            </w:r>
          </w:hyperlink>
        </w:p>
        <w:p w:rsidR="00F80CC5" w:rsidRDefault="00F80CC5">
          <w:pPr>
            <w:pStyle w:val="TDC2"/>
            <w:tabs>
              <w:tab w:val="right" w:leader="dot" w:pos="9350"/>
            </w:tabs>
            <w:rPr>
              <w:rFonts w:eastAsiaTheme="minorEastAsia"/>
              <w:noProof/>
              <w:lang w:eastAsia="es-BO"/>
            </w:rPr>
          </w:pPr>
          <w:hyperlink w:anchor="_Toc109144677" w:history="1">
            <w:r w:rsidRPr="00452764">
              <w:rPr>
                <w:rStyle w:val="Hipervnculo"/>
                <w:rFonts w:ascii="Arial" w:hAnsi="Arial" w:cs="Arial"/>
                <w:noProof/>
              </w:rPr>
              <w:t>Análisis de Series de tiempo</w:t>
            </w:r>
            <w:r>
              <w:rPr>
                <w:noProof/>
                <w:webHidden/>
              </w:rPr>
              <w:tab/>
            </w:r>
            <w:r>
              <w:rPr>
                <w:noProof/>
                <w:webHidden/>
              </w:rPr>
              <w:fldChar w:fldCharType="begin"/>
            </w:r>
            <w:r>
              <w:rPr>
                <w:noProof/>
                <w:webHidden/>
              </w:rPr>
              <w:instrText xml:space="preserve"> PAGEREF _Toc109144677 \h </w:instrText>
            </w:r>
            <w:r>
              <w:rPr>
                <w:noProof/>
                <w:webHidden/>
              </w:rPr>
            </w:r>
            <w:r>
              <w:rPr>
                <w:noProof/>
                <w:webHidden/>
              </w:rPr>
              <w:fldChar w:fldCharType="separate"/>
            </w:r>
            <w:r>
              <w:rPr>
                <w:noProof/>
                <w:webHidden/>
              </w:rPr>
              <w:t>4</w:t>
            </w:r>
            <w:r>
              <w:rPr>
                <w:noProof/>
                <w:webHidden/>
              </w:rPr>
              <w:fldChar w:fldCharType="end"/>
            </w:r>
          </w:hyperlink>
        </w:p>
        <w:p w:rsidR="00F80CC5" w:rsidRDefault="00F80CC5">
          <w:pPr>
            <w:pStyle w:val="TDC2"/>
            <w:tabs>
              <w:tab w:val="right" w:leader="dot" w:pos="9350"/>
            </w:tabs>
            <w:rPr>
              <w:rFonts w:eastAsiaTheme="minorEastAsia"/>
              <w:noProof/>
              <w:lang w:eastAsia="es-BO"/>
            </w:rPr>
          </w:pPr>
          <w:hyperlink w:anchor="_Toc109144678" w:history="1">
            <w:r w:rsidRPr="00452764">
              <w:rPr>
                <w:rStyle w:val="Hipervnculo"/>
                <w:rFonts w:ascii="Arial" w:hAnsi="Arial" w:cs="Arial"/>
                <w:noProof/>
              </w:rPr>
              <w:t>Clustering</w:t>
            </w:r>
            <w:r>
              <w:rPr>
                <w:noProof/>
                <w:webHidden/>
              </w:rPr>
              <w:tab/>
            </w:r>
            <w:r>
              <w:rPr>
                <w:noProof/>
                <w:webHidden/>
              </w:rPr>
              <w:fldChar w:fldCharType="begin"/>
            </w:r>
            <w:r>
              <w:rPr>
                <w:noProof/>
                <w:webHidden/>
              </w:rPr>
              <w:instrText xml:space="preserve"> PAGEREF _Toc109144678 \h </w:instrText>
            </w:r>
            <w:r>
              <w:rPr>
                <w:noProof/>
                <w:webHidden/>
              </w:rPr>
            </w:r>
            <w:r>
              <w:rPr>
                <w:noProof/>
                <w:webHidden/>
              </w:rPr>
              <w:fldChar w:fldCharType="separate"/>
            </w:r>
            <w:r>
              <w:rPr>
                <w:noProof/>
                <w:webHidden/>
              </w:rPr>
              <w:t>13</w:t>
            </w:r>
            <w:r>
              <w:rPr>
                <w:noProof/>
                <w:webHidden/>
              </w:rPr>
              <w:fldChar w:fldCharType="end"/>
            </w:r>
          </w:hyperlink>
        </w:p>
        <w:p w:rsidR="00F80CC5" w:rsidRDefault="00F80CC5">
          <w:pPr>
            <w:pStyle w:val="TDC1"/>
            <w:tabs>
              <w:tab w:val="right" w:leader="dot" w:pos="9350"/>
            </w:tabs>
            <w:rPr>
              <w:rFonts w:eastAsiaTheme="minorEastAsia"/>
              <w:noProof/>
              <w:lang w:eastAsia="es-BO"/>
            </w:rPr>
          </w:pPr>
          <w:hyperlink w:anchor="_Toc109144679" w:history="1">
            <w:r w:rsidRPr="00452764">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_Toc109144679 \h </w:instrText>
            </w:r>
            <w:r>
              <w:rPr>
                <w:noProof/>
                <w:webHidden/>
              </w:rPr>
            </w:r>
            <w:r>
              <w:rPr>
                <w:noProof/>
                <w:webHidden/>
              </w:rPr>
              <w:fldChar w:fldCharType="separate"/>
            </w:r>
            <w:r>
              <w:rPr>
                <w:noProof/>
                <w:webHidden/>
              </w:rPr>
              <w:t>14</w:t>
            </w:r>
            <w:r>
              <w:rPr>
                <w:noProof/>
                <w:webHidden/>
              </w:rPr>
              <w:fldChar w:fldCharType="end"/>
            </w:r>
          </w:hyperlink>
        </w:p>
        <w:p w:rsidR="001C626D" w:rsidRPr="00C2709A" w:rsidRDefault="001C626D">
          <w:pPr>
            <w:rPr>
              <w:rFonts w:ascii="Arial" w:hAnsi="Arial" w:cs="Arial"/>
            </w:rPr>
          </w:pPr>
          <w:r w:rsidRPr="00C2709A">
            <w:rPr>
              <w:rFonts w:ascii="Arial" w:hAnsi="Arial" w:cs="Arial"/>
              <w:b/>
              <w:bCs/>
              <w:lang w:val="es-ES"/>
            </w:rPr>
            <w:fldChar w:fldCharType="end"/>
          </w:r>
        </w:p>
      </w:sdtContent>
    </w:sdt>
    <w:p w:rsidR="001C626D" w:rsidRPr="00C2709A" w:rsidRDefault="001C626D" w:rsidP="008E6F21">
      <w:pPr>
        <w:jc w:val="both"/>
        <w:rPr>
          <w:rFonts w:ascii="Arial" w:hAnsi="Arial" w:cs="Arial"/>
          <w:sz w:val="28"/>
        </w:rPr>
      </w:pPr>
    </w:p>
    <w:p w:rsidR="001C626D" w:rsidRPr="00C2709A" w:rsidRDefault="001C626D" w:rsidP="008E6F21">
      <w:pPr>
        <w:jc w:val="both"/>
        <w:rPr>
          <w:rFonts w:ascii="Arial" w:hAnsi="Arial" w:cs="Arial"/>
          <w:sz w:val="28"/>
        </w:rPr>
      </w:pPr>
    </w:p>
    <w:p w:rsidR="00E65E81" w:rsidRPr="00C2709A" w:rsidRDefault="00E65E81" w:rsidP="008E6F21">
      <w:pPr>
        <w:jc w:val="both"/>
        <w:rPr>
          <w:rFonts w:ascii="Arial" w:hAnsi="Arial" w:cs="Arial"/>
          <w:sz w:val="28"/>
        </w:rPr>
      </w:pPr>
    </w:p>
    <w:p w:rsidR="00E65E81" w:rsidRPr="00C2709A" w:rsidRDefault="00E65E81" w:rsidP="008E6F21">
      <w:pPr>
        <w:jc w:val="both"/>
        <w:rPr>
          <w:rFonts w:ascii="Arial" w:hAnsi="Arial" w:cs="Arial"/>
          <w:sz w:val="28"/>
        </w:rPr>
      </w:pPr>
    </w:p>
    <w:p w:rsidR="00E65E81" w:rsidRPr="00C2709A" w:rsidRDefault="00E65E81" w:rsidP="008E6F21">
      <w:pPr>
        <w:jc w:val="both"/>
        <w:rPr>
          <w:rFonts w:ascii="Arial" w:hAnsi="Arial" w:cs="Arial"/>
          <w:sz w:val="28"/>
        </w:rPr>
      </w:pPr>
    </w:p>
    <w:p w:rsidR="00E65E81" w:rsidRPr="00C2709A" w:rsidRDefault="00E65E81" w:rsidP="008E6F21">
      <w:pPr>
        <w:jc w:val="both"/>
        <w:rPr>
          <w:rFonts w:ascii="Arial" w:hAnsi="Arial" w:cs="Arial"/>
          <w:sz w:val="28"/>
        </w:rPr>
      </w:pPr>
    </w:p>
    <w:p w:rsidR="00E65E81" w:rsidRDefault="00E65E81" w:rsidP="008E6F21">
      <w:pPr>
        <w:jc w:val="both"/>
        <w:rPr>
          <w:rFonts w:ascii="Arial" w:hAnsi="Arial" w:cs="Arial"/>
          <w:sz w:val="28"/>
        </w:rPr>
      </w:pPr>
    </w:p>
    <w:p w:rsidR="00D85465" w:rsidRDefault="00D85465" w:rsidP="008E6F21">
      <w:pPr>
        <w:jc w:val="both"/>
        <w:rPr>
          <w:rFonts w:ascii="Arial" w:hAnsi="Arial" w:cs="Arial"/>
          <w:sz w:val="28"/>
        </w:rPr>
      </w:pPr>
    </w:p>
    <w:p w:rsidR="00881A37" w:rsidRDefault="00881A37" w:rsidP="008E6F21">
      <w:pPr>
        <w:jc w:val="both"/>
        <w:rPr>
          <w:rFonts w:ascii="Arial" w:hAnsi="Arial" w:cs="Arial"/>
          <w:sz w:val="28"/>
        </w:rPr>
      </w:pPr>
    </w:p>
    <w:p w:rsidR="00D85465" w:rsidRDefault="00D85465" w:rsidP="008E6F21">
      <w:pPr>
        <w:jc w:val="both"/>
        <w:rPr>
          <w:rFonts w:ascii="Arial" w:hAnsi="Arial" w:cs="Arial"/>
          <w:sz w:val="28"/>
        </w:rPr>
      </w:pPr>
    </w:p>
    <w:p w:rsidR="00D85465" w:rsidRDefault="00D85465" w:rsidP="008E6F21">
      <w:pPr>
        <w:jc w:val="both"/>
        <w:rPr>
          <w:rFonts w:ascii="Arial" w:hAnsi="Arial" w:cs="Arial"/>
          <w:sz w:val="28"/>
        </w:rPr>
      </w:pPr>
    </w:p>
    <w:p w:rsidR="00D85465" w:rsidRDefault="00D85465" w:rsidP="008E6F21">
      <w:pPr>
        <w:jc w:val="both"/>
        <w:rPr>
          <w:rFonts w:ascii="Arial" w:hAnsi="Arial" w:cs="Arial"/>
          <w:sz w:val="28"/>
        </w:rPr>
      </w:pPr>
    </w:p>
    <w:p w:rsidR="00D85465" w:rsidRDefault="00D85465" w:rsidP="008E6F21">
      <w:pPr>
        <w:jc w:val="both"/>
        <w:rPr>
          <w:rFonts w:ascii="Arial" w:hAnsi="Arial" w:cs="Arial"/>
          <w:sz w:val="28"/>
        </w:rPr>
      </w:pPr>
    </w:p>
    <w:p w:rsidR="00D85465" w:rsidRDefault="00D85465" w:rsidP="008E6F21">
      <w:pPr>
        <w:jc w:val="both"/>
        <w:rPr>
          <w:rFonts w:ascii="Arial" w:hAnsi="Arial" w:cs="Arial"/>
          <w:sz w:val="28"/>
        </w:rPr>
      </w:pPr>
    </w:p>
    <w:p w:rsidR="00D85465" w:rsidRDefault="00D85465" w:rsidP="008E6F21">
      <w:pPr>
        <w:jc w:val="both"/>
        <w:rPr>
          <w:rFonts w:ascii="Arial" w:hAnsi="Arial" w:cs="Arial"/>
          <w:sz w:val="28"/>
        </w:rPr>
      </w:pPr>
    </w:p>
    <w:p w:rsidR="00D85465" w:rsidRDefault="00D85465" w:rsidP="008E6F21">
      <w:pPr>
        <w:jc w:val="both"/>
        <w:rPr>
          <w:rFonts w:ascii="Arial" w:hAnsi="Arial" w:cs="Arial"/>
          <w:sz w:val="28"/>
        </w:rPr>
      </w:pPr>
    </w:p>
    <w:p w:rsidR="00D85465" w:rsidRDefault="00D85465" w:rsidP="008E6F21">
      <w:pPr>
        <w:jc w:val="both"/>
        <w:rPr>
          <w:rFonts w:ascii="Arial" w:hAnsi="Arial" w:cs="Arial"/>
          <w:sz w:val="28"/>
        </w:rPr>
      </w:pPr>
    </w:p>
    <w:p w:rsidR="00881A37" w:rsidRDefault="00881A37" w:rsidP="00F2749E">
      <w:pPr>
        <w:jc w:val="center"/>
        <w:rPr>
          <w:rFonts w:ascii="Arial" w:hAnsi="Arial" w:cs="Arial"/>
          <w:b/>
          <w:sz w:val="28"/>
        </w:rPr>
      </w:pPr>
    </w:p>
    <w:p w:rsidR="00F2749E" w:rsidRPr="00F2749E" w:rsidRDefault="00F2749E" w:rsidP="00F2749E">
      <w:pPr>
        <w:jc w:val="center"/>
        <w:rPr>
          <w:rFonts w:ascii="Arial" w:hAnsi="Arial" w:cs="Arial"/>
          <w:b/>
          <w:sz w:val="28"/>
        </w:rPr>
      </w:pPr>
      <w:r w:rsidRPr="00F2749E">
        <w:rPr>
          <w:rFonts w:ascii="Arial" w:hAnsi="Arial" w:cs="Arial"/>
          <w:b/>
          <w:sz w:val="28"/>
        </w:rPr>
        <w:t>Análisis de las exportaciones bolivianas mediante modelos</w:t>
      </w:r>
    </w:p>
    <w:p w:rsidR="00E65E81" w:rsidRPr="00F2749E" w:rsidRDefault="00F2749E" w:rsidP="00F2749E">
      <w:pPr>
        <w:jc w:val="center"/>
        <w:rPr>
          <w:rFonts w:ascii="Arial" w:hAnsi="Arial" w:cs="Arial"/>
          <w:b/>
          <w:sz w:val="28"/>
        </w:rPr>
      </w:pPr>
      <w:r w:rsidRPr="00F2749E">
        <w:rPr>
          <w:rFonts w:ascii="Arial" w:hAnsi="Arial" w:cs="Arial"/>
          <w:b/>
          <w:sz w:val="28"/>
        </w:rPr>
        <w:t xml:space="preserve">ARIMA y </w:t>
      </w:r>
      <w:proofErr w:type="spellStart"/>
      <w:r w:rsidRPr="00F2749E">
        <w:rPr>
          <w:rFonts w:ascii="Arial" w:hAnsi="Arial" w:cs="Arial"/>
          <w:b/>
          <w:sz w:val="28"/>
        </w:rPr>
        <w:t>Clustering</w:t>
      </w:r>
      <w:proofErr w:type="spellEnd"/>
      <w:r w:rsidRPr="00F2749E">
        <w:rPr>
          <w:rFonts w:ascii="Arial" w:hAnsi="Arial" w:cs="Arial"/>
          <w:b/>
          <w:sz w:val="28"/>
        </w:rPr>
        <w:t xml:space="preserve"> para el Periodo 2000-2022</w:t>
      </w:r>
    </w:p>
    <w:p w:rsidR="00881A37" w:rsidRDefault="00881A37" w:rsidP="00B55AA1">
      <w:pPr>
        <w:pStyle w:val="Ttulo1"/>
        <w:rPr>
          <w:rFonts w:ascii="Arial" w:hAnsi="Arial" w:cs="Arial"/>
        </w:rPr>
      </w:pPr>
    </w:p>
    <w:p w:rsidR="00B55AA1" w:rsidRDefault="00B55AA1" w:rsidP="00B55AA1">
      <w:pPr>
        <w:pStyle w:val="Ttulo1"/>
        <w:rPr>
          <w:rFonts w:ascii="Arial" w:hAnsi="Arial" w:cs="Arial"/>
        </w:rPr>
      </w:pPr>
      <w:bookmarkStart w:id="0" w:name="_Toc109144673"/>
      <w:r w:rsidRPr="00B55AA1">
        <w:rPr>
          <w:rFonts w:ascii="Arial" w:hAnsi="Arial" w:cs="Arial"/>
        </w:rPr>
        <w:t>Introducción</w:t>
      </w:r>
      <w:bookmarkEnd w:id="0"/>
    </w:p>
    <w:p w:rsidR="00B55AA1" w:rsidRDefault="00B55AA1" w:rsidP="00237609">
      <w:pPr>
        <w:jc w:val="both"/>
        <w:rPr>
          <w:rFonts w:ascii="Arial" w:hAnsi="Arial" w:cs="Arial"/>
          <w:sz w:val="24"/>
          <w:szCs w:val="24"/>
        </w:rPr>
      </w:pPr>
      <w:r>
        <w:rPr>
          <w:rFonts w:ascii="Arial" w:hAnsi="Arial" w:cs="Arial"/>
          <w:sz w:val="24"/>
          <w:szCs w:val="24"/>
        </w:rPr>
        <w:t xml:space="preserve">La composición de las exportaciones desde la gestión 2000 cambiaron en función de la dinámica interna </w:t>
      </w:r>
      <w:r w:rsidR="00881A37">
        <w:rPr>
          <w:rFonts w:ascii="Arial" w:hAnsi="Arial" w:cs="Arial"/>
          <w:sz w:val="24"/>
          <w:szCs w:val="24"/>
        </w:rPr>
        <w:t xml:space="preserve">de la economía </w:t>
      </w:r>
      <w:r>
        <w:rPr>
          <w:rFonts w:ascii="Arial" w:hAnsi="Arial" w:cs="Arial"/>
          <w:sz w:val="24"/>
          <w:szCs w:val="24"/>
        </w:rPr>
        <w:t>boliviana y el contexto internacional.</w:t>
      </w:r>
      <w:r w:rsidR="00237609">
        <w:rPr>
          <w:rFonts w:ascii="Arial" w:hAnsi="Arial" w:cs="Arial"/>
          <w:sz w:val="24"/>
          <w:szCs w:val="24"/>
        </w:rPr>
        <w:t xml:space="preserve"> La clasificación entre bienes de exportaciones tradicional y no tradicional (TNT) ha sufrido un cambio importante, es decir, los bienes “no tradicionales” crecieron a un ritmo destacado, en especial las exportaciones de oro metálico.</w:t>
      </w:r>
    </w:p>
    <w:p w:rsidR="00237609" w:rsidRDefault="00237609" w:rsidP="00237609">
      <w:pPr>
        <w:jc w:val="both"/>
        <w:rPr>
          <w:rFonts w:ascii="Arial" w:hAnsi="Arial" w:cs="Arial"/>
          <w:sz w:val="24"/>
          <w:szCs w:val="24"/>
        </w:rPr>
      </w:pPr>
      <w:r>
        <w:rPr>
          <w:rFonts w:ascii="Arial" w:hAnsi="Arial" w:cs="Arial"/>
          <w:sz w:val="24"/>
          <w:szCs w:val="24"/>
        </w:rPr>
        <w:t>Asimismo, los socios comerciales recurrentes históricamente son diferentes en los últimos años. Países como India y Japón han incrementado su participación en el comercio internacional de productos bolivianos.</w:t>
      </w:r>
    </w:p>
    <w:p w:rsidR="00B55AA1" w:rsidRDefault="00B55AA1" w:rsidP="00237609">
      <w:pPr>
        <w:pStyle w:val="Ttulo1"/>
        <w:jc w:val="both"/>
        <w:rPr>
          <w:rFonts w:ascii="Arial" w:hAnsi="Arial" w:cs="Arial"/>
        </w:rPr>
      </w:pPr>
      <w:bookmarkStart w:id="1" w:name="_Toc109144674"/>
      <w:r w:rsidRPr="00B55AA1">
        <w:rPr>
          <w:rFonts w:ascii="Arial" w:hAnsi="Arial" w:cs="Arial"/>
        </w:rPr>
        <w:t>Objetivo</w:t>
      </w:r>
      <w:r w:rsidR="00237609">
        <w:rPr>
          <w:rFonts w:ascii="Arial" w:hAnsi="Arial" w:cs="Arial"/>
        </w:rPr>
        <w:t>s</w:t>
      </w:r>
      <w:bookmarkEnd w:id="1"/>
    </w:p>
    <w:p w:rsidR="00237609" w:rsidRDefault="00931EF2" w:rsidP="00237609">
      <w:pPr>
        <w:jc w:val="both"/>
        <w:rPr>
          <w:rFonts w:ascii="Arial" w:hAnsi="Arial" w:cs="Arial"/>
          <w:sz w:val="24"/>
        </w:rPr>
      </w:pPr>
      <w:r w:rsidRPr="00931EF2">
        <w:rPr>
          <w:rFonts w:ascii="Arial" w:hAnsi="Arial" w:cs="Arial"/>
          <w:sz w:val="24"/>
        </w:rPr>
        <w:t>Analiza</w:t>
      </w:r>
      <w:r>
        <w:rPr>
          <w:rFonts w:ascii="Arial" w:hAnsi="Arial" w:cs="Arial"/>
          <w:sz w:val="24"/>
        </w:rPr>
        <w:t>r el comportamiento de los principales productos de exportación y los destinos desde 2000 a la fecha</w:t>
      </w:r>
      <w:r w:rsidR="00237609">
        <w:rPr>
          <w:rFonts w:ascii="Arial" w:hAnsi="Arial" w:cs="Arial"/>
          <w:sz w:val="24"/>
        </w:rPr>
        <w:t xml:space="preserve">, distinguidos en el periodo </w:t>
      </w:r>
      <w:proofErr w:type="spellStart"/>
      <w:r w:rsidR="00237609">
        <w:rPr>
          <w:rFonts w:ascii="Arial" w:hAnsi="Arial" w:cs="Arial"/>
          <w:sz w:val="24"/>
        </w:rPr>
        <w:t>prepandemia</w:t>
      </w:r>
      <w:proofErr w:type="spellEnd"/>
      <w:r w:rsidR="00237609">
        <w:rPr>
          <w:rFonts w:ascii="Arial" w:hAnsi="Arial" w:cs="Arial"/>
          <w:sz w:val="24"/>
        </w:rPr>
        <w:t xml:space="preserve"> y </w:t>
      </w:r>
      <w:proofErr w:type="spellStart"/>
      <w:r w:rsidR="00237609">
        <w:rPr>
          <w:rFonts w:ascii="Arial" w:hAnsi="Arial" w:cs="Arial"/>
          <w:sz w:val="24"/>
        </w:rPr>
        <w:t>postpandemia</w:t>
      </w:r>
      <w:proofErr w:type="spellEnd"/>
      <w:r w:rsidR="004E3C1C">
        <w:rPr>
          <w:rFonts w:ascii="Arial" w:hAnsi="Arial" w:cs="Arial"/>
          <w:sz w:val="24"/>
        </w:rPr>
        <w:t xml:space="preserve"> para países seleccionados</w:t>
      </w:r>
      <w:r w:rsidR="00237609">
        <w:rPr>
          <w:rFonts w:ascii="Arial" w:hAnsi="Arial" w:cs="Arial"/>
          <w:sz w:val="24"/>
        </w:rPr>
        <w:t>.</w:t>
      </w:r>
    </w:p>
    <w:p w:rsidR="00931EF2" w:rsidRPr="00931EF2" w:rsidRDefault="00237609" w:rsidP="00237609">
      <w:pPr>
        <w:jc w:val="both"/>
        <w:rPr>
          <w:rFonts w:ascii="Arial" w:eastAsiaTheme="majorEastAsia" w:hAnsi="Arial" w:cs="Arial"/>
          <w:color w:val="2E74B5" w:themeColor="accent1" w:themeShade="BF"/>
          <w:sz w:val="32"/>
          <w:szCs w:val="32"/>
        </w:rPr>
      </w:pPr>
      <w:r>
        <w:rPr>
          <w:rFonts w:ascii="Arial" w:hAnsi="Arial" w:cs="Arial"/>
          <w:sz w:val="24"/>
        </w:rPr>
        <w:t xml:space="preserve">Determinar los </w:t>
      </w:r>
      <w:proofErr w:type="spellStart"/>
      <w:r>
        <w:rPr>
          <w:rFonts w:ascii="Arial" w:hAnsi="Arial" w:cs="Arial"/>
          <w:sz w:val="24"/>
        </w:rPr>
        <w:t>clusters</w:t>
      </w:r>
      <w:proofErr w:type="spellEnd"/>
      <w:r>
        <w:rPr>
          <w:rFonts w:ascii="Arial" w:hAnsi="Arial" w:cs="Arial"/>
          <w:sz w:val="24"/>
        </w:rPr>
        <w:t xml:space="preserve"> en dichos periodos desde la perspectiva de principales productos de exportación.  </w:t>
      </w:r>
    </w:p>
    <w:p w:rsidR="00B55AA1" w:rsidRDefault="00B55AA1" w:rsidP="00237609">
      <w:pPr>
        <w:pStyle w:val="Ttulo1"/>
        <w:jc w:val="both"/>
        <w:rPr>
          <w:rFonts w:ascii="Arial" w:hAnsi="Arial" w:cs="Arial"/>
        </w:rPr>
      </w:pPr>
      <w:bookmarkStart w:id="2" w:name="_Toc109144675"/>
      <w:r w:rsidRPr="00B55AA1">
        <w:rPr>
          <w:rFonts w:ascii="Arial" w:hAnsi="Arial" w:cs="Arial"/>
        </w:rPr>
        <w:t>Datos</w:t>
      </w:r>
      <w:bookmarkEnd w:id="2"/>
    </w:p>
    <w:p w:rsidR="00237609" w:rsidRDefault="00237609" w:rsidP="00237609">
      <w:pPr>
        <w:jc w:val="both"/>
        <w:rPr>
          <w:rFonts w:ascii="Arial" w:hAnsi="Arial" w:cs="Arial"/>
          <w:sz w:val="24"/>
          <w:szCs w:val="24"/>
        </w:rPr>
      </w:pPr>
      <w:r>
        <w:rPr>
          <w:rFonts w:ascii="Arial" w:hAnsi="Arial" w:cs="Arial"/>
          <w:sz w:val="24"/>
          <w:szCs w:val="24"/>
        </w:rPr>
        <w:t>Se trata de las exportaciones mensuales desde enero de 2000 hasta mayo de 2022 por país destino y agrupados mediante la clasificación TNT utilizado en la región y valorados en millones de dólares estadounidenses.</w:t>
      </w:r>
    </w:p>
    <w:p w:rsidR="0066599D" w:rsidRDefault="0066599D" w:rsidP="00237609">
      <w:pPr>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dataset</w:t>
      </w:r>
      <w:proofErr w:type="spellEnd"/>
      <w:r>
        <w:rPr>
          <w:rFonts w:ascii="Arial" w:hAnsi="Arial" w:cs="Arial"/>
          <w:sz w:val="24"/>
          <w:szCs w:val="24"/>
        </w:rPr>
        <w:t xml:space="preserve"> consta de 39.334 observaciones para dicho periodo con el siguiente detalle:</w:t>
      </w:r>
    </w:p>
    <w:p w:rsidR="0066599D" w:rsidRDefault="0066599D" w:rsidP="0066599D">
      <w:pPr>
        <w:jc w:val="center"/>
        <w:rPr>
          <w:rFonts w:ascii="Arial" w:hAnsi="Arial" w:cs="Arial"/>
          <w:sz w:val="24"/>
          <w:szCs w:val="24"/>
        </w:rPr>
      </w:pPr>
      <w:r w:rsidRPr="0066599D">
        <w:rPr>
          <w:rFonts w:ascii="Arial" w:hAnsi="Arial" w:cs="Arial"/>
          <w:sz w:val="24"/>
          <w:szCs w:val="24"/>
        </w:rPr>
        <w:drawing>
          <wp:inline distT="0" distB="0" distL="0" distR="0" wp14:anchorId="2A64440B" wp14:editId="18B97F23">
            <wp:extent cx="4572000" cy="96136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2572" cy="982514"/>
                    </a:xfrm>
                    <a:prstGeom prst="rect">
                      <a:avLst/>
                    </a:prstGeom>
                  </pic:spPr>
                </pic:pic>
              </a:graphicData>
            </a:graphic>
          </wp:inline>
        </w:drawing>
      </w:r>
    </w:p>
    <w:p w:rsidR="0066599D" w:rsidRDefault="0066599D" w:rsidP="004E3C1C">
      <w:pPr>
        <w:rPr>
          <w:rFonts w:ascii="Arial" w:hAnsi="Arial" w:cs="Arial"/>
          <w:sz w:val="24"/>
          <w:szCs w:val="24"/>
        </w:rPr>
      </w:pPr>
    </w:p>
    <w:p w:rsidR="005767A8" w:rsidRDefault="005767A8" w:rsidP="004E3C1C">
      <w:pPr>
        <w:rPr>
          <w:rFonts w:ascii="Arial" w:hAnsi="Arial" w:cs="Arial"/>
          <w:sz w:val="24"/>
          <w:szCs w:val="24"/>
        </w:rPr>
      </w:pPr>
    </w:p>
    <w:p w:rsidR="0066599D" w:rsidRPr="00237609" w:rsidRDefault="0066599D" w:rsidP="0066599D">
      <w:pPr>
        <w:jc w:val="center"/>
        <w:rPr>
          <w:rFonts w:ascii="Arial" w:hAnsi="Arial" w:cs="Arial"/>
          <w:sz w:val="24"/>
          <w:szCs w:val="24"/>
        </w:rPr>
      </w:pPr>
    </w:p>
    <w:p w:rsidR="00B55AA1" w:rsidRDefault="00B55AA1" w:rsidP="00B55AA1">
      <w:pPr>
        <w:pStyle w:val="Ttulo1"/>
        <w:rPr>
          <w:rFonts w:ascii="Arial" w:hAnsi="Arial" w:cs="Arial"/>
        </w:rPr>
      </w:pPr>
      <w:bookmarkStart w:id="3" w:name="_Toc109144676"/>
      <w:r w:rsidRPr="00B55AA1">
        <w:rPr>
          <w:rFonts w:ascii="Arial" w:hAnsi="Arial" w:cs="Arial"/>
        </w:rPr>
        <w:lastRenderedPageBreak/>
        <w:t>Análisis</w:t>
      </w:r>
      <w:bookmarkEnd w:id="3"/>
    </w:p>
    <w:p w:rsidR="00931EF2" w:rsidRDefault="00931EF2" w:rsidP="00931EF2"/>
    <w:p w:rsidR="0065426F" w:rsidRPr="0065426F" w:rsidRDefault="0065426F" w:rsidP="0065426F">
      <w:pPr>
        <w:pStyle w:val="Ttulo2"/>
        <w:rPr>
          <w:rFonts w:ascii="Arial" w:hAnsi="Arial" w:cs="Arial"/>
          <w:sz w:val="28"/>
        </w:rPr>
      </w:pPr>
      <w:bookmarkStart w:id="4" w:name="_Toc109144677"/>
      <w:r w:rsidRPr="0065426F">
        <w:rPr>
          <w:rFonts w:ascii="Arial" w:hAnsi="Arial" w:cs="Arial"/>
          <w:sz w:val="28"/>
        </w:rPr>
        <w:t>Análisis de Series de tiempo</w:t>
      </w:r>
      <w:bookmarkEnd w:id="4"/>
    </w:p>
    <w:p w:rsidR="00B84CDA" w:rsidRDefault="00B84CDA" w:rsidP="0065426F">
      <w:pPr>
        <w:jc w:val="both"/>
        <w:rPr>
          <w:rFonts w:ascii="Arial" w:hAnsi="Arial" w:cs="Arial"/>
          <w:sz w:val="24"/>
        </w:rPr>
      </w:pPr>
      <w:r>
        <w:rPr>
          <w:rFonts w:ascii="Arial" w:hAnsi="Arial" w:cs="Arial"/>
          <w:sz w:val="24"/>
        </w:rPr>
        <w:t xml:space="preserve">Históricamente los principales socios comerciales fueron Brasil y Argentina por la venta de gas natural; y, en las últimas gestiones India pasó a ser el principal destino de exportaciones. </w:t>
      </w:r>
      <w:r w:rsidR="0065426F">
        <w:rPr>
          <w:rFonts w:ascii="Arial" w:hAnsi="Arial" w:cs="Arial"/>
          <w:sz w:val="24"/>
        </w:rPr>
        <w:t>Sin embargo, p</w:t>
      </w:r>
      <w:r>
        <w:rPr>
          <w:rFonts w:ascii="Arial" w:hAnsi="Arial" w:cs="Arial"/>
          <w:sz w:val="24"/>
        </w:rPr>
        <w:t>ara el presente</w:t>
      </w:r>
      <w:r w:rsidR="0065426F">
        <w:rPr>
          <w:rFonts w:ascii="Arial" w:hAnsi="Arial" w:cs="Arial"/>
          <w:sz w:val="24"/>
        </w:rPr>
        <w:t xml:space="preserve"> proyecto se analizarán mediante técnicas de series de tiempo</w:t>
      </w:r>
      <w:r>
        <w:rPr>
          <w:rFonts w:ascii="Arial" w:hAnsi="Arial" w:cs="Arial"/>
          <w:sz w:val="24"/>
        </w:rPr>
        <w:t xml:space="preserve"> mercado</w:t>
      </w:r>
      <w:r w:rsidR="0065426F">
        <w:rPr>
          <w:rFonts w:ascii="Arial" w:hAnsi="Arial" w:cs="Arial"/>
          <w:sz w:val="24"/>
        </w:rPr>
        <w:t>s</w:t>
      </w:r>
      <w:r>
        <w:rPr>
          <w:rFonts w:ascii="Arial" w:hAnsi="Arial" w:cs="Arial"/>
          <w:sz w:val="24"/>
        </w:rPr>
        <w:t xml:space="preserve"> importante</w:t>
      </w:r>
      <w:r w:rsidR="0065426F">
        <w:rPr>
          <w:rFonts w:ascii="Arial" w:hAnsi="Arial" w:cs="Arial"/>
          <w:sz w:val="24"/>
        </w:rPr>
        <w:t>s</w:t>
      </w:r>
      <w:r>
        <w:rPr>
          <w:rFonts w:ascii="Arial" w:hAnsi="Arial" w:cs="Arial"/>
          <w:sz w:val="24"/>
        </w:rPr>
        <w:t xml:space="preserve"> para nuestras exportaciones </w:t>
      </w:r>
      <w:r w:rsidR="0065426F">
        <w:rPr>
          <w:rFonts w:ascii="Arial" w:hAnsi="Arial" w:cs="Arial"/>
          <w:sz w:val="24"/>
        </w:rPr>
        <w:t xml:space="preserve">como es el caso de </w:t>
      </w:r>
      <w:r>
        <w:rPr>
          <w:rFonts w:ascii="Arial" w:hAnsi="Arial" w:cs="Arial"/>
          <w:sz w:val="24"/>
        </w:rPr>
        <w:t>China</w:t>
      </w:r>
      <w:r w:rsidR="0065426F">
        <w:rPr>
          <w:rFonts w:ascii="Arial" w:hAnsi="Arial" w:cs="Arial"/>
          <w:sz w:val="24"/>
        </w:rPr>
        <w:t>,</w:t>
      </w:r>
      <w:r>
        <w:rPr>
          <w:rFonts w:ascii="Arial" w:hAnsi="Arial" w:cs="Arial"/>
          <w:sz w:val="24"/>
        </w:rPr>
        <w:t xml:space="preserve"> por el potencial </w:t>
      </w:r>
      <w:proofErr w:type="spellStart"/>
      <w:r>
        <w:rPr>
          <w:rFonts w:ascii="Arial" w:hAnsi="Arial" w:cs="Arial"/>
          <w:sz w:val="24"/>
        </w:rPr>
        <w:t>diversificador</w:t>
      </w:r>
      <w:proofErr w:type="spellEnd"/>
      <w:r>
        <w:rPr>
          <w:rFonts w:ascii="Arial" w:hAnsi="Arial" w:cs="Arial"/>
          <w:sz w:val="24"/>
        </w:rPr>
        <w:t xml:space="preserve"> de nuestros productos</w:t>
      </w:r>
      <w:r w:rsidR="0065426F">
        <w:rPr>
          <w:rFonts w:ascii="Arial" w:hAnsi="Arial" w:cs="Arial"/>
          <w:sz w:val="24"/>
        </w:rPr>
        <w:t>; Chile, por el comportamiento estable de nuestro comercio y Japón, por tratarse de un mercado tecnológico.</w:t>
      </w:r>
      <w:r>
        <w:rPr>
          <w:rFonts w:ascii="Arial" w:hAnsi="Arial" w:cs="Arial"/>
          <w:sz w:val="24"/>
        </w:rPr>
        <w:t xml:space="preserve"> </w:t>
      </w:r>
    </w:p>
    <w:p w:rsidR="00290097" w:rsidRDefault="00290097" w:rsidP="0065426F">
      <w:pPr>
        <w:jc w:val="both"/>
        <w:rPr>
          <w:rFonts w:ascii="Arial" w:hAnsi="Arial" w:cs="Arial"/>
          <w:sz w:val="24"/>
        </w:rPr>
      </w:pPr>
    </w:p>
    <w:p w:rsidR="00290097" w:rsidRDefault="00290097" w:rsidP="0065426F">
      <w:pPr>
        <w:jc w:val="both"/>
        <w:rPr>
          <w:rFonts w:ascii="Arial" w:hAnsi="Arial" w:cs="Arial"/>
          <w:sz w:val="24"/>
        </w:rPr>
      </w:pPr>
      <w:r>
        <w:rPr>
          <w:rFonts w:ascii="Arial" w:hAnsi="Arial" w:cs="Arial"/>
          <w:sz w:val="24"/>
        </w:rPr>
        <w:t xml:space="preserve">Se limitó el periodo de análisis al periodo </w:t>
      </w:r>
      <w:proofErr w:type="spellStart"/>
      <w:r>
        <w:rPr>
          <w:rFonts w:ascii="Arial" w:hAnsi="Arial" w:cs="Arial"/>
          <w:sz w:val="24"/>
        </w:rPr>
        <w:t>prepandemia</w:t>
      </w:r>
      <w:proofErr w:type="spellEnd"/>
      <w:r>
        <w:rPr>
          <w:rFonts w:ascii="Arial" w:hAnsi="Arial" w:cs="Arial"/>
          <w:sz w:val="24"/>
        </w:rPr>
        <w:t xml:space="preserve"> debido a las restricciones a la movilidad y cierre de fronteras que no permite un análisis adecuado hasta las últimas observaciones de 2022.</w:t>
      </w:r>
    </w:p>
    <w:p w:rsidR="00290097" w:rsidRDefault="00290097" w:rsidP="00290097">
      <w:pPr>
        <w:jc w:val="center"/>
        <w:rPr>
          <w:rFonts w:ascii="Arial" w:hAnsi="Arial" w:cs="Arial"/>
          <w:sz w:val="24"/>
        </w:rPr>
      </w:pPr>
      <w:r>
        <w:rPr>
          <w:rFonts w:ascii="Arial" w:hAnsi="Arial" w:cs="Arial"/>
          <w:noProof/>
          <w:sz w:val="24"/>
          <w:lang w:eastAsia="es-BO"/>
        </w:rPr>
        <w:drawing>
          <wp:inline distT="0" distB="0" distL="0" distR="0">
            <wp:extent cx="5711814" cy="3105150"/>
            <wp:effectExtent l="0" t="0" r="3810" b="0"/>
            <wp:docPr id="4" name="Imagen 4" descr="C:\Users\rserdan\AppData\Local\Microsoft\Windows\INetCache\Content.Word\03 linea ch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serdan\AppData\Local\Microsoft\Windows\INetCache\Content.Word\03 linea chin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568" cy="3109909"/>
                    </a:xfrm>
                    <a:prstGeom prst="rect">
                      <a:avLst/>
                    </a:prstGeom>
                    <a:noFill/>
                    <a:ln>
                      <a:noFill/>
                    </a:ln>
                  </pic:spPr>
                </pic:pic>
              </a:graphicData>
            </a:graphic>
          </wp:inline>
        </w:drawing>
      </w:r>
    </w:p>
    <w:p w:rsidR="004E745E" w:rsidRDefault="004E745E" w:rsidP="004E745E">
      <w:pPr>
        <w:jc w:val="both"/>
        <w:rPr>
          <w:rFonts w:ascii="Arial" w:hAnsi="Arial" w:cs="Arial"/>
          <w:noProof/>
          <w:sz w:val="24"/>
          <w:lang w:eastAsia="es-BO"/>
        </w:rPr>
      </w:pPr>
      <w:r>
        <w:rPr>
          <w:rFonts w:ascii="Arial" w:hAnsi="Arial" w:cs="Arial"/>
          <w:sz w:val="24"/>
        </w:rPr>
        <w:t xml:space="preserve">En el caso de China se aprecia exportaciones constantes con excepción de </w:t>
      </w:r>
      <w:proofErr w:type="gramStart"/>
      <w:r>
        <w:rPr>
          <w:rFonts w:ascii="Arial" w:hAnsi="Arial" w:cs="Arial"/>
          <w:sz w:val="24"/>
        </w:rPr>
        <w:t>la gestiones</w:t>
      </w:r>
      <w:proofErr w:type="gramEnd"/>
      <w:r>
        <w:rPr>
          <w:rFonts w:ascii="Arial" w:hAnsi="Arial" w:cs="Arial"/>
          <w:sz w:val="24"/>
        </w:rPr>
        <w:t xml:space="preserve"> 2008 y 2015, periodos en los cuales se aprecia comercio de otros hidrocarburos atípico</w:t>
      </w:r>
      <w:r w:rsidR="007577F7">
        <w:rPr>
          <w:rFonts w:ascii="Arial" w:hAnsi="Arial" w:cs="Arial"/>
          <w:noProof/>
          <w:sz w:val="24"/>
          <w:lang w:eastAsia="es-BO"/>
        </w:rPr>
        <w:t xml:space="preserve">s utilizando </w:t>
      </w:r>
      <w:r w:rsidR="007577F7" w:rsidRPr="007577F7">
        <w:rPr>
          <w:rFonts w:ascii="Arial" w:hAnsi="Arial" w:cs="Arial"/>
          <w:i/>
          <w:noProof/>
          <w:sz w:val="24"/>
          <w:lang w:eastAsia="es-BO"/>
        </w:rPr>
        <w:t>streamgraphs</w:t>
      </w:r>
      <w:r w:rsidR="007577F7">
        <w:rPr>
          <w:rFonts w:ascii="Arial" w:hAnsi="Arial" w:cs="Arial"/>
          <w:noProof/>
          <w:sz w:val="24"/>
          <w:lang w:eastAsia="es-BO"/>
        </w:rPr>
        <w:t>.</w:t>
      </w:r>
    </w:p>
    <w:p w:rsidR="007577F7" w:rsidRDefault="007577F7" w:rsidP="00605EFD">
      <w:pPr>
        <w:jc w:val="center"/>
        <w:rPr>
          <w:rFonts w:ascii="Arial" w:hAnsi="Arial" w:cs="Arial"/>
          <w:noProof/>
          <w:sz w:val="24"/>
          <w:lang w:eastAsia="es-BO"/>
        </w:rPr>
      </w:pPr>
    </w:p>
    <w:p w:rsidR="007577F7" w:rsidRDefault="007577F7" w:rsidP="004E745E">
      <w:pPr>
        <w:jc w:val="both"/>
        <w:rPr>
          <w:rFonts w:ascii="Arial" w:hAnsi="Arial" w:cs="Arial"/>
          <w:sz w:val="24"/>
        </w:rPr>
      </w:pPr>
      <w:r>
        <w:rPr>
          <w:rFonts w:ascii="Arial" w:hAnsi="Arial" w:cs="Arial"/>
          <w:noProof/>
          <w:sz w:val="24"/>
          <w:lang w:eastAsia="es-B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3pt;height:231.6pt">
            <v:imagedata r:id="rId9" o:title="01 china stream"/>
          </v:shape>
        </w:pict>
      </w:r>
    </w:p>
    <w:p w:rsidR="007577F7" w:rsidRDefault="007577F7" w:rsidP="00931EF2">
      <w:pPr>
        <w:rPr>
          <w:rFonts w:ascii="Arial" w:hAnsi="Arial" w:cs="Arial"/>
          <w:sz w:val="24"/>
        </w:rPr>
      </w:pPr>
    </w:p>
    <w:p w:rsidR="004E745E" w:rsidRDefault="0065426F" w:rsidP="00290097">
      <w:pPr>
        <w:jc w:val="both"/>
        <w:rPr>
          <w:rFonts w:ascii="Arial" w:hAnsi="Arial" w:cs="Arial"/>
          <w:sz w:val="24"/>
        </w:rPr>
      </w:pPr>
      <w:r>
        <w:rPr>
          <w:rFonts w:ascii="Arial" w:hAnsi="Arial" w:cs="Arial"/>
          <w:sz w:val="24"/>
        </w:rPr>
        <w:t>A continuación, se muestran los resultados de las exportaciones a China mediante un modelo ARIMA.</w:t>
      </w:r>
      <w:r w:rsidR="00290097">
        <w:rPr>
          <w:rFonts w:ascii="Arial" w:hAnsi="Arial" w:cs="Arial"/>
          <w:sz w:val="24"/>
        </w:rPr>
        <w:t xml:space="preserve"> </w:t>
      </w:r>
      <w:r w:rsidR="007577F7">
        <w:rPr>
          <w:rFonts w:ascii="Arial" w:hAnsi="Arial" w:cs="Arial"/>
          <w:sz w:val="24"/>
        </w:rPr>
        <w:t xml:space="preserve">Se aprecia una estacionalidad en los meses aplicando una visualización de </w:t>
      </w:r>
      <w:proofErr w:type="spellStart"/>
      <w:r w:rsidR="007577F7" w:rsidRPr="007577F7">
        <w:rPr>
          <w:rFonts w:ascii="Arial" w:hAnsi="Arial" w:cs="Arial"/>
          <w:i/>
          <w:sz w:val="24"/>
        </w:rPr>
        <w:t>boxplot</w:t>
      </w:r>
      <w:proofErr w:type="spellEnd"/>
      <w:r w:rsidR="007577F7">
        <w:rPr>
          <w:rFonts w:ascii="Arial" w:hAnsi="Arial" w:cs="Arial"/>
          <w:sz w:val="24"/>
        </w:rPr>
        <w:t>.</w:t>
      </w:r>
    </w:p>
    <w:p w:rsidR="00290097" w:rsidRDefault="00290097" w:rsidP="00290097">
      <w:pPr>
        <w:jc w:val="both"/>
        <w:rPr>
          <w:rFonts w:ascii="Arial" w:hAnsi="Arial" w:cs="Arial"/>
          <w:sz w:val="24"/>
        </w:rPr>
      </w:pPr>
    </w:p>
    <w:p w:rsidR="007577F7" w:rsidRDefault="007577F7" w:rsidP="007577F7">
      <w:pPr>
        <w:jc w:val="center"/>
        <w:rPr>
          <w:rFonts w:ascii="Arial" w:hAnsi="Arial" w:cs="Arial"/>
          <w:sz w:val="24"/>
        </w:rPr>
      </w:pPr>
      <w:r>
        <w:rPr>
          <w:rFonts w:ascii="Arial" w:hAnsi="Arial" w:cs="Arial"/>
          <w:sz w:val="24"/>
        </w:rPr>
        <w:pict>
          <v:shape id="_x0000_i1032" type="#_x0000_t75" style="width:325.35pt;height:157.6pt">
            <v:imagedata r:id="rId10" o:title="02 plot china" croptop="10302f" cropbottom="9206f" cropleft="3972f"/>
          </v:shape>
        </w:pict>
      </w:r>
    </w:p>
    <w:p w:rsidR="00290097" w:rsidRDefault="00290097" w:rsidP="00605EFD">
      <w:pPr>
        <w:rPr>
          <w:rFonts w:ascii="Arial" w:hAnsi="Arial" w:cs="Arial"/>
          <w:sz w:val="24"/>
        </w:rPr>
      </w:pPr>
    </w:p>
    <w:p w:rsidR="005767A8" w:rsidRDefault="005767A8" w:rsidP="00605EFD">
      <w:pPr>
        <w:rPr>
          <w:rFonts w:ascii="Arial" w:hAnsi="Arial" w:cs="Arial"/>
          <w:sz w:val="24"/>
        </w:rPr>
      </w:pPr>
    </w:p>
    <w:p w:rsidR="005767A8" w:rsidRDefault="005767A8" w:rsidP="00605EFD">
      <w:pPr>
        <w:rPr>
          <w:rFonts w:ascii="Arial" w:hAnsi="Arial" w:cs="Arial"/>
          <w:sz w:val="24"/>
        </w:rPr>
      </w:pPr>
    </w:p>
    <w:p w:rsidR="00F80CC5" w:rsidRDefault="00F80CC5" w:rsidP="00605EFD">
      <w:pPr>
        <w:rPr>
          <w:rFonts w:ascii="Arial" w:hAnsi="Arial" w:cs="Arial"/>
          <w:sz w:val="24"/>
        </w:rPr>
      </w:pPr>
    </w:p>
    <w:p w:rsidR="00290097" w:rsidRDefault="00290097" w:rsidP="00605EFD">
      <w:pPr>
        <w:rPr>
          <w:rFonts w:ascii="Arial" w:hAnsi="Arial" w:cs="Arial"/>
          <w:sz w:val="24"/>
        </w:rPr>
      </w:pPr>
    </w:p>
    <w:p w:rsidR="00290097" w:rsidRDefault="00290097" w:rsidP="00605EFD">
      <w:pPr>
        <w:rPr>
          <w:rFonts w:ascii="Arial" w:hAnsi="Arial" w:cs="Arial"/>
          <w:sz w:val="24"/>
        </w:rPr>
      </w:pPr>
    </w:p>
    <w:p w:rsidR="0065426F" w:rsidRDefault="00605EFD" w:rsidP="00605EFD">
      <w:pPr>
        <w:rPr>
          <w:rFonts w:ascii="Arial" w:hAnsi="Arial" w:cs="Arial"/>
          <w:sz w:val="24"/>
        </w:rPr>
      </w:pPr>
      <w:r>
        <w:rPr>
          <w:rFonts w:ascii="Arial" w:hAnsi="Arial" w:cs="Arial"/>
          <w:sz w:val="24"/>
        </w:rPr>
        <w:lastRenderedPageBreak/>
        <w:t>Procedemos a la descomposición de la serie temporal en sus elementos multiplicativos.</w:t>
      </w:r>
    </w:p>
    <w:p w:rsidR="00605EFD" w:rsidRDefault="00290097" w:rsidP="00605EFD">
      <w:pPr>
        <w:rPr>
          <w:rFonts w:ascii="Arial" w:hAnsi="Arial" w:cs="Arial"/>
          <w:sz w:val="24"/>
        </w:rPr>
      </w:pPr>
      <w:r>
        <w:rPr>
          <w:rFonts w:ascii="Arial" w:hAnsi="Arial" w:cs="Arial"/>
          <w:sz w:val="24"/>
        </w:rPr>
        <w:pict>
          <v:shape id="_x0000_i1039" type="#_x0000_t75" style="width:468pt;height:289.35pt">
            <v:imagedata r:id="rId11" o:title="04 descomposicion china"/>
          </v:shape>
        </w:pict>
      </w:r>
    </w:p>
    <w:p w:rsidR="00290097" w:rsidRDefault="00290097" w:rsidP="00605EFD">
      <w:pPr>
        <w:rPr>
          <w:rFonts w:ascii="Arial" w:hAnsi="Arial" w:cs="Arial"/>
          <w:sz w:val="24"/>
        </w:rPr>
      </w:pPr>
    </w:p>
    <w:p w:rsidR="00605EFD" w:rsidRDefault="00290097" w:rsidP="00605EFD">
      <w:pPr>
        <w:rPr>
          <w:rFonts w:ascii="Arial" w:hAnsi="Arial" w:cs="Arial"/>
          <w:sz w:val="24"/>
        </w:rPr>
      </w:pPr>
      <w:r>
        <w:rPr>
          <w:rFonts w:ascii="Arial" w:hAnsi="Arial" w:cs="Arial"/>
          <w:sz w:val="24"/>
        </w:rPr>
        <w:t xml:space="preserve">La serie es </w:t>
      </w:r>
      <w:r w:rsidRPr="007D3888">
        <w:rPr>
          <w:rFonts w:ascii="Arial" w:hAnsi="Arial" w:cs="Arial"/>
          <w:b/>
          <w:sz w:val="24"/>
        </w:rPr>
        <w:t>no estacionaria</w:t>
      </w:r>
      <w:r>
        <w:rPr>
          <w:rFonts w:ascii="Arial" w:hAnsi="Arial" w:cs="Arial"/>
          <w:sz w:val="24"/>
        </w:rPr>
        <w:t xml:space="preserve"> como se demuestra con el</w:t>
      </w:r>
      <w:r w:rsidR="00101F26">
        <w:rPr>
          <w:rFonts w:ascii="Arial" w:hAnsi="Arial" w:cs="Arial"/>
          <w:sz w:val="24"/>
        </w:rPr>
        <w:t xml:space="preserve"> Test </w:t>
      </w:r>
      <w:proofErr w:type="spellStart"/>
      <w:r w:rsidR="00101F26">
        <w:rPr>
          <w:rFonts w:ascii="Arial" w:hAnsi="Arial" w:cs="Arial"/>
          <w:sz w:val="24"/>
        </w:rPr>
        <w:t>Dickey</w:t>
      </w:r>
      <w:proofErr w:type="spellEnd"/>
      <w:r w:rsidR="00101F26">
        <w:rPr>
          <w:rFonts w:ascii="Arial" w:hAnsi="Arial" w:cs="Arial"/>
          <w:sz w:val="24"/>
        </w:rPr>
        <w:t xml:space="preserve"> </w:t>
      </w:r>
      <w:proofErr w:type="spellStart"/>
      <w:r w:rsidR="00101F26">
        <w:rPr>
          <w:rFonts w:ascii="Arial" w:hAnsi="Arial" w:cs="Arial"/>
          <w:sz w:val="24"/>
        </w:rPr>
        <w:t>Fuller</w:t>
      </w:r>
      <w:proofErr w:type="spellEnd"/>
      <w:r w:rsidR="00101F26">
        <w:rPr>
          <w:rFonts w:ascii="Arial" w:hAnsi="Arial" w:cs="Arial"/>
          <w:sz w:val="24"/>
        </w:rPr>
        <w:t>:</w:t>
      </w:r>
    </w:p>
    <w:p w:rsidR="00290097" w:rsidRDefault="00290097" w:rsidP="00290097">
      <w:pPr>
        <w:jc w:val="center"/>
        <w:rPr>
          <w:rFonts w:ascii="Arial" w:hAnsi="Arial" w:cs="Arial"/>
          <w:sz w:val="24"/>
        </w:rPr>
      </w:pPr>
      <w:r w:rsidRPr="00290097">
        <w:rPr>
          <w:rFonts w:ascii="Arial" w:hAnsi="Arial" w:cs="Arial"/>
          <w:sz w:val="24"/>
        </w:rPr>
        <w:drawing>
          <wp:inline distT="0" distB="0" distL="0" distR="0" wp14:anchorId="4078A14E" wp14:editId="0D135C8E">
            <wp:extent cx="3781425" cy="913036"/>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235" cy="922165"/>
                    </a:xfrm>
                    <a:prstGeom prst="rect">
                      <a:avLst/>
                    </a:prstGeom>
                  </pic:spPr>
                </pic:pic>
              </a:graphicData>
            </a:graphic>
          </wp:inline>
        </w:drawing>
      </w:r>
    </w:p>
    <w:p w:rsidR="00290097" w:rsidRDefault="00290097" w:rsidP="00290097">
      <w:pPr>
        <w:jc w:val="both"/>
        <w:rPr>
          <w:rFonts w:ascii="Arial" w:hAnsi="Arial" w:cs="Arial"/>
          <w:sz w:val="24"/>
        </w:rPr>
      </w:pPr>
    </w:p>
    <w:p w:rsidR="00290097" w:rsidRDefault="00290097" w:rsidP="00290097">
      <w:pPr>
        <w:jc w:val="both"/>
        <w:rPr>
          <w:rFonts w:ascii="Arial" w:hAnsi="Arial" w:cs="Arial"/>
          <w:sz w:val="24"/>
        </w:rPr>
      </w:pPr>
      <w:r>
        <w:rPr>
          <w:rFonts w:ascii="Arial" w:hAnsi="Arial" w:cs="Arial"/>
          <w:sz w:val="24"/>
        </w:rPr>
        <w:t xml:space="preserve">Y el modelo resultante </w:t>
      </w:r>
      <w:proofErr w:type="spellStart"/>
      <w:r>
        <w:rPr>
          <w:rFonts w:ascii="Arial" w:hAnsi="Arial" w:cs="Arial"/>
          <w:sz w:val="24"/>
        </w:rPr>
        <w:t>seria</w:t>
      </w:r>
      <w:proofErr w:type="spellEnd"/>
      <w:r>
        <w:rPr>
          <w:rFonts w:ascii="Arial" w:hAnsi="Arial" w:cs="Arial"/>
          <w:sz w:val="24"/>
        </w:rPr>
        <w:t xml:space="preserve"> un </w:t>
      </w:r>
      <w:proofErr w:type="gramStart"/>
      <w:r>
        <w:rPr>
          <w:rFonts w:ascii="Arial" w:hAnsi="Arial" w:cs="Arial"/>
          <w:sz w:val="24"/>
        </w:rPr>
        <w:t>ARIMA(</w:t>
      </w:r>
      <w:proofErr w:type="gramEnd"/>
      <w:r>
        <w:rPr>
          <w:rFonts w:ascii="Arial" w:hAnsi="Arial" w:cs="Arial"/>
          <w:sz w:val="24"/>
        </w:rPr>
        <w:t>2,1,1)</w:t>
      </w:r>
    </w:p>
    <w:p w:rsidR="00290097" w:rsidRDefault="00290097" w:rsidP="00290097">
      <w:pPr>
        <w:jc w:val="center"/>
        <w:rPr>
          <w:rFonts w:ascii="Arial" w:hAnsi="Arial" w:cs="Arial"/>
          <w:sz w:val="24"/>
        </w:rPr>
      </w:pPr>
      <w:r w:rsidRPr="00290097">
        <w:rPr>
          <w:rFonts w:ascii="Arial" w:hAnsi="Arial" w:cs="Arial"/>
          <w:sz w:val="24"/>
        </w:rPr>
        <w:drawing>
          <wp:inline distT="0" distB="0" distL="0" distR="0" wp14:anchorId="121ED675" wp14:editId="6A3A76ED">
            <wp:extent cx="2809875" cy="147441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7926" cy="1483884"/>
                    </a:xfrm>
                    <a:prstGeom prst="rect">
                      <a:avLst/>
                    </a:prstGeom>
                  </pic:spPr>
                </pic:pic>
              </a:graphicData>
            </a:graphic>
          </wp:inline>
        </w:drawing>
      </w:r>
    </w:p>
    <w:p w:rsidR="00290097" w:rsidRDefault="00290097" w:rsidP="00290097">
      <w:pPr>
        <w:jc w:val="both"/>
        <w:rPr>
          <w:rFonts w:ascii="Arial" w:hAnsi="Arial" w:cs="Arial"/>
          <w:sz w:val="24"/>
        </w:rPr>
      </w:pPr>
    </w:p>
    <w:p w:rsidR="00AF7CB3" w:rsidRDefault="00AF7CB3" w:rsidP="00290097">
      <w:pPr>
        <w:jc w:val="both"/>
        <w:rPr>
          <w:rFonts w:ascii="Arial" w:hAnsi="Arial" w:cs="Arial"/>
          <w:sz w:val="24"/>
        </w:rPr>
      </w:pPr>
      <w:r>
        <w:rPr>
          <w:rFonts w:ascii="Arial" w:hAnsi="Arial" w:cs="Arial"/>
          <w:sz w:val="24"/>
        </w:rPr>
        <w:lastRenderedPageBreak/>
        <w:t xml:space="preserve">Los valores p del test </w:t>
      </w:r>
      <w:proofErr w:type="spellStart"/>
      <w:r>
        <w:rPr>
          <w:rFonts w:ascii="Arial" w:hAnsi="Arial" w:cs="Arial"/>
          <w:sz w:val="24"/>
        </w:rPr>
        <w:t>Ljung</w:t>
      </w:r>
      <w:proofErr w:type="spellEnd"/>
      <w:r>
        <w:rPr>
          <w:rFonts w:ascii="Arial" w:hAnsi="Arial" w:cs="Arial"/>
          <w:sz w:val="24"/>
        </w:rPr>
        <w:t xml:space="preserve">-Box son mayores al 5%, por lo </w:t>
      </w:r>
      <w:proofErr w:type="gramStart"/>
      <w:r>
        <w:rPr>
          <w:rFonts w:ascii="Arial" w:hAnsi="Arial" w:cs="Arial"/>
          <w:sz w:val="24"/>
        </w:rPr>
        <w:t>tanto</w:t>
      </w:r>
      <w:proofErr w:type="gramEnd"/>
      <w:r>
        <w:rPr>
          <w:rFonts w:ascii="Arial" w:hAnsi="Arial" w:cs="Arial"/>
          <w:sz w:val="24"/>
        </w:rPr>
        <w:t xml:space="preserve"> no rechazamos la hipótesis nula de que los residuos son independientes.</w:t>
      </w:r>
    </w:p>
    <w:p w:rsidR="00290097" w:rsidRDefault="007D3888" w:rsidP="00290097">
      <w:pPr>
        <w:jc w:val="both"/>
        <w:rPr>
          <w:rFonts w:ascii="Arial" w:hAnsi="Arial" w:cs="Arial"/>
          <w:sz w:val="24"/>
        </w:rPr>
      </w:pPr>
      <w:r>
        <w:rPr>
          <w:rFonts w:ascii="Arial" w:hAnsi="Arial" w:cs="Arial"/>
          <w:sz w:val="24"/>
        </w:rPr>
        <w:pict>
          <v:shape id="_x0000_i1044" type="#_x0000_t75" style="width:468pt;height:308.4pt">
            <v:imagedata r:id="rId14" o:title="04 residuos china"/>
          </v:shape>
        </w:pict>
      </w:r>
    </w:p>
    <w:p w:rsidR="00290097" w:rsidRDefault="00005216" w:rsidP="00290097">
      <w:pPr>
        <w:jc w:val="both"/>
        <w:rPr>
          <w:rFonts w:ascii="Arial" w:hAnsi="Arial" w:cs="Arial"/>
          <w:sz w:val="24"/>
        </w:rPr>
      </w:pPr>
      <w:r>
        <w:rPr>
          <w:rFonts w:ascii="Arial" w:hAnsi="Arial" w:cs="Arial"/>
          <w:sz w:val="24"/>
        </w:rPr>
        <w:t>Las predicciones del modelo para los 12 periodos siguientes son</w:t>
      </w:r>
      <w:r w:rsidR="007D3888">
        <w:rPr>
          <w:rFonts w:ascii="Arial" w:hAnsi="Arial" w:cs="Arial"/>
          <w:sz w:val="24"/>
        </w:rPr>
        <w:t>.</w:t>
      </w:r>
    </w:p>
    <w:p w:rsidR="007D3888" w:rsidRDefault="007D3888" w:rsidP="007D3888">
      <w:pPr>
        <w:jc w:val="center"/>
        <w:rPr>
          <w:rFonts w:ascii="Arial" w:hAnsi="Arial" w:cs="Arial"/>
          <w:sz w:val="24"/>
        </w:rPr>
      </w:pPr>
      <w:r>
        <w:rPr>
          <w:rFonts w:ascii="Arial" w:hAnsi="Arial" w:cs="Arial"/>
          <w:sz w:val="24"/>
        </w:rPr>
        <w:pict>
          <v:shape id="_x0000_i1045" type="#_x0000_t75" style="width:381.05pt;height:226.85pt">
            <v:imagedata r:id="rId15" o:title="05 prediccion china"/>
          </v:shape>
        </w:pict>
      </w:r>
    </w:p>
    <w:p w:rsidR="007D3888" w:rsidRDefault="007D3888" w:rsidP="0065426F">
      <w:pPr>
        <w:rPr>
          <w:rFonts w:ascii="Arial" w:hAnsi="Arial" w:cs="Arial"/>
          <w:sz w:val="24"/>
        </w:rPr>
      </w:pPr>
    </w:p>
    <w:p w:rsidR="007D3888" w:rsidRDefault="007D3888" w:rsidP="0065426F">
      <w:pPr>
        <w:rPr>
          <w:rFonts w:ascii="Arial" w:hAnsi="Arial" w:cs="Arial"/>
          <w:sz w:val="24"/>
        </w:rPr>
      </w:pPr>
    </w:p>
    <w:p w:rsidR="0065426F" w:rsidRDefault="0065426F" w:rsidP="0065426F">
      <w:pPr>
        <w:rPr>
          <w:rFonts w:ascii="Arial" w:hAnsi="Arial" w:cs="Arial"/>
          <w:sz w:val="24"/>
        </w:rPr>
      </w:pPr>
      <w:r>
        <w:rPr>
          <w:rFonts w:ascii="Arial" w:hAnsi="Arial" w:cs="Arial"/>
          <w:sz w:val="24"/>
        </w:rPr>
        <w:t xml:space="preserve">A </w:t>
      </w:r>
      <w:r>
        <w:rPr>
          <w:rFonts w:ascii="Arial" w:hAnsi="Arial" w:cs="Arial"/>
          <w:sz w:val="24"/>
        </w:rPr>
        <w:t>continuación,</w:t>
      </w:r>
      <w:r>
        <w:rPr>
          <w:rFonts w:ascii="Arial" w:hAnsi="Arial" w:cs="Arial"/>
          <w:sz w:val="24"/>
        </w:rPr>
        <w:t xml:space="preserve"> se muestran los resultados de las exportaciones a Chi</w:t>
      </w:r>
      <w:r>
        <w:rPr>
          <w:rFonts w:ascii="Arial" w:hAnsi="Arial" w:cs="Arial"/>
          <w:sz w:val="24"/>
        </w:rPr>
        <w:t>le</w:t>
      </w:r>
      <w:r>
        <w:rPr>
          <w:rFonts w:ascii="Arial" w:hAnsi="Arial" w:cs="Arial"/>
          <w:sz w:val="24"/>
        </w:rPr>
        <w:t xml:space="preserve"> mediante un modelo ARIMA.</w:t>
      </w:r>
    </w:p>
    <w:p w:rsidR="00005216" w:rsidRDefault="001812D4" w:rsidP="00005216">
      <w:pPr>
        <w:jc w:val="both"/>
        <w:rPr>
          <w:rFonts w:ascii="Arial" w:hAnsi="Arial" w:cs="Arial"/>
          <w:sz w:val="24"/>
        </w:rPr>
      </w:pPr>
      <w:r>
        <w:rPr>
          <w:rFonts w:ascii="Arial" w:hAnsi="Arial" w:cs="Arial"/>
          <w:sz w:val="24"/>
        </w:rPr>
        <w:t>Desde la gestión 2024 es evidente una tendencia estable en el comercio con el vecino país. Dicho comportamiento uniforme se debería a la estabilidad económica que ambas economías han registrado en la última década sin tomar en consideración el cierre de fronteras a raíz de la crisis sanitaria por la propagación del corona</w:t>
      </w:r>
      <w:bookmarkStart w:id="5" w:name="_GoBack"/>
      <w:bookmarkEnd w:id="5"/>
      <w:r>
        <w:rPr>
          <w:rFonts w:ascii="Arial" w:hAnsi="Arial" w:cs="Arial"/>
          <w:sz w:val="24"/>
        </w:rPr>
        <w:t>virus.</w:t>
      </w:r>
    </w:p>
    <w:p w:rsidR="001812D4" w:rsidRDefault="001812D4" w:rsidP="00005216">
      <w:pPr>
        <w:jc w:val="both"/>
        <w:rPr>
          <w:rFonts w:ascii="Arial" w:hAnsi="Arial" w:cs="Arial"/>
          <w:sz w:val="24"/>
        </w:rPr>
      </w:pPr>
      <w:r>
        <w:rPr>
          <w:rFonts w:ascii="Arial" w:hAnsi="Arial" w:cs="Arial"/>
          <w:sz w:val="24"/>
        </w:rPr>
        <w:t>La economía chilena se ha convertido en un destino para nuestras exportaciones no tradicionales en estricto sentido, ya que no tiene mayor peso el comercio de hidrocarburos ni los principales bienes minerales.</w:t>
      </w:r>
    </w:p>
    <w:p w:rsidR="001812D4" w:rsidRDefault="001812D4" w:rsidP="00005216">
      <w:pPr>
        <w:jc w:val="both"/>
        <w:rPr>
          <w:rFonts w:ascii="Arial" w:hAnsi="Arial" w:cs="Arial"/>
          <w:sz w:val="24"/>
        </w:rPr>
      </w:pPr>
      <w:r>
        <w:rPr>
          <w:rFonts w:ascii="Arial" w:hAnsi="Arial" w:cs="Arial"/>
          <w:sz w:val="24"/>
        </w:rPr>
        <w:t>Debido a su cualidad fronteriza, el mercado chileno constituye un destino importante para los exportadores bolivianos quienes comercian motivados por incentivos puramente relacionados a la demanda de bienes en lugar de otros fundamentos económicos como la depreciación de la moneda de contraparte tal como ocurre con países como Argentina o Brasil.</w:t>
      </w:r>
    </w:p>
    <w:p w:rsidR="001812D4" w:rsidRDefault="001812D4" w:rsidP="00005216">
      <w:pPr>
        <w:jc w:val="both"/>
        <w:rPr>
          <w:rFonts w:ascii="Arial" w:hAnsi="Arial" w:cs="Arial"/>
          <w:sz w:val="24"/>
        </w:rPr>
      </w:pPr>
    </w:p>
    <w:p w:rsidR="00005216" w:rsidRDefault="001812D4" w:rsidP="00005216">
      <w:pPr>
        <w:jc w:val="center"/>
        <w:rPr>
          <w:rFonts w:ascii="Arial" w:hAnsi="Arial" w:cs="Arial"/>
          <w:sz w:val="24"/>
        </w:rPr>
      </w:pPr>
      <w:r>
        <w:rPr>
          <w:rFonts w:ascii="Arial" w:hAnsi="Arial" w:cs="Arial"/>
          <w:noProof/>
          <w:sz w:val="24"/>
          <w:lang w:eastAsia="es-BO"/>
        </w:rPr>
        <w:pict>
          <v:shape id="_x0000_i1059" type="#_x0000_t75" style="width:480.25pt;height:255.4pt">
            <v:imagedata r:id="rId16" o:title="08 Chile linea"/>
          </v:shape>
        </w:pict>
      </w:r>
    </w:p>
    <w:p w:rsidR="001812D4" w:rsidRDefault="001812D4" w:rsidP="00005216">
      <w:pPr>
        <w:jc w:val="both"/>
        <w:rPr>
          <w:rFonts w:ascii="Arial" w:hAnsi="Arial" w:cs="Arial"/>
          <w:sz w:val="24"/>
        </w:rPr>
      </w:pPr>
    </w:p>
    <w:p w:rsidR="001812D4" w:rsidRDefault="001812D4" w:rsidP="00005216">
      <w:pPr>
        <w:jc w:val="both"/>
        <w:rPr>
          <w:rFonts w:ascii="Arial" w:hAnsi="Arial" w:cs="Arial"/>
          <w:sz w:val="24"/>
        </w:rPr>
      </w:pPr>
    </w:p>
    <w:p w:rsidR="001812D4" w:rsidRDefault="001812D4" w:rsidP="00005216">
      <w:pPr>
        <w:jc w:val="both"/>
        <w:rPr>
          <w:rFonts w:ascii="Arial" w:hAnsi="Arial" w:cs="Arial"/>
          <w:sz w:val="24"/>
        </w:rPr>
      </w:pPr>
    </w:p>
    <w:p w:rsidR="001812D4" w:rsidRDefault="001812D4" w:rsidP="00005216">
      <w:pPr>
        <w:jc w:val="both"/>
        <w:rPr>
          <w:rFonts w:ascii="Arial" w:hAnsi="Arial" w:cs="Arial"/>
          <w:sz w:val="24"/>
        </w:rPr>
      </w:pPr>
    </w:p>
    <w:p w:rsidR="00005216" w:rsidRDefault="003626CF" w:rsidP="00005216">
      <w:pPr>
        <w:jc w:val="both"/>
        <w:rPr>
          <w:rFonts w:ascii="Arial" w:hAnsi="Arial" w:cs="Arial"/>
          <w:noProof/>
          <w:sz w:val="24"/>
          <w:lang w:eastAsia="es-BO"/>
        </w:rPr>
      </w:pPr>
      <w:r>
        <w:rPr>
          <w:rFonts w:ascii="Arial" w:hAnsi="Arial" w:cs="Arial"/>
          <w:sz w:val="24"/>
        </w:rPr>
        <w:lastRenderedPageBreak/>
        <w:t>Analizando las exportaciones a Chile</w:t>
      </w:r>
      <w:r w:rsidR="00005216">
        <w:rPr>
          <w:rFonts w:ascii="Arial" w:hAnsi="Arial" w:cs="Arial"/>
          <w:sz w:val="24"/>
        </w:rPr>
        <w:t xml:space="preserve"> se aprecia exportaciones</w:t>
      </w:r>
      <w:r>
        <w:rPr>
          <w:rFonts w:ascii="Arial" w:hAnsi="Arial" w:cs="Arial"/>
          <w:sz w:val="24"/>
        </w:rPr>
        <w:t xml:space="preserve"> estables con un aumento en el periodo 2011 a 2014. Los principales productos comerciados a Chile son soya, bebidas y productos varios</w:t>
      </w:r>
      <w:r w:rsidR="00005216">
        <w:rPr>
          <w:rFonts w:ascii="Arial" w:hAnsi="Arial" w:cs="Arial"/>
          <w:noProof/>
          <w:sz w:val="24"/>
          <w:lang w:eastAsia="es-BO"/>
        </w:rPr>
        <w:t>.</w:t>
      </w:r>
    </w:p>
    <w:p w:rsidR="00005216" w:rsidRDefault="00005216" w:rsidP="00005216">
      <w:pPr>
        <w:jc w:val="center"/>
        <w:rPr>
          <w:rFonts w:ascii="Arial" w:hAnsi="Arial" w:cs="Arial"/>
          <w:noProof/>
          <w:sz w:val="24"/>
          <w:lang w:eastAsia="es-BO"/>
        </w:rPr>
      </w:pPr>
    </w:p>
    <w:p w:rsidR="00005216" w:rsidRDefault="003626CF" w:rsidP="00005216">
      <w:pPr>
        <w:jc w:val="both"/>
        <w:rPr>
          <w:rFonts w:ascii="Arial" w:hAnsi="Arial" w:cs="Arial"/>
          <w:sz w:val="24"/>
        </w:rPr>
      </w:pPr>
      <w:r>
        <w:rPr>
          <w:rFonts w:ascii="Arial" w:hAnsi="Arial" w:cs="Arial"/>
          <w:noProof/>
          <w:sz w:val="24"/>
          <w:lang w:eastAsia="es-BO"/>
        </w:rPr>
        <w:pict>
          <v:shape id="_x0000_i1053" type="#_x0000_t75" style="width:467.3pt;height:248.6pt">
            <v:imagedata r:id="rId17" o:title="06 Chile stream"/>
          </v:shape>
        </w:pict>
      </w:r>
    </w:p>
    <w:p w:rsidR="00005216" w:rsidRDefault="00005216" w:rsidP="00005216">
      <w:pPr>
        <w:rPr>
          <w:rFonts w:ascii="Arial" w:hAnsi="Arial" w:cs="Arial"/>
          <w:sz w:val="24"/>
        </w:rPr>
      </w:pPr>
    </w:p>
    <w:p w:rsidR="001812D4" w:rsidRDefault="00005216" w:rsidP="00005216">
      <w:pPr>
        <w:jc w:val="both"/>
        <w:rPr>
          <w:rFonts w:ascii="Arial" w:hAnsi="Arial" w:cs="Arial"/>
          <w:sz w:val="24"/>
        </w:rPr>
      </w:pPr>
      <w:r>
        <w:rPr>
          <w:rFonts w:ascii="Arial" w:hAnsi="Arial" w:cs="Arial"/>
          <w:sz w:val="24"/>
        </w:rPr>
        <w:t>A continuación, se muestran los resultados de las exportaciones a Chi</w:t>
      </w:r>
      <w:r w:rsidR="001812D4">
        <w:rPr>
          <w:rFonts w:ascii="Arial" w:hAnsi="Arial" w:cs="Arial"/>
          <w:sz w:val="24"/>
        </w:rPr>
        <w:t>le</w:t>
      </w:r>
      <w:r>
        <w:rPr>
          <w:rFonts w:ascii="Arial" w:hAnsi="Arial" w:cs="Arial"/>
          <w:sz w:val="24"/>
        </w:rPr>
        <w:t xml:space="preserve"> mediante un modelo ARIMA. </w:t>
      </w:r>
    </w:p>
    <w:p w:rsidR="00005216" w:rsidRDefault="001812D4" w:rsidP="00005216">
      <w:pPr>
        <w:jc w:val="both"/>
        <w:rPr>
          <w:rFonts w:ascii="Arial" w:hAnsi="Arial" w:cs="Arial"/>
          <w:sz w:val="24"/>
        </w:rPr>
      </w:pPr>
      <w:r>
        <w:rPr>
          <w:rFonts w:ascii="Arial" w:hAnsi="Arial" w:cs="Arial"/>
          <w:sz w:val="24"/>
        </w:rPr>
        <w:t>En primera instancia no es evidente una estacionalidad. Destaca, empero, los valores atípicos en los meses de abril, mayo y julio</w:t>
      </w:r>
      <w:r w:rsidR="00005216">
        <w:rPr>
          <w:rFonts w:ascii="Arial" w:hAnsi="Arial" w:cs="Arial"/>
          <w:sz w:val="24"/>
        </w:rPr>
        <w:t>.</w:t>
      </w:r>
    </w:p>
    <w:p w:rsidR="00005216" w:rsidRDefault="00005216" w:rsidP="00005216">
      <w:pPr>
        <w:jc w:val="both"/>
        <w:rPr>
          <w:rFonts w:ascii="Arial" w:hAnsi="Arial" w:cs="Arial"/>
          <w:sz w:val="24"/>
        </w:rPr>
      </w:pPr>
    </w:p>
    <w:p w:rsidR="00005216" w:rsidRDefault="001812D4" w:rsidP="00005216">
      <w:pPr>
        <w:jc w:val="center"/>
        <w:rPr>
          <w:rFonts w:ascii="Arial" w:hAnsi="Arial" w:cs="Arial"/>
          <w:sz w:val="24"/>
        </w:rPr>
      </w:pPr>
      <w:r>
        <w:rPr>
          <w:rFonts w:ascii="Arial" w:hAnsi="Arial" w:cs="Arial"/>
          <w:noProof/>
          <w:sz w:val="24"/>
          <w:lang w:eastAsia="es-BO"/>
        </w:rPr>
        <w:pict>
          <v:shape id="_x0000_i1054" type="#_x0000_t75" style="width:438.1pt;height:190.2pt">
            <v:imagedata r:id="rId18" o:title="07 Chile boxplot" croptop="8514f" cropbottom="6732f" cropleft="2314f" cropright="1788f"/>
          </v:shape>
        </w:pict>
      </w:r>
    </w:p>
    <w:p w:rsidR="00005216" w:rsidRDefault="001812D4" w:rsidP="00005216">
      <w:pPr>
        <w:rPr>
          <w:rFonts w:ascii="Arial" w:hAnsi="Arial" w:cs="Arial"/>
          <w:sz w:val="24"/>
        </w:rPr>
      </w:pPr>
      <w:r>
        <w:rPr>
          <w:rFonts w:ascii="Arial" w:hAnsi="Arial" w:cs="Arial"/>
          <w:sz w:val="24"/>
        </w:rPr>
        <w:lastRenderedPageBreak/>
        <w:t>La</w:t>
      </w:r>
      <w:r w:rsidR="00005216">
        <w:rPr>
          <w:rFonts w:ascii="Arial" w:hAnsi="Arial" w:cs="Arial"/>
          <w:sz w:val="24"/>
        </w:rPr>
        <w:t xml:space="preserve"> descomposición de la serie temporal en sus elementos multiplicativos</w:t>
      </w:r>
      <w:r>
        <w:rPr>
          <w:rFonts w:ascii="Arial" w:hAnsi="Arial" w:cs="Arial"/>
          <w:sz w:val="24"/>
        </w:rPr>
        <w:t xml:space="preserve"> muestra una tendencia a la estabilización y estacionalidad en la segunda mitad de cada </w:t>
      </w:r>
      <w:proofErr w:type="gramStart"/>
      <w:r>
        <w:rPr>
          <w:rFonts w:ascii="Arial" w:hAnsi="Arial" w:cs="Arial"/>
          <w:sz w:val="24"/>
        </w:rPr>
        <w:t>gestión.</w:t>
      </w:r>
      <w:r w:rsidR="00005216">
        <w:rPr>
          <w:rFonts w:ascii="Arial" w:hAnsi="Arial" w:cs="Arial"/>
          <w:sz w:val="24"/>
        </w:rPr>
        <w:t>.</w:t>
      </w:r>
      <w:proofErr w:type="gramEnd"/>
    </w:p>
    <w:p w:rsidR="00005216" w:rsidRDefault="003B27C3" w:rsidP="003B27C3">
      <w:pPr>
        <w:jc w:val="center"/>
        <w:rPr>
          <w:rFonts w:ascii="Arial" w:hAnsi="Arial" w:cs="Arial"/>
          <w:sz w:val="24"/>
        </w:rPr>
      </w:pPr>
      <w:r>
        <w:rPr>
          <w:rFonts w:ascii="Arial" w:hAnsi="Arial" w:cs="Arial"/>
          <w:noProof/>
          <w:sz w:val="24"/>
          <w:lang w:eastAsia="es-BO"/>
        </w:rPr>
        <w:pict>
          <v:shape id="_x0000_i1061" type="#_x0000_t75" style="width:394.65pt;height:326.7pt">
            <v:imagedata r:id="rId19" o:title="09 Chile decompose"/>
          </v:shape>
        </w:pict>
      </w:r>
    </w:p>
    <w:p w:rsidR="00005216" w:rsidRDefault="00005216" w:rsidP="00005216">
      <w:pPr>
        <w:rPr>
          <w:rFonts w:ascii="Arial" w:hAnsi="Arial" w:cs="Arial"/>
          <w:sz w:val="24"/>
        </w:rPr>
      </w:pPr>
    </w:p>
    <w:p w:rsidR="00005216" w:rsidRDefault="00005216" w:rsidP="00005216">
      <w:pPr>
        <w:rPr>
          <w:rFonts w:ascii="Arial" w:hAnsi="Arial" w:cs="Arial"/>
          <w:sz w:val="24"/>
        </w:rPr>
      </w:pPr>
      <w:r>
        <w:rPr>
          <w:rFonts w:ascii="Arial" w:hAnsi="Arial" w:cs="Arial"/>
          <w:sz w:val="24"/>
        </w:rPr>
        <w:t xml:space="preserve">La serie es </w:t>
      </w:r>
      <w:r w:rsidRPr="007D3888">
        <w:rPr>
          <w:rFonts w:ascii="Arial" w:hAnsi="Arial" w:cs="Arial"/>
          <w:b/>
          <w:sz w:val="24"/>
        </w:rPr>
        <w:t>no estacionaria</w:t>
      </w:r>
      <w:r>
        <w:rPr>
          <w:rFonts w:ascii="Arial" w:hAnsi="Arial" w:cs="Arial"/>
          <w:sz w:val="24"/>
        </w:rPr>
        <w:t xml:space="preserve"> como se demuestra con el Test </w:t>
      </w:r>
      <w:proofErr w:type="spellStart"/>
      <w:r>
        <w:rPr>
          <w:rFonts w:ascii="Arial" w:hAnsi="Arial" w:cs="Arial"/>
          <w:sz w:val="24"/>
        </w:rPr>
        <w:t>Dickey</w:t>
      </w:r>
      <w:proofErr w:type="spellEnd"/>
      <w:r>
        <w:rPr>
          <w:rFonts w:ascii="Arial" w:hAnsi="Arial" w:cs="Arial"/>
          <w:sz w:val="24"/>
        </w:rPr>
        <w:t xml:space="preserve"> </w:t>
      </w:r>
      <w:proofErr w:type="spellStart"/>
      <w:r>
        <w:rPr>
          <w:rFonts w:ascii="Arial" w:hAnsi="Arial" w:cs="Arial"/>
          <w:sz w:val="24"/>
        </w:rPr>
        <w:t>Fuller</w:t>
      </w:r>
      <w:proofErr w:type="spellEnd"/>
      <w:r>
        <w:rPr>
          <w:rFonts w:ascii="Arial" w:hAnsi="Arial" w:cs="Arial"/>
          <w:sz w:val="24"/>
        </w:rPr>
        <w:t>:</w:t>
      </w:r>
    </w:p>
    <w:p w:rsidR="00005216" w:rsidRDefault="003B27C3" w:rsidP="00005216">
      <w:pPr>
        <w:jc w:val="center"/>
        <w:rPr>
          <w:rFonts w:ascii="Arial" w:hAnsi="Arial" w:cs="Arial"/>
          <w:sz w:val="24"/>
        </w:rPr>
      </w:pPr>
      <w:r w:rsidRPr="003B27C3">
        <w:rPr>
          <w:rFonts w:ascii="Arial" w:hAnsi="Arial" w:cs="Arial"/>
          <w:sz w:val="24"/>
        </w:rPr>
        <w:drawing>
          <wp:inline distT="0" distB="0" distL="0" distR="0" wp14:anchorId="20240B15" wp14:editId="5179552F">
            <wp:extent cx="3829050" cy="949151"/>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8424" cy="961390"/>
                    </a:xfrm>
                    <a:prstGeom prst="rect">
                      <a:avLst/>
                    </a:prstGeom>
                  </pic:spPr>
                </pic:pic>
              </a:graphicData>
            </a:graphic>
          </wp:inline>
        </w:drawing>
      </w:r>
    </w:p>
    <w:p w:rsidR="00005216" w:rsidRDefault="00005216" w:rsidP="00005216">
      <w:pPr>
        <w:jc w:val="both"/>
        <w:rPr>
          <w:rFonts w:ascii="Arial" w:hAnsi="Arial" w:cs="Arial"/>
          <w:sz w:val="24"/>
        </w:rPr>
      </w:pPr>
      <w:r>
        <w:rPr>
          <w:rFonts w:ascii="Arial" w:hAnsi="Arial" w:cs="Arial"/>
          <w:sz w:val="24"/>
        </w:rPr>
        <w:t xml:space="preserve">Y el modelo resultante </w:t>
      </w:r>
      <w:proofErr w:type="spellStart"/>
      <w:r>
        <w:rPr>
          <w:rFonts w:ascii="Arial" w:hAnsi="Arial" w:cs="Arial"/>
          <w:sz w:val="24"/>
        </w:rPr>
        <w:t>seria</w:t>
      </w:r>
      <w:proofErr w:type="spellEnd"/>
      <w:r>
        <w:rPr>
          <w:rFonts w:ascii="Arial" w:hAnsi="Arial" w:cs="Arial"/>
          <w:sz w:val="24"/>
        </w:rPr>
        <w:t xml:space="preserve"> un </w:t>
      </w:r>
      <w:proofErr w:type="gramStart"/>
      <w:r>
        <w:rPr>
          <w:rFonts w:ascii="Arial" w:hAnsi="Arial" w:cs="Arial"/>
          <w:sz w:val="24"/>
        </w:rPr>
        <w:t>ARIMA(</w:t>
      </w:r>
      <w:proofErr w:type="gramEnd"/>
      <w:r>
        <w:rPr>
          <w:rFonts w:ascii="Arial" w:hAnsi="Arial" w:cs="Arial"/>
          <w:sz w:val="24"/>
        </w:rPr>
        <w:t>2,</w:t>
      </w:r>
      <w:r w:rsidR="003B27C3">
        <w:rPr>
          <w:rFonts w:ascii="Arial" w:hAnsi="Arial" w:cs="Arial"/>
          <w:sz w:val="24"/>
        </w:rPr>
        <w:t>0</w:t>
      </w:r>
      <w:r>
        <w:rPr>
          <w:rFonts w:ascii="Arial" w:hAnsi="Arial" w:cs="Arial"/>
          <w:sz w:val="24"/>
        </w:rPr>
        <w:t>,</w:t>
      </w:r>
      <w:r w:rsidR="003B27C3">
        <w:rPr>
          <w:rFonts w:ascii="Arial" w:hAnsi="Arial" w:cs="Arial"/>
          <w:sz w:val="24"/>
        </w:rPr>
        <w:t>0</w:t>
      </w:r>
      <w:r>
        <w:rPr>
          <w:rFonts w:ascii="Arial" w:hAnsi="Arial" w:cs="Arial"/>
          <w:sz w:val="24"/>
        </w:rPr>
        <w:t>)</w:t>
      </w:r>
    </w:p>
    <w:p w:rsidR="00005216" w:rsidRDefault="003B27C3" w:rsidP="00005216">
      <w:pPr>
        <w:jc w:val="center"/>
        <w:rPr>
          <w:rFonts w:ascii="Arial" w:hAnsi="Arial" w:cs="Arial"/>
          <w:sz w:val="24"/>
        </w:rPr>
      </w:pPr>
      <w:r w:rsidRPr="003B27C3">
        <w:rPr>
          <w:rFonts w:ascii="Arial" w:hAnsi="Arial" w:cs="Arial"/>
          <w:sz w:val="24"/>
        </w:rPr>
        <w:drawing>
          <wp:inline distT="0" distB="0" distL="0" distR="0" wp14:anchorId="57A6D689" wp14:editId="2EBC23FB">
            <wp:extent cx="2486025" cy="1211675"/>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8963" cy="1222855"/>
                    </a:xfrm>
                    <a:prstGeom prst="rect">
                      <a:avLst/>
                    </a:prstGeom>
                  </pic:spPr>
                </pic:pic>
              </a:graphicData>
            </a:graphic>
          </wp:inline>
        </w:drawing>
      </w:r>
    </w:p>
    <w:p w:rsidR="00005216" w:rsidRDefault="00005216" w:rsidP="00005216">
      <w:pPr>
        <w:jc w:val="both"/>
        <w:rPr>
          <w:rFonts w:ascii="Arial" w:hAnsi="Arial" w:cs="Arial"/>
          <w:sz w:val="24"/>
        </w:rPr>
      </w:pPr>
    </w:p>
    <w:p w:rsidR="00005216" w:rsidRDefault="00005216" w:rsidP="00005216">
      <w:pPr>
        <w:jc w:val="both"/>
        <w:rPr>
          <w:rFonts w:ascii="Arial" w:hAnsi="Arial" w:cs="Arial"/>
          <w:sz w:val="24"/>
        </w:rPr>
      </w:pPr>
      <w:r>
        <w:rPr>
          <w:rFonts w:ascii="Arial" w:hAnsi="Arial" w:cs="Arial"/>
          <w:sz w:val="24"/>
        </w:rPr>
        <w:lastRenderedPageBreak/>
        <w:t xml:space="preserve">Los valores p del test </w:t>
      </w:r>
      <w:proofErr w:type="spellStart"/>
      <w:r>
        <w:rPr>
          <w:rFonts w:ascii="Arial" w:hAnsi="Arial" w:cs="Arial"/>
          <w:sz w:val="24"/>
        </w:rPr>
        <w:t>Ljung</w:t>
      </w:r>
      <w:proofErr w:type="spellEnd"/>
      <w:r>
        <w:rPr>
          <w:rFonts w:ascii="Arial" w:hAnsi="Arial" w:cs="Arial"/>
          <w:sz w:val="24"/>
        </w:rPr>
        <w:t xml:space="preserve">-Box son mayores al 5%, por lo </w:t>
      </w:r>
      <w:proofErr w:type="gramStart"/>
      <w:r>
        <w:rPr>
          <w:rFonts w:ascii="Arial" w:hAnsi="Arial" w:cs="Arial"/>
          <w:sz w:val="24"/>
        </w:rPr>
        <w:t>tanto</w:t>
      </w:r>
      <w:proofErr w:type="gramEnd"/>
      <w:r>
        <w:rPr>
          <w:rFonts w:ascii="Arial" w:hAnsi="Arial" w:cs="Arial"/>
          <w:sz w:val="24"/>
        </w:rPr>
        <w:t xml:space="preserve"> no rechazamos la hipótesis nula de que los residuos son independientes.</w:t>
      </w:r>
    </w:p>
    <w:p w:rsidR="00005216" w:rsidRDefault="003B27C3" w:rsidP="003B27C3">
      <w:pPr>
        <w:jc w:val="center"/>
        <w:rPr>
          <w:rFonts w:ascii="Arial" w:hAnsi="Arial" w:cs="Arial"/>
          <w:sz w:val="24"/>
        </w:rPr>
      </w:pPr>
      <w:r>
        <w:rPr>
          <w:rFonts w:ascii="Arial" w:hAnsi="Arial" w:cs="Arial"/>
          <w:noProof/>
          <w:sz w:val="24"/>
          <w:lang w:eastAsia="es-BO"/>
        </w:rPr>
        <w:pict>
          <v:shape id="_x0000_i1064" type="#_x0000_t75" style="width:419.75pt;height:456.45pt">
            <v:imagedata r:id="rId22" o:title="10 Chile residuos"/>
          </v:shape>
        </w:pict>
      </w:r>
    </w:p>
    <w:p w:rsidR="003B27C3" w:rsidRDefault="003B27C3" w:rsidP="00005216">
      <w:pPr>
        <w:jc w:val="both"/>
        <w:rPr>
          <w:rFonts w:ascii="Arial" w:hAnsi="Arial" w:cs="Arial"/>
          <w:sz w:val="24"/>
        </w:rPr>
      </w:pPr>
    </w:p>
    <w:p w:rsidR="003B27C3" w:rsidRDefault="003B27C3" w:rsidP="00005216">
      <w:pPr>
        <w:jc w:val="both"/>
        <w:rPr>
          <w:rFonts w:ascii="Arial" w:hAnsi="Arial" w:cs="Arial"/>
          <w:sz w:val="24"/>
        </w:rPr>
      </w:pPr>
    </w:p>
    <w:p w:rsidR="003B27C3" w:rsidRDefault="003B27C3" w:rsidP="00005216">
      <w:pPr>
        <w:jc w:val="both"/>
        <w:rPr>
          <w:rFonts w:ascii="Arial" w:hAnsi="Arial" w:cs="Arial"/>
          <w:sz w:val="24"/>
        </w:rPr>
      </w:pPr>
    </w:p>
    <w:p w:rsidR="003B27C3" w:rsidRDefault="003B27C3" w:rsidP="00005216">
      <w:pPr>
        <w:jc w:val="both"/>
        <w:rPr>
          <w:rFonts w:ascii="Arial" w:hAnsi="Arial" w:cs="Arial"/>
          <w:sz w:val="24"/>
        </w:rPr>
      </w:pPr>
    </w:p>
    <w:p w:rsidR="003B27C3" w:rsidRDefault="003B27C3" w:rsidP="00005216">
      <w:pPr>
        <w:jc w:val="both"/>
        <w:rPr>
          <w:rFonts w:ascii="Arial" w:hAnsi="Arial" w:cs="Arial"/>
          <w:sz w:val="24"/>
        </w:rPr>
      </w:pPr>
    </w:p>
    <w:p w:rsidR="003B27C3" w:rsidRDefault="003B27C3" w:rsidP="00005216">
      <w:pPr>
        <w:jc w:val="both"/>
        <w:rPr>
          <w:rFonts w:ascii="Arial" w:hAnsi="Arial" w:cs="Arial"/>
          <w:sz w:val="24"/>
        </w:rPr>
      </w:pPr>
    </w:p>
    <w:p w:rsidR="00005216" w:rsidRDefault="00005216" w:rsidP="00005216">
      <w:pPr>
        <w:jc w:val="both"/>
        <w:rPr>
          <w:rFonts w:ascii="Arial" w:hAnsi="Arial" w:cs="Arial"/>
          <w:sz w:val="24"/>
        </w:rPr>
      </w:pPr>
      <w:r>
        <w:rPr>
          <w:rFonts w:ascii="Arial" w:hAnsi="Arial" w:cs="Arial"/>
          <w:sz w:val="24"/>
        </w:rPr>
        <w:lastRenderedPageBreak/>
        <w:t>Las predicciones del modelo para los 12 periodos siguientes son.</w:t>
      </w:r>
    </w:p>
    <w:p w:rsidR="00005216" w:rsidRDefault="003B27C3" w:rsidP="00005216">
      <w:pPr>
        <w:jc w:val="center"/>
        <w:rPr>
          <w:rFonts w:ascii="Arial" w:hAnsi="Arial" w:cs="Arial"/>
          <w:sz w:val="24"/>
        </w:rPr>
      </w:pPr>
      <w:r>
        <w:rPr>
          <w:rFonts w:ascii="Arial" w:hAnsi="Arial" w:cs="Arial"/>
          <w:noProof/>
          <w:sz w:val="24"/>
          <w:lang w:eastAsia="es-BO"/>
        </w:rPr>
        <w:pict>
          <v:shape id="_x0000_i1069" type="#_x0000_t75" style="width:468pt;height:256.1pt">
            <v:imagedata r:id="rId23" o:title="11 Chile predicción"/>
          </v:shape>
        </w:pict>
      </w:r>
    </w:p>
    <w:p w:rsidR="0065426F" w:rsidRDefault="0065426F" w:rsidP="0065426F">
      <w:pPr>
        <w:rPr>
          <w:rFonts w:ascii="Arial" w:hAnsi="Arial" w:cs="Arial"/>
          <w:sz w:val="24"/>
        </w:rPr>
      </w:pPr>
    </w:p>
    <w:p w:rsidR="003B27C3" w:rsidRDefault="003B27C3" w:rsidP="0065426F">
      <w:pPr>
        <w:rPr>
          <w:rFonts w:ascii="Arial" w:hAnsi="Arial" w:cs="Arial"/>
          <w:sz w:val="24"/>
        </w:rPr>
      </w:pPr>
    </w:p>
    <w:p w:rsidR="003B27C3" w:rsidRDefault="003B27C3" w:rsidP="0065426F">
      <w:pPr>
        <w:pStyle w:val="Ttulo2"/>
        <w:rPr>
          <w:rFonts w:ascii="Arial" w:hAnsi="Arial" w:cs="Arial"/>
          <w:sz w:val="28"/>
        </w:rPr>
      </w:pPr>
    </w:p>
    <w:p w:rsidR="00C56041" w:rsidRDefault="00C56041" w:rsidP="00C56041"/>
    <w:p w:rsidR="00C56041" w:rsidRDefault="00C56041" w:rsidP="00C56041"/>
    <w:p w:rsidR="00C56041" w:rsidRPr="00C56041" w:rsidRDefault="00C56041" w:rsidP="00C56041"/>
    <w:p w:rsidR="003B27C3" w:rsidRDefault="003B27C3" w:rsidP="0065426F">
      <w:pPr>
        <w:pStyle w:val="Ttulo2"/>
        <w:rPr>
          <w:rFonts w:ascii="Arial" w:hAnsi="Arial" w:cs="Arial"/>
          <w:sz w:val="28"/>
        </w:rPr>
      </w:pPr>
    </w:p>
    <w:p w:rsidR="003B27C3" w:rsidRDefault="003B27C3" w:rsidP="003B27C3"/>
    <w:p w:rsidR="003B27C3" w:rsidRDefault="003B27C3" w:rsidP="003B27C3"/>
    <w:p w:rsidR="003B27C3" w:rsidRPr="003B27C3" w:rsidRDefault="003B27C3" w:rsidP="003B27C3"/>
    <w:p w:rsidR="003B27C3" w:rsidRDefault="003B27C3" w:rsidP="0065426F">
      <w:pPr>
        <w:pStyle w:val="Ttulo2"/>
        <w:rPr>
          <w:rFonts w:ascii="Arial" w:hAnsi="Arial" w:cs="Arial"/>
          <w:sz w:val="28"/>
        </w:rPr>
      </w:pPr>
    </w:p>
    <w:p w:rsidR="005076EE" w:rsidRDefault="005076EE" w:rsidP="005076EE"/>
    <w:p w:rsidR="005076EE" w:rsidRDefault="005076EE" w:rsidP="005076EE"/>
    <w:p w:rsidR="005076EE" w:rsidRDefault="005076EE" w:rsidP="005076EE"/>
    <w:p w:rsidR="005076EE" w:rsidRDefault="005076EE" w:rsidP="005076EE"/>
    <w:p w:rsidR="005076EE" w:rsidRDefault="005076EE" w:rsidP="005076EE"/>
    <w:p w:rsidR="005076EE" w:rsidRPr="005076EE" w:rsidRDefault="005076EE" w:rsidP="005076EE"/>
    <w:p w:rsidR="0065426F" w:rsidRPr="0065426F" w:rsidRDefault="0065426F" w:rsidP="0065426F">
      <w:pPr>
        <w:pStyle w:val="Ttulo2"/>
        <w:rPr>
          <w:rFonts w:ascii="Arial" w:hAnsi="Arial" w:cs="Arial"/>
          <w:sz w:val="28"/>
        </w:rPr>
      </w:pPr>
      <w:bookmarkStart w:id="6" w:name="_Toc109144678"/>
      <w:proofErr w:type="spellStart"/>
      <w:r>
        <w:rPr>
          <w:rFonts w:ascii="Arial" w:hAnsi="Arial" w:cs="Arial"/>
          <w:sz w:val="28"/>
        </w:rPr>
        <w:lastRenderedPageBreak/>
        <w:t>Clustering</w:t>
      </w:r>
      <w:bookmarkEnd w:id="6"/>
      <w:proofErr w:type="spellEnd"/>
    </w:p>
    <w:p w:rsidR="0065426F" w:rsidRDefault="0065426F" w:rsidP="00931EF2">
      <w:pPr>
        <w:rPr>
          <w:rFonts w:ascii="Arial" w:hAnsi="Arial" w:cs="Arial"/>
          <w:sz w:val="24"/>
        </w:rPr>
      </w:pPr>
    </w:p>
    <w:p w:rsidR="001B7D39" w:rsidRDefault="005076EE" w:rsidP="001B7D39">
      <w:pPr>
        <w:jc w:val="both"/>
        <w:rPr>
          <w:rFonts w:ascii="Arial" w:hAnsi="Arial" w:cs="Arial"/>
          <w:sz w:val="24"/>
        </w:rPr>
      </w:pPr>
      <w:r>
        <w:rPr>
          <w:rFonts w:ascii="Arial" w:hAnsi="Arial" w:cs="Arial"/>
          <w:sz w:val="24"/>
        </w:rPr>
        <w:t>En virtud al cambio en la composición de las exportaciones bolivianas se analizarán dos gestiones que se caracterizan por un notable nivel de exportaciones, pero que se diferencian en la composición</w:t>
      </w:r>
      <w:r w:rsidR="001B7D39">
        <w:rPr>
          <w:rFonts w:ascii="Arial" w:hAnsi="Arial" w:cs="Arial"/>
          <w:sz w:val="24"/>
        </w:rPr>
        <w:t xml:space="preserve"> por producto.</w:t>
      </w:r>
    </w:p>
    <w:p w:rsidR="001B7D39" w:rsidRDefault="001B7D39" w:rsidP="001B7D39">
      <w:pPr>
        <w:jc w:val="both"/>
        <w:rPr>
          <w:rFonts w:ascii="Arial" w:hAnsi="Arial" w:cs="Arial"/>
          <w:sz w:val="24"/>
        </w:rPr>
      </w:pPr>
      <w:proofErr w:type="spellStart"/>
      <w:r>
        <w:rPr>
          <w:rFonts w:ascii="Arial" w:hAnsi="Arial" w:cs="Arial"/>
          <w:sz w:val="24"/>
        </w:rPr>
        <w:t>Especificamente</w:t>
      </w:r>
      <w:proofErr w:type="spellEnd"/>
      <w:r>
        <w:rPr>
          <w:rFonts w:ascii="Arial" w:hAnsi="Arial" w:cs="Arial"/>
          <w:sz w:val="24"/>
        </w:rPr>
        <w:t>, el volumen y el valor de las exportaciones de oro se constituye en el principal producto de comercio en lugar del Gas Natural que tradicionalmente fue el producto más exportado a Argentina y Brasil.</w:t>
      </w:r>
    </w:p>
    <w:p w:rsidR="001B7D39" w:rsidRDefault="001B7D39" w:rsidP="001B7D39">
      <w:pPr>
        <w:jc w:val="both"/>
        <w:rPr>
          <w:rFonts w:ascii="Arial" w:hAnsi="Arial" w:cs="Arial"/>
          <w:sz w:val="24"/>
        </w:rPr>
      </w:pPr>
      <w:r>
        <w:rPr>
          <w:rFonts w:ascii="Arial" w:hAnsi="Arial" w:cs="Arial"/>
          <w:sz w:val="24"/>
        </w:rPr>
        <w:t xml:space="preserve">A continuación, se muestra el gráfico de </w:t>
      </w:r>
      <w:proofErr w:type="spellStart"/>
      <w:r>
        <w:rPr>
          <w:rFonts w:ascii="Arial" w:hAnsi="Arial" w:cs="Arial"/>
          <w:sz w:val="24"/>
        </w:rPr>
        <w:t>clusters</w:t>
      </w:r>
      <w:proofErr w:type="spellEnd"/>
      <w:r>
        <w:rPr>
          <w:rFonts w:ascii="Arial" w:hAnsi="Arial" w:cs="Arial"/>
          <w:sz w:val="24"/>
        </w:rPr>
        <w:t xml:space="preserve"> con k=3 para la gestión 2014 en el que se puede apreciar el complejo soya como un </w:t>
      </w:r>
      <w:proofErr w:type="spellStart"/>
      <w:r>
        <w:rPr>
          <w:rFonts w:ascii="Arial" w:hAnsi="Arial" w:cs="Arial"/>
          <w:sz w:val="24"/>
        </w:rPr>
        <w:t>cluster</w:t>
      </w:r>
      <w:proofErr w:type="spellEnd"/>
      <w:r>
        <w:rPr>
          <w:rFonts w:ascii="Arial" w:hAnsi="Arial" w:cs="Arial"/>
          <w:sz w:val="24"/>
        </w:rPr>
        <w:t xml:space="preserve"> separado del grupo de plata y zinc. Además, se agrupan el gas natural junto con otros productos tradicionales del comercio boliviano de exportación</w:t>
      </w:r>
      <w:r w:rsidR="00665FA4">
        <w:rPr>
          <w:rFonts w:ascii="Arial" w:hAnsi="Arial" w:cs="Arial"/>
          <w:sz w:val="24"/>
        </w:rPr>
        <w:t>.</w:t>
      </w:r>
    </w:p>
    <w:p w:rsidR="00665FA4" w:rsidRDefault="00665FA4" w:rsidP="001B7D39">
      <w:pPr>
        <w:jc w:val="center"/>
        <w:rPr>
          <w:rFonts w:ascii="Arial" w:hAnsi="Arial" w:cs="Arial"/>
          <w:i/>
          <w:sz w:val="24"/>
        </w:rPr>
      </w:pPr>
    </w:p>
    <w:p w:rsidR="001B7D39" w:rsidRPr="001B7D39" w:rsidRDefault="001B7D39" w:rsidP="001B7D39">
      <w:pPr>
        <w:jc w:val="center"/>
        <w:rPr>
          <w:rFonts w:ascii="Arial" w:hAnsi="Arial" w:cs="Arial"/>
          <w:i/>
          <w:sz w:val="24"/>
        </w:rPr>
      </w:pPr>
      <w:proofErr w:type="spellStart"/>
      <w:r w:rsidRPr="001B7D39">
        <w:rPr>
          <w:rFonts w:ascii="Arial" w:hAnsi="Arial" w:cs="Arial"/>
          <w:i/>
          <w:sz w:val="24"/>
        </w:rPr>
        <w:t>Cluster</w:t>
      </w:r>
      <w:proofErr w:type="spellEnd"/>
      <w:r w:rsidRPr="001B7D39">
        <w:rPr>
          <w:rFonts w:ascii="Arial" w:hAnsi="Arial" w:cs="Arial"/>
          <w:i/>
          <w:sz w:val="24"/>
        </w:rPr>
        <w:t xml:space="preserve"> de productos exportados gestión 2014</w:t>
      </w:r>
    </w:p>
    <w:p w:rsidR="001B7D39" w:rsidRDefault="001B7D39" w:rsidP="001B7D39">
      <w:pPr>
        <w:jc w:val="center"/>
        <w:rPr>
          <w:rFonts w:ascii="Arial" w:hAnsi="Arial" w:cs="Arial"/>
          <w:sz w:val="24"/>
        </w:rPr>
      </w:pPr>
      <w:r>
        <w:rPr>
          <w:rFonts w:ascii="Arial" w:hAnsi="Arial" w:cs="Arial"/>
          <w:sz w:val="24"/>
        </w:rPr>
        <w:pict>
          <v:shape id="_x0000_i1092" type="#_x0000_t75" style="width:424.55pt;height:349.8pt">
            <v:imagedata r:id="rId24" o:title="30 Cluster 2014" croptop="6048f" cropbottom="8247f" cropleft="2836f" cropright="3256f"/>
          </v:shape>
        </w:pict>
      </w:r>
    </w:p>
    <w:p w:rsidR="00665FA4" w:rsidRDefault="00665FA4" w:rsidP="00665FA4">
      <w:pPr>
        <w:rPr>
          <w:rFonts w:ascii="Arial" w:hAnsi="Arial" w:cs="Arial"/>
          <w:i/>
          <w:sz w:val="24"/>
        </w:rPr>
      </w:pPr>
    </w:p>
    <w:p w:rsidR="00665FA4" w:rsidRPr="00665FA4" w:rsidRDefault="00665FA4" w:rsidP="00665FA4">
      <w:pPr>
        <w:rPr>
          <w:rFonts w:ascii="Arial" w:hAnsi="Arial" w:cs="Arial"/>
          <w:sz w:val="24"/>
        </w:rPr>
      </w:pPr>
      <w:r>
        <w:rPr>
          <w:rFonts w:ascii="Arial" w:hAnsi="Arial" w:cs="Arial"/>
          <w:sz w:val="24"/>
        </w:rPr>
        <w:lastRenderedPageBreak/>
        <w:t xml:space="preserve">Con datos disponibles de enero a mayo de 2022 destaca la separación del oro como principal producto de exportación. Cabe destacar que este cambio de composición de producto también se refleja en el cambio de destino el Oro. Es decir, tradicionalmente los países consumidores de nuestras exportaciones fueron </w:t>
      </w:r>
      <w:proofErr w:type="gramStart"/>
      <w:r>
        <w:rPr>
          <w:rFonts w:ascii="Arial" w:hAnsi="Arial" w:cs="Arial"/>
          <w:sz w:val="24"/>
        </w:rPr>
        <w:t>Argentina  y</w:t>
      </w:r>
      <w:proofErr w:type="gramEnd"/>
      <w:r>
        <w:rPr>
          <w:rFonts w:ascii="Arial" w:hAnsi="Arial" w:cs="Arial"/>
          <w:sz w:val="24"/>
        </w:rPr>
        <w:t xml:space="preserve"> Brasil, sin embargo en las últimas gestiones India se ha constituido como principal mercado de exportación el oro metálico.</w:t>
      </w:r>
    </w:p>
    <w:p w:rsidR="00665FA4" w:rsidRPr="001B7D39" w:rsidRDefault="00665FA4" w:rsidP="00665FA4">
      <w:pPr>
        <w:jc w:val="center"/>
        <w:rPr>
          <w:rFonts w:ascii="Arial" w:hAnsi="Arial" w:cs="Arial"/>
          <w:i/>
          <w:sz w:val="24"/>
        </w:rPr>
      </w:pPr>
      <w:proofErr w:type="spellStart"/>
      <w:r w:rsidRPr="001B7D39">
        <w:rPr>
          <w:rFonts w:ascii="Arial" w:hAnsi="Arial" w:cs="Arial"/>
          <w:i/>
          <w:sz w:val="24"/>
        </w:rPr>
        <w:t>Cluster</w:t>
      </w:r>
      <w:proofErr w:type="spellEnd"/>
      <w:r w:rsidRPr="001B7D39">
        <w:rPr>
          <w:rFonts w:ascii="Arial" w:hAnsi="Arial" w:cs="Arial"/>
          <w:i/>
          <w:sz w:val="24"/>
        </w:rPr>
        <w:t xml:space="preserve"> de productos exportados gestión 20</w:t>
      </w:r>
      <w:r>
        <w:rPr>
          <w:rFonts w:ascii="Arial" w:hAnsi="Arial" w:cs="Arial"/>
          <w:i/>
          <w:sz w:val="24"/>
        </w:rPr>
        <w:t>22</w:t>
      </w:r>
    </w:p>
    <w:p w:rsidR="00665FA4" w:rsidRDefault="00665FA4" w:rsidP="00B55AA1">
      <w:pPr>
        <w:pStyle w:val="Ttulo1"/>
        <w:rPr>
          <w:rFonts w:ascii="Arial" w:hAnsi="Arial" w:cs="Arial"/>
        </w:rPr>
      </w:pPr>
    </w:p>
    <w:p w:rsidR="00665FA4" w:rsidRPr="00665FA4" w:rsidRDefault="00665FA4" w:rsidP="00665FA4">
      <w:pPr>
        <w:jc w:val="center"/>
      </w:pPr>
      <w:r>
        <w:pict>
          <v:shape id="_x0000_i1097" type="#_x0000_t75" style="width:427.25pt;height:319.25pt">
            <v:imagedata r:id="rId25" o:title="31 Cluster 2022" croptop="6277f" cropbottom="8053f" cropleft="2941f" cropright="2836f"/>
          </v:shape>
        </w:pict>
      </w:r>
    </w:p>
    <w:p w:rsidR="00B55AA1" w:rsidRDefault="00B55AA1" w:rsidP="00B55AA1">
      <w:pPr>
        <w:pStyle w:val="Ttulo1"/>
        <w:rPr>
          <w:rFonts w:ascii="Arial" w:hAnsi="Arial" w:cs="Arial"/>
        </w:rPr>
      </w:pPr>
      <w:bookmarkStart w:id="7" w:name="_Toc109144679"/>
      <w:r w:rsidRPr="00B55AA1">
        <w:rPr>
          <w:rFonts w:ascii="Arial" w:hAnsi="Arial" w:cs="Arial"/>
        </w:rPr>
        <w:t>Conclusiones</w:t>
      </w:r>
      <w:bookmarkEnd w:id="7"/>
    </w:p>
    <w:p w:rsidR="00665FA4" w:rsidRDefault="00665FA4" w:rsidP="00931EF2">
      <w:pPr>
        <w:rPr>
          <w:rFonts w:ascii="Arial" w:hAnsi="Arial" w:cs="Arial"/>
          <w:sz w:val="24"/>
        </w:rPr>
      </w:pPr>
      <w:r>
        <w:rPr>
          <w:rFonts w:ascii="Arial" w:hAnsi="Arial" w:cs="Arial"/>
          <w:sz w:val="24"/>
        </w:rPr>
        <w:t>Se ha analizado las series temporales de exportaciones bolivianas a plazas específicas mediante un modelo ARIMA con su correspondiente descomposición.</w:t>
      </w:r>
    </w:p>
    <w:p w:rsidR="00665FA4" w:rsidRPr="00665FA4" w:rsidRDefault="00665FA4" w:rsidP="00931EF2">
      <w:pPr>
        <w:rPr>
          <w:rFonts w:ascii="Arial" w:hAnsi="Arial" w:cs="Arial"/>
          <w:sz w:val="24"/>
        </w:rPr>
      </w:pPr>
      <w:r>
        <w:rPr>
          <w:rFonts w:ascii="Arial" w:hAnsi="Arial" w:cs="Arial"/>
          <w:sz w:val="24"/>
        </w:rPr>
        <w:t xml:space="preserve">Se ha analizado el cambio de composición de los principales productos de exportación mediante </w:t>
      </w:r>
      <w:proofErr w:type="spellStart"/>
      <w:r>
        <w:rPr>
          <w:rFonts w:ascii="Arial" w:hAnsi="Arial" w:cs="Arial"/>
          <w:sz w:val="24"/>
        </w:rPr>
        <w:t>clustering</w:t>
      </w:r>
      <w:proofErr w:type="spellEnd"/>
      <w:r>
        <w:rPr>
          <w:rFonts w:ascii="Arial" w:hAnsi="Arial" w:cs="Arial"/>
          <w:sz w:val="24"/>
        </w:rPr>
        <w:t xml:space="preserve"> y se ha determinado que el oro metálico es el principal producto en los últimos meses.</w:t>
      </w:r>
    </w:p>
    <w:sectPr w:rsidR="00665FA4" w:rsidRPr="00665FA4" w:rsidSect="008471E7">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F086C"/>
    <w:multiLevelType w:val="hybridMultilevel"/>
    <w:tmpl w:val="FBFA5400"/>
    <w:lvl w:ilvl="0" w:tplc="E87EF0CA">
      <w:start w:val="1"/>
      <w:numFmt w:val="lowerLetter"/>
      <w:lvlText w:val="%1."/>
      <w:lvlJc w:val="left"/>
      <w:pPr>
        <w:ind w:left="1065" w:hanging="360"/>
      </w:pPr>
      <w:rPr>
        <w:rFonts w:hint="default"/>
      </w:rPr>
    </w:lvl>
    <w:lvl w:ilvl="1" w:tplc="400A0019" w:tentative="1">
      <w:start w:val="1"/>
      <w:numFmt w:val="lowerLetter"/>
      <w:lvlText w:val="%2."/>
      <w:lvlJc w:val="left"/>
      <w:pPr>
        <w:ind w:left="1785" w:hanging="360"/>
      </w:pPr>
    </w:lvl>
    <w:lvl w:ilvl="2" w:tplc="400A001B" w:tentative="1">
      <w:start w:val="1"/>
      <w:numFmt w:val="lowerRoman"/>
      <w:lvlText w:val="%3."/>
      <w:lvlJc w:val="right"/>
      <w:pPr>
        <w:ind w:left="2505" w:hanging="180"/>
      </w:pPr>
    </w:lvl>
    <w:lvl w:ilvl="3" w:tplc="400A000F" w:tentative="1">
      <w:start w:val="1"/>
      <w:numFmt w:val="decimal"/>
      <w:lvlText w:val="%4."/>
      <w:lvlJc w:val="left"/>
      <w:pPr>
        <w:ind w:left="3225" w:hanging="360"/>
      </w:pPr>
    </w:lvl>
    <w:lvl w:ilvl="4" w:tplc="400A0019" w:tentative="1">
      <w:start w:val="1"/>
      <w:numFmt w:val="lowerLetter"/>
      <w:lvlText w:val="%5."/>
      <w:lvlJc w:val="left"/>
      <w:pPr>
        <w:ind w:left="3945" w:hanging="360"/>
      </w:pPr>
    </w:lvl>
    <w:lvl w:ilvl="5" w:tplc="400A001B" w:tentative="1">
      <w:start w:val="1"/>
      <w:numFmt w:val="lowerRoman"/>
      <w:lvlText w:val="%6."/>
      <w:lvlJc w:val="right"/>
      <w:pPr>
        <w:ind w:left="4665" w:hanging="180"/>
      </w:pPr>
    </w:lvl>
    <w:lvl w:ilvl="6" w:tplc="400A000F" w:tentative="1">
      <w:start w:val="1"/>
      <w:numFmt w:val="decimal"/>
      <w:lvlText w:val="%7."/>
      <w:lvlJc w:val="left"/>
      <w:pPr>
        <w:ind w:left="5385" w:hanging="360"/>
      </w:pPr>
    </w:lvl>
    <w:lvl w:ilvl="7" w:tplc="400A0019" w:tentative="1">
      <w:start w:val="1"/>
      <w:numFmt w:val="lowerLetter"/>
      <w:lvlText w:val="%8."/>
      <w:lvlJc w:val="left"/>
      <w:pPr>
        <w:ind w:left="6105" w:hanging="360"/>
      </w:pPr>
    </w:lvl>
    <w:lvl w:ilvl="8" w:tplc="400A001B" w:tentative="1">
      <w:start w:val="1"/>
      <w:numFmt w:val="lowerRoman"/>
      <w:lvlText w:val="%9."/>
      <w:lvlJc w:val="right"/>
      <w:pPr>
        <w:ind w:left="6825" w:hanging="180"/>
      </w:pPr>
    </w:lvl>
  </w:abstractNum>
  <w:abstractNum w:abstractNumId="1" w15:restartNumberingAfterBreak="0">
    <w:nsid w:val="0D411B92"/>
    <w:multiLevelType w:val="hybridMultilevel"/>
    <w:tmpl w:val="EE1E788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194067CF"/>
    <w:multiLevelType w:val="hybridMultilevel"/>
    <w:tmpl w:val="B2E21190"/>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1D447DA5"/>
    <w:multiLevelType w:val="hybridMultilevel"/>
    <w:tmpl w:val="F7505DDC"/>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389449A8"/>
    <w:multiLevelType w:val="hybridMultilevel"/>
    <w:tmpl w:val="F59E7638"/>
    <w:lvl w:ilvl="0" w:tplc="400A0019">
      <w:start w:val="1"/>
      <w:numFmt w:val="lowerLetter"/>
      <w:lvlText w:val="%1."/>
      <w:lvlJc w:val="left"/>
      <w:pPr>
        <w:ind w:left="720" w:hanging="360"/>
      </w:pPr>
    </w:lvl>
    <w:lvl w:ilvl="1" w:tplc="400A001B">
      <w:start w:val="1"/>
      <w:numFmt w:val="lowerRoman"/>
      <w:lvlText w:val="%2."/>
      <w:lvlJc w:val="righ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3B957788"/>
    <w:multiLevelType w:val="hybridMultilevel"/>
    <w:tmpl w:val="DB00193E"/>
    <w:lvl w:ilvl="0" w:tplc="400A0019">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3E504471"/>
    <w:multiLevelType w:val="hybridMultilevel"/>
    <w:tmpl w:val="EBF0099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43BF4606"/>
    <w:multiLevelType w:val="hybridMultilevel"/>
    <w:tmpl w:val="C554E124"/>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49726F66"/>
    <w:multiLevelType w:val="hybridMultilevel"/>
    <w:tmpl w:val="BB623F5A"/>
    <w:lvl w:ilvl="0" w:tplc="400A0019">
      <w:start w:val="1"/>
      <w:numFmt w:val="low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529C612F"/>
    <w:multiLevelType w:val="hybridMultilevel"/>
    <w:tmpl w:val="222A222C"/>
    <w:lvl w:ilvl="0" w:tplc="400A0019">
      <w:start w:val="1"/>
      <w:numFmt w:val="lowerLetter"/>
      <w:lvlText w:val="%1."/>
      <w:lvlJc w:val="left"/>
      <w:pPr>
        <w:ind w:left="720" w:hanging="360"/>
      </w:pPr>
    </w:lvl>
    <w:lvl w:ilvl="1" w:tplc="400A001B">
      <w:start w:val="1"/>
      <w:numFmt w:val="lowerRoman"/>
      <w:lvlText w:val="%2."/>
      <w:lvlJc w:val="righ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57483352"/>
    <w:multiLevelType w:val="hybridMultilevel"/>
    <w:tmpl w:val="062881E0"/>
    <w:lvl w:ilvl="0" w:tplc="20943364">
      <w:start w:val="1"/>
      <w:numFmt w:val="lowerLetter"/>
      <w:lvlText w:val="%1."/>
      <w:lvlJc w:val="left"/>
      <w:pPr>
        <w:ind w:left="1065" w:hanging="360"/>
      </w:pPr>
      <w:rPr>
        <w:rFonts w:hint="default"/>
      </w:rPr>
    </w:lvl>
    <w:lvl w:ilvl="1" w:tplc="400A0019" w:tentative="1">
      <w:start w:val="1"/>
      <w:numFmt w:val="lowerLetter"/>
      <w:lvlText w:val="%2."/>
      <w:lvlJc w:val="left"/>
      <w:pPr>
        <w:ind w:left="1785" w:hanging="360"/>
      </w:pPr>
    </w:lvl>
    <w:lvl w:ilvl="2" w:tplc="400A001B" w:tentative="1">
      <w:start w:val="1"/>
      <w:numFmt w:val="lowerRoman"/>
      <w:lvlText w:val="%3."/>
      <w:lvlJc w:val="right"/>
      <w:pPr>
        <w:ind w:left="2505" w:hanging="180"/>
      </w:pPr>
    </w:lvl>
    <w:lvl w:ilvl="3" w:tplc="400A000F" w:tentative="1">
      <w:start w:val="1"/>
      <w:numFmt w:val="decimal"/>
      <w:lvlText w:val="%4."/>
      <w:lvlJc w:val="left"/>
      <w:pPr>
        <w:ind w:left="3225" w:hanging="360"/>
      </w:pPr>
    </w:lvl>
    <w:lvl w:ilvl="4" w:tplc="400A0019" w:tentative="1">
      <w:start w:val="1"/>
      <w:numFmt w:val="lowerLetter"/>
      <w:lvlText w:val="%5."/>
      <w:lvlJc w:val="left"/>
      <w:pPr>
        <w:ind w:left="3945" w:hanging="360"/>
      </w:pPr>
    </w:lvl>
    <w:lvl w:ilvl="5" w:tplc="400A001B" w:tentative="1">
      <w:start w:val="1"/>
      <w:numFmt w:val="lowerRoman"/>
      <w:lvlText w:val="%6."/>
      <w:lvlJc w:val="right"/>
      <w:pPr>
        <w:ind w:left="4665" w:hanging="180"/>
      </w:pPr>
    </w:lvl>
    <w:lvl w:ilvl="6" w:tplc="400A000F" w:tentative="1">
      <w:start w:val="1"/>
      <w:numFmt w:val="decimal"/>
      <w:lvlText w:val="%7."/>
      <w:lvlJc w:val="left"/>
      <w:pPr>
        <w:ind w:left="5385" w:hanging="360"/>
      </w:pPr>
    </w:lvl>
    <w:lvl w:ilvl="7" w:tplc="400A0019" w:tentative="1">
      <w:start w:val="1"/>
      <w:numFmt w:val="lowerLetter"/>
      <w:lvlText w:val="%8."/>
      <w:lvlJc w:val="left"/>
      <w:pPr>
        <w:ind w:left="6105" w:hanging="360"/>
      </w:pPr>
    </w:lvl>
    <w:lvl w:ilvl="8" w:tplc="400A001B" w:tentative="1">
      <w:start w:val="1"/>
      <w:numFmt w:val="lowerRoman"/>
      <w:lvlText w:val="%9."/>
      <w:lvlJc w:val="right"/>
      <w:pPr>
        <w:ind w:left="6825" w:hanging="180"/>
      </w:pPr>
    </w:lvl>
  </w:abstractNum>
  <w:abstractNum w:abstractNumId="11" w15:restartNumberingAfterBreak="0">
    <w:nsid w:val="679A4CB4"/>
    <w:multiLevelType w:val="hybridMultilevel"/>
    <w:tmpl w:val="CB66A388"/>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6B932B78"/>
    <w:multiLevelType w:val="hybridMultilevel"/>
    <w:tmpl w:val="1CDEEB12"/>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701829D6"/>
    <w:multiLevelType w:val="hybridMultilevel"/>
    <w:tmpl w:val="6768697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7A6A782B"/>
    <w:multiLevelType w:val="hybridMultilevel"/>
    <w:tmpl w:val="00EA5C9A"/>
    <w:lvl w:ilvl="0" w:tplc="E836023C">
      <w:start w:val="1"/>
      <w:numFmt w:val="low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7DF446F0"/>
    <w:multiLevelType w:val="hybridMultilevel"/>
    <w:tmpl w:val="62084B2E"/>
    <w:lvl w:ilvl="0" w:tplc="20943364">
      <w:start w:val="1"/>
      <w:numFmt w:val="lowerLetter"/>
      <w:lvlText w:val="%1."/>
      <w:lvlJc w:val="left"/>
      <w:pPr>
        <w:ind w:left="1065"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12"/>
  </w:num>
  <w:num w:numId="5">
    <w:abstractNumId w:val="7"/>
  </w:num>
  <w:num w:numId="6">
    <w:abstractNumId w:val="2"/>
  </w:num>
  <w:num w:numId="7">
    <w:abstractNumId w:val="11"/>
  </w:num>
  <w:num w:numId="8">
    <w:abstractNumId w:val="0"/>
  </w:num>
  <w:num w:numId="9">
    <w:abstractNumId w:val="8"/>
  </w:num>
  <w:num w:numId="10">
    <w:abstractNumId w:val="14"/>
  </w:num>
  <w:num w:numId="11">
    <w:abstractNumId w:val="4"/>
  </w:num>
  <w:num w:numId="12">
    <w:abstractNumId w:val="9"/>
  </w:num>
  <w:num w:numId="13">
    <w:abstractNumId w:val="5"/>
  </w:num>
  <w:num w:numId="14">
    <w:abstractNumId w:val="10"/>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E7"/>
    <w:rsid w:val="00005216"/>
    <w:rsid w:val="0001593B"/>
    <w:rsid w:val="000466DC"/>
    <w:rsid w:val="000553FC"/>
    <w:rsid w:val="0005745B"/>
    <w:rsid w:val="00077137"/>
    <w:rsid w:val="00090DC3"/>
    <w:rsid w:val="000A6617"/>
    <w:rsid w:val="000E5F5B"/>
    <w:rsid w:val="000E6D16"/>
    <w:rsid w:val="00101F26"/>
    <w:rsid w:val="00154264"/>
    <w:rsid w:val="00172F37"/>
    <w:rsid w:val="001812D4"/>
    <w:rsid w:val="00181D9E"/>
    <w:rsid w:val="001B4140"/>
    <w:rsid w:val="001B7D39"/>
    <w:rsid w:val="001C1ACE"/>
    <w:rsid w:val="001C626D"/>
    <w:rsid w:val="001E209C"/>
    <w:rsid w:val="001F4756"/>
    <w:rsid w:val="002132F3"/>
    <w:rsid w:val="0022032B"/>
    <w:rsid w:val="00225056"/>
    <w:rsid w:val="0022524B"/>
    <w:rsid w:val="00235ACE"/>
    <w:rsid w:val="00237609"/>
    <w:rsid w:val="002468D5"/>
    <w:rsid w:val="002619A7"/>
    <w:rsid w:val="00290097"/>
    <w:rsid w:val="00305E40"/>
    <w:rsid w:val="00312FFD"/>
    <w:rsid w:val="003626CF"/>
    <w:rsid w:val="003A6FC0"/>
    <w:rsid w:val="003B27C3"/>
    <w:rsid w:val="003D2606"/>
    <w:rsid w:val="00446723"/>
    <w:rsid w:val="00463465"/>
    <w:rsid w:val="00466702"/>
    <w:rsid w:val="00495F47"/>
    <w:rsid w:val="004A1AD2"/>
    <w:rsid w:val="004B2BCC"/>
    <w:rsid w:val="004B3BFF"/>
    <w:rsid w:val="004B5FC7"/>
    <w:rsid w:val="004D2AA2"/>
    <w:rsid w:val="004E365B"/>
    <w:rsid w:val="004E3C1C"/>
    <w:rsid w:val="004E745E"/>
    <w:rsid w:val="005076EE"/>
    <w:rsid w:val="0051560E"/>
    <w:rsid w:val="00520E9F"/>
    <w:rsid w:val="005539D6"/>
    <w:rsid w:val="005646DA"/>
    <w:rsid w:val="005767A8"/>
    <w:rsid w:val="00581EB6"/>
    <w:rsid w:val="005B08F9"/>
    <w:rsid w:val="005B3E88"/>
    <w:rsid w:val="005B4119"/>
    <w:rsid w:val="005C090A"/>
    <w:rsid w:val="005C78D3"/>
    <w:rsid w:val="005E2A19"/>
    <w:rsid w:val="00605EFD"/>
    <w:rsid w:val="0061493A"/>
    <w:rsid w:val="006174DA"/>
    <w:rsid w:val="0065426F"/>
    <w:rsid w:val="0066599D"/>
    <w:rsid w:val="00665FA4"/>
    <w:rsid w:val="0067622E"/>
    <w:rsid w:val="0067715E"/>
    <w:rsid w:val="006B1D53"/>
    <w:rsid w:val="006C5BF0"/>
    <w:rsid w:val="006E4E93"/>
    <w:rsid w:val="00734F08"/>
    <w:rsid w:val="00737AEB"/>
    <w:rsid w:val="00744676"/>
    <w:rsid w:val="00750331"/>
    <w:rsid w:val="007577F7"/>
    <w:rsid w:val="00764B44"/>
    <w:rsid w:val="007B11E1"/>
    <w:rsid w:val="007D3888"/>
    <w:rsid w:val="008046A0"/>
    <w:rsid w:val="00823FF7"/>
    <w:rsid w:val="008471E7"/>
    <w:rsid w:val="00881A37"/>
    <w:rsid w:val="008B4F31"/>
    <w:rsid w:val="008C522E"/>
    <w:rsid w:val="008E6F21"/>
    <w:rsid w:val="00911008"/>
    <w:rsid w:val="00911847"/>
    <w:rsid w:val="009128BA"/>
    <w:rsid w:val="00915191"/>
    <w:rsid w:val="00931EF2"/>
    <w:rsid w:val="0094760B"/>
    <w:rsid w:val="0096584A"/>
    <w:rsid w:val="009662A4"/>
    <w:rsid w:val="00967C8B"/>
    <w:rsid w:val="009A0F0B"/>
    <w:rsid w:val="009A1D69"/>
    <w:rsid w:val="009F4421"/>
    <w:rsid w:val="00A54777"/>
    <w:rsid w:val="00A57485"/>
    <w:rsid w:val="00A818CB"/>
    <w:rsid w:val="00AE1A43"/>
    <w:rsid w:val="00AF7CB3"/>
    <w:rsid w:val="00B51330"/>
    <w:rsid w:val="00B55AA1"/>
    <w:rsid w:val="00B770BF"/>
    <w:rsid w:val="00B84CDA"/>
    <w:rsid w:val="00BB5DF1"/>
    <w:rsid w:val="00BD09A2"/>
    <w:rsid w:val="00BE748C"/>
    <w:rsid w:val="00C1579E"/>
    <w:rsid w:val="00C2709A"/>
    <w:rsid w:val="00C34E8C"/>
    <w:rsid w:val="00C56041"/>
    <w:rsid w:val="00CA6DCD"/>
    <w:rsid w:val="00CD4B4F"/>
    <w:rsid w:val="00CD6335"/>
    <w:rsid w:val="00D16A92"/>
    <w:rsid w:val="00D75B30"/>
    <w:rsid w:val="00D85465"/>
    <w:rsid w:val="00DA77EF"/>
    <w:rsid w:val="00DC356F"/>
    <w:rsid w:val="00DC39AB"/>
    <w:rsid w:val="00DC6C2E"/>
    <w:rsid w:val="00DD7C51"/>
    <w:rsid w:val="00E01B69"/>
    <w:rsid w:val="00E11FE7"/>
    <w:rsid w:val="00E65E81"/>
    <w:rsid w:val="00E96D76"/>
    <w:rsid w:val="00EA4172"/>
    <w:rsid w:val="00EC508F"/>
    <w:rsid w:val="00ED2C3C"/>
    <w:rsid w:val="00EE6F51"/>
    <w:rsid w:val="00F12709"/>
    <w:rsid w:val="00F2749E"/>
    <w:rsid w:val="00F64CAD"/>
    <w:rsid w:val="00F7175E"/>
    <w:rsid w:val="00F80CC5"/>
    <w:rsid w:val="00F936FC"/>
    <w:rsid w:val="00FA383D"/>
    <w:rsid w:val="00FB492A"/>
    <w:rsid w:val="00FD148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2986"/>
  <w15:chartTrackingRefBased/>
  <w15:docId w15:val="{BD0A2793-3AEE-42C1-A513-C2353CA1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6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C62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6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6F21"/>
    <w:pPr>
      <w:ind w:left="720"/>
      <w:contextualSpacing/>
    </w:pPr>
  </w:style>
  <w:style w:type="table" w:styleId="Tablaconcuadrcula">
    <w:name w:val="Table Grid"/>
    <w:basedOn w:val="Tablanormal"/>
    <w:uiPriority w:val="39"/>
    <w:rsid w:val="00912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Fuentedeprrafopredeter"/>
    <w:rsid w:val="00DC356F"/>
  </w:style>
  <w:style w:type="character" w:customStyle="1" w:styleId="identifier">
    <w:name w:val="identifier"/>
    <w:basedOn w:val="Fuentedeprrafopredeter"/>
    <w:rsid w:val="00DC356F"/>
  </w:style>
  <w:style w:type="character" w:customStyle="1" w:styleId="operator">
    <w:name w:val="operator"/>
    <w:basedOn w:val="Fuentedeprrafopredeter"/>
    <w:rsid w:val="00DC356F"/>
  </w:style>
  <w:style w:type="character" w:customStyle="1" w:styleId="paren">
    <w:name w:val="paren"/>
    <w:basedOn w:val="Fuentedeprrafopredeter"/>
    <w:rsid w:val="00DC356F"/>
  </w:style>
  <w:style w:type="character" w:customStyle="1" w:styleId="string">
    <w:name w:val="string"/>
    <w:basedOn w:val="Fuentedeprrafopredeter"/>
    <w:rsid w:val="00DC356F"/>
  </w:style>
  <w:style w:type="character" w:customStyle="1" w:styleId="Ttulo2Car">
    <w:name w:val="Título 2 Car"/>
    <w:basedOn w:val="Fuentedeprrafopredeter"/>
    <w:link w:val="Ttulo2"/>
    <w:uiPriority w:val="9"/>
    <w:rsid w:val="001C626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626D"/>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1C626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C626D"/>
    <w:pPr>
      <w:outlineLvl w:val="9"/>
    </w:pPr>
    <w:rPr>
      <w:lang w:eastAsia="es-BO"/>
    </w:rPr>
  </w:style>
  <w:style w:type="paragraph" w:styleId="TDC2">
    <w:name w:val="toc 2"/>
    <w:basedOn w:val="Normal"/>
    <w:next w:val="Normal"/>
    <w:autoRedefine/>
    <w:uiPriority w:val="39"/>
    <w:unhideWhenUsed/>
    <w:rsid w:val="001C626D"/>
    <w:pPr>
      <w:spacing w:after="100"/>
      <w:ind w:left="220"/>
    </w:pPr>
  </w:style>
  <w:style w:type="paragraph" w:styleId="TDC3">
    <w:name w:val="toc 3"/>
    <w:basedOn w:val="Normal"/>
    <w:next w:val="Normal"/>
    <w:autoRedefine/>
    <w:uiPriority w:val="39"/>
    <w:unhideWhenUsed/>
    <w:rsid w:val="001C626D"/>
    <w:pPr>
      <w:spacing w:after="100"/>
      <w:ind w:left="440"/>
    </w:pPr>
  </w:style>
  <w:style w:type="character" w:styleId="Hipervnculo">
    <w:name w:val="Hyperlink"/>
    <w:basedOn w:val="Fuentedeprrafopredeter"/>
    <w:uiPriority w:val="99"/>
    <w:unhideWhenUsed/>
    <w:rsid w:val="001C626D"/>
    <w:rPr>
      <w:color w:val="0563C1" w:themeColor="hyperlink"/>
      <w:u w:val="single"/>
    </w:rPr>
  </w:style>
  <w:style w:type="paragraph" w:styleId="Textodeglobo">
    <w:name w:val="Balloon Text"/>
    <w:basedOn w:val="Normal"/>
    <w:link w:val="TextodegloboCar"/>
    <w:uiPriority w:val="99"/>
    <w:semiHidden/>
    <w:unhideWhenUsed/>
    <w:rsid w:val="0005745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45B"/>
    <w:rPr>
      <w:rFonts w:ascii="Segoe UI" w:hAnsi="Segoe UI" w:cs="Segoe UI"/>
      <w:sz w:val="18"/>
      <w:szCs w:val="18"/>
    </w:rPr>
  </w:style>
  <w:style w:type="character" w:styleId="Textodelmarcadordeposicin">
    <w:name w:val="Placeholder Text"/>
    <w:basedOn w:val="Fuentedeprrafopredeter"/>
    <w:uiPriority w:val="99"/>
    <w:semiHidden/>
    <w:rsid w:val="00C34E8C"/>
    <w:rPr>
      <w:color w:val="808080"/>
    </w:rPr>
  </w:style>
  <w:style w:type="character" w:styleId="Hipervnculovisitado">
    <w:name w:val="FollowedHyperlink"/>
    <w:basedOn w:val="Fuentedeprrafopredeter"/>
    <w:uiPriority w:val="99"/>
    <w:semiHidden/>
    <w:unhideWhenUsed/>
    <w:rsid w:val="000E6D16"/>
    <w:rPr>
      <w:color w:val="954F72" w:themeColor="followedHyperlink"/>
      <w:u w:val="single"/>
    </w:rPr>
  </w:style>
  <w:style w:type="paragraph" w:styleId="TDC1">
    <w:name w:val="toc 1"/>
    <w:basedOn w:val="Normal"/>
    <w:next w:val="Normal"/>
    <w:autoRedefine/>
    <w:uiPriority w:val="39"/>
    <w:unhideWhenUsed/>
    <w:rsid w:val="00B55AA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E153D-04ED-404A-A7CE-766AC966B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14</Pages>
  <Words>1141</Words>
  <Characters>6277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Serdan</dc:creator>
  <cp:keywords/>
  <dc:description/>
  <cp:lastModifiedBy>Serdan Wilder</cp:lastModifiedBy>
  <cp:revision>11</cp:revision>
  <cp:lastPrinted>2021-11-12T20:04:00Z</cp:lastPrinted>
  <dcterms:created xsi:type="dcterms:W3CDTF">2022-07-18T13:11:00Z</dcterms:created>
  <dcterms:modified xsi:type="dcterms:W3CDTF">2022-07-19T21:38:00Z</dcterms:modified>
</cp:coreProperties>
</file>