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s.Wilfred Roy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wilfred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.ad.2022@snsce.ac.in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Poppins" w:cs="Poppins" w:eastAsia="Poppins" w:hAnsi="Poppins"/>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Summarize and analyze research on innovative teaching methods in higher education.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Concepts, innovative technologies, learning approaches and trend topics in education 4.0: A scoping literature review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a summary of the research paper focusing on advancements on innovative teaching in higher education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scoping literature review delves into the multi-faceted domain of Education 4.0, characterized by the convergence of technological advancements and evolving pedagogical strategies. Key findings highlight the shift towards a more personalized, technology-enhanced learning environment where students engage with content through interactive and immersive experiences. Technologies like AI and VR are found to be pivotal in transforming traditional learning models, enabling more adaptive and engaging educational experiences.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Iteration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Refine the summary to include key methodologies used in the research.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review employs a scoping methodology to systematically gather and analyze literature from diverse sources, including peer-reviewed journals, conference proceedings, and industry reports. It involves mapping the existing research landscape, identifying gaps, and synthesizing findings to provide a holistic view of Education 4.0.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Iteration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Further refine the summary to include the main findings and any proposed future directions for renewable energy technology advancements.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reviews advancements advanced technologies such as artificial intelligence (AI), virtual reality (VR), augmented reality (AR), and blockchain are revolutionizing higher education. AI enhances personalized learning through adaptive learning platforms and intelligent tutoring systems, while VR and AR offer immersive learning experiences that simulate real-world scenarios. Blockchain technology is being explored for secure credentialing and transparent academic record-keeping.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Prompt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Combine all elements from previous iterations to produce a comprehensive summary.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reviews advancements in education 4.0 promotes pedagogical models that prioritize student agency and personalized learning paths. Flipped classrooms and competency-based education are gaining traction, allowing students to progress at their own pace and engage in more interactive and hands-on learning experiences. These approaches support deeper learning and better alignment with real-world skills.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Insights and Applications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3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 provides several key insights into the advancements and future prospects of higher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Here's an in-depth look at innovative technology.AI can tailor learning experiences based on individual student data, adapting content and support to each learner's needs. AI tools automate administrative tasks and grading, freeing educators to focus on teaching. VR offers immersive learning experiences that can simulate real-world environments, while AR enhances physical spaces with digital overlays. Both technologies increase student engagement through interactive and experiential learning. Blockchain provides a secure method for verifying and storing academic credentials and achievements. Enhances the transparency of academic records and credentialing processes. Learning analytics provide actionable insights into student performance, enabling more informed instructional decisions. Helps identify at-risk students and areas where interventions are needed.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3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15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Platforms like DreamBox or Knewton adjust the learning path in real-time based on student performance. Virtual tutors like Squirrel AI provide personalized assistance and feedback to students. Platforms like Labster provide virtual science labs for hands-on experimentation without physical constraints. Tools like Google Expeditions allow students to explore historical sites or anatomical structures via 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Blockchain platforms like MIT's Digital Diploma store and verify academic credentials securely. Platforms like ODEM use blockchain to create a decentralized marketplace for educational resources and services. Tools like Blackboard Analytics and Canvas Insights offer visualizations of student performance metrics. Systems that use data to alert educators about students who may need additional support. Platforms like Kahoot! and Duolingo use game mechanics to teach various subjects. Games like SimCity or Civilization used for teaching concepts in economics, history, or strategic 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Tools like Google Workspace enable real-time collaboration. Cloud services offer on-demand access to educational tools and storage. IoT devices manage environmental controls and educational tools. Track and analyze student health and engagement.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3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Effectiveness: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improvements in student performance and engagement.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ease of integration into existing systems and user experience for both students and educators.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Bias and Fairness: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AI systems for potential biases in recommendations and decisions.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how well VR/AR improves understanding and retention of complex concepts.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the ease of use and availability of required hardware.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the financial investment needed for VR/AR equipment and content development.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Scalability: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the ability of blockchain solutions to handle large volumes of transactions and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how easily blockchain technology integrates with existing educational systems.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Regulatory Compliance: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Ensure that blockchain applications comply with educational standards and data protection regulations.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the precision of predictive models in identifying at-risk students and predicting outcomes.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how well insights can be translated into effective interventions.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how data privacy is maintained and ensure compliance with regulations such as GDPR.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changes in student engagement and motivation levels.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the impact of gamified learning on academic performance and knowledge retention.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the effectiveness of game design in achieving educational goals.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how well IoT devices integrate with existing educational infrastructure.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the security of data collected by IoT devices and ensure compliance with privacy standards.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the effectiveness of IoT devices in improving learning outcomes and operational efficiency.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reliability and speed of cloud services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cost-effectiveness compared to traditional infrastructure.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ease of use for students and educators.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technologies are reshaping higher education by enhancing learning experiences, improving administrative efficiency, and fostering new methods of engagement and personalization. Evaluating these technologies involves assessing their effectiveness, integration challenges, and overall impact on educational outcomes.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holds promise for highly personalized and efficient education but requires careful implementation to avoid reinforcing existing inequalities and ensure equitable access for all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holds promise for highly personalized and efficient education but requires careful implementation to avoid reinforcing existing inequalities and ensure equitable access for all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Blockchain’s potential for secure credentialing and transparency is significant, but widespread adoption will depend on overcoming technical and regulatory 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analytics can greatly enhance educational outcomes by providing actionable insights, but maintaining data privacy and ensuring the responsible use of data are essential.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Gamification can enhance motivation and engagement but requires thoughtful design to ensure that game elements align with educational objectives and do not overshadow learning 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IoT can significantly enhance learning environments, but it requires careful attention to data security and integration challenges. Ensuring that IoT solutions are effectively implemented and secured is critical. Cloud computing supports flexible and collaborative learning environments, but institutions must consider costs and ensure reliable service to maximize benefits.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6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Poppi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590291124000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