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700" w:after="400"/>
        <w:jc w:val="center"/>
      </w:pPr>
      <w:r>
        <w:t xml:space="preserve">3R TECHNOLOGIE</w:t>
      </w:r>
    </w:p>
    <w:p>
      <w:pPr>
        <w:pStyle w:val="Heading1"/>
        <w:spacing w:before="400" w:after="400"/>
        <w:jc w:val="center"/>
      </w:pPr>
      <w:r>
        <w:t xml:space="preserve">3R_Rapport d'Audit_Nom_Client_04-01-2025</w:t>
      </w:r>
    </w:p>
    <w:p>
      <w:pPr>
        <w:spacing w:before="200" w:after="400"/>
        <w:jc w:val="center"/>
      </w:pPr>
      <w:r>
        <w:t xml:space="preserve">04/01/2025</w:t>
      </w:r>
    </w:p>
    <w:p>
      <w:pPr>
        <w:pageBreakBefore/>
      </w:pPr>
    </w:p>
    <w:p>
      <w:pPr>
        <w:pStyle w:val="Heading1"/>
        <w:spacing w:before="400" w:after="400"/>
        <w:jc w:val="center"/>
      </w:pPr>
      <w:r>
        <w:t xml:space="preserve">Table des matières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</w:tblGrid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1.</w:t>
            </w:r>
          </w:p>
        </w:tc>
        <w:tc>
          <w:tcPr>
            <w:tcW w:type="pct" w:w="75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RAPPORT D'AUDIT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2.1</w:t>
            </w:r>
          </w:p>
        </w:tc>
        <w:tc>
          <w:tcPr>
            <w:tcW w:type="pct" w:w="75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Table des Matières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3.</w:t>
            </w:r>
          </w:p>
        </w:tc>
        <w:tc>
          <w:tcPr>
            <w:tcW w:type="pct" w:w="75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1. Résumé Exécutif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3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4.1</w:t>
            </w:r>
          </w:p>
        </w:tc>
        <w:tc>
          <w:tcPr>
            <w:tcW w:type="pct" w:w="75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1.1 Objectifs de l'Audit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4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5.1</w:t>
            </w:r>
          </w:p>
        </w:tc>
        <w:tc>
          <w:tcPr>
            <w:tcW w:type="pct" w:w="75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1.2 Synthèse des Conclusions Majeures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5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6.1.1</w:t>
            </w:r>
          </w:p>
        </w:tc>
        <w:tc>
          <w:tcPr>
            <w:tcW w:type="pct" w:w="75%"/>
          </w:tcPr>
          <w:p>
            <w:pPr>
              <w:ind w:left="720"/>
            </w:pPr>
            <w:r>
              <w:rPr>
                <w:b w:val="false"/>
                <w:bCs w:val="false"/>
                <w:sz w:val="24"/>
                <w:szCs w:val="24"/>
              </w:rPr>
              <w:t xml:space="preserve">    1.2.1 Points Critiques Identifiés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6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7.</w:t>
            </w:r>
          </w:p>
        </w:tc>
        <w:tc>
          <w:tcPr>
            <w:tcW w:type="pct" w:w="75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2. Présentation du Site Audité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7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8.1</w:t>
            </w:r>
          </w:p>
        </w:tc>
        <w:tc>
          <w:tcPr>
            <w:tcW w:type="pct" w:w="75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2.1 Informations Client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8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9.1</w:t>
            </w:r>
          </w:p>
        </w:tc>
        <w:tc>
          <w:tcPr>
            <w:tcW w:type="pct" w:w="75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2.2 Configuration des Salles Techniques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9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10.</w:t>
            </w:r>
          </w:p>
        </w:tc>
        <w:tc>
          <w:tcPr>
            <w:tcW w:type="pct" w:w="75%"/>
          </w:tcPr>
          <w:p>
            <w:pPr>
              <w:ind w:left="0"/>
            </w:pPr>
            <w:r>
              <w:rPr>
                <w:b/>
                <w:bCs/>
                <w:sz w:val="24"/>
                <w:szCs w:val="24"/>
              </w:rPr>
              <w:t xml:space="preserve">3. Analyse de Conformité TIA-942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10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11.1</w:t>
            </w:r>
          </w:p>
        </w:tc>
        <w:tc>
          <w:tcPr>
            <w:tcW w:type="pct" w:w="75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3.1 Architecture et Structure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11</w:t>
            </w:r>
          </w:p>
        </w:tc>
      </w:tr>
      <w:tr>
        <w:tc>
          <w:tcPr>
            <w:tcW w:type="pct" w:w="15%"/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12.1</w:t>
            </w:r>
          </w:p>
        </w:tc>
        <w:tc>
          <w:tcPr>
            <w:tcW w:type="pct" w:w="75%"/>
          </w:tcPr>
          <w:p>
            <w:pPr>
              <w:ind w:left="360"/>
            </w:pPr>
            <w:r>
              <w:rPr>
                <w:b w:val="false"/>
                <w:bCs w:val="false"/>
                <w:sz w:val="24"/>
                <w:szCs w:val="24"/>
              </w:rPr>
              <w:t xml:space="preserve">  3.2 Système Électrique</w:t>
            </w:r>
          </w:p>
        </w:tc>
        <w:tc>
          <w:tcPr>
            <w:tcW w:type="pct" w:w="10%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12</w:t>
            </w:r>
          </w:p>
        </w:tc>
      </w:tr>
    </w:tbl>
    <w:p>
      <w:pPr>
        <w:pageBreakBefore/>
      </w:pPr>
    </w:p>
    <w:p>
      <w:pPr>
        <w:pStyle w:val="Heading1"/>
        <w:pageBreakBefore/>
        <w:spacing w:before="400" w:after="200"/>
      </w:pPr>
      <w:r>
        <w:t xml:space="preserve">1. RAPPORT D'AUDIT</w:t>
      </w:r>
    </w:p>
    <w:p>
      <w:pPr>
        <w:spacing w:before="100" w:after="100"/>
      </w:pPr>
      <w:r>
        <w:t xml:space="preserve">3R TECHNOLOGIE</w:t>
      </w:r>
    </w:p>
    <w:p>
      <w:pPr>
        <w:spacing w:before="100" w:after="100"/>
      </w:pPr>
      <w:r>
        <w:t xml:space="preserve">Date: 04/01/2025</w:t>
      </w:r>
    </w:p>
    <w:p>
      <w:pPr>
        <w:spacing w:before="100" w:after="100"/>
      </w:pPr>
      <w:r>
        <w:t xml:space="preserve">Client: Nom_Client</w:t>
      </w:r>
    </w:p>
    <w:p>
      <w:pPr>
        <w:pStyle w:val="Heading2"/>
        <w:spacing w:before="300" w:after="200"/>
      </w:pPr>
      <w:r>
        <w:t xml:space="preserve">1.6 Table des Matières</w:t>
      </w:r>
    </w:p>
    <w:p>
      <w:pPr>
        <w:spacing w:before="100" w:after="100"/>
      </w:pPr>
      <w:r>
        <w:t xml:space="preserve">[Table des matières détaillée]</w:t>
      </w:r>
    </w:p>
    <w:p>
      <w:pPr>
        <w:pStyle w:val="Heading1"/>
        <w:pageBreakBefore/>
        <w:spacing w:before="400" w:after="200"/>
      </w:pPr>
      <w:r>
        <w:t xml:space="preserve">3. 1. Résumé Exécutif</w:t>
      </w:r>
    </w:p>
    <w:p>
      <w:pPr>
        <w:pStyle w:val="Heading2"/>
        <w:spacing w:before="300" w:after="200"/>
      </w:pPr>
      <w:r>
        <w:t xml:space="preserve">2.1 1.1 Objectifs de l'Audit</w:t>
      </w:r>
    </w:p>
    <w:p>
      <w:pPr>
        <w:spacing w:before="100" w:after="100"/>
      </w:pPr>
      <w:r>
        <w:t xml:space="preserve">L'audit a été réalisé pour évaluer la conformité des installations datacenter de Nom_Client aux normes TIA-942 et identifier les axes d'amélioration critiques pour assurer une continuité de service optimale.</w:t>
      </w:r>
    </w:p>
    <w:p>
      <w:pPr>
        <w:spacing w:before="100" w:after="100"/>
      </w:pPr>
      <w:r>
        <w:t xml:space="preserve">Les objectifs principaux comprennent :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Évaluation de la conformité aux standards TIER III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Analyse des performances énergétiques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Vérification des processus opérationnels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Identification des risques majeurs</w:t>
      </w:r>
    </w:p>
    <w:p>
      <w:pPr>
        <w:pStyle w:val="Heading2"/>
        <w:spacing w:before="300" w:after="200"/>
      </w:pPr>
      <w:r>
        <w:t xml:space="preserve">2.10 1.2 Synthèse des Conclusions Majeures</w:t>
      </w:r>
    </w:p>
    <w:p>
      <w:pPr>
        <w:spacing w:before="100" w:after="100"/>
      </w:pPr>
      <w:r>
        <w:t xml:space="preserve">L'analyse révèle un niveau de maturité global satisfaisant (score de conformité de 85%) avec des points d'attention particuliers :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PUE moyen de 1.8, supérieur aux objectifs du marché (1.5)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Disponibilité de 99.9%, conforme aux exigences TIER III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Documentation des procédures incomplète (75% de conformité)</w:t>
      </w:r>
    </w:p>
    <w:p>
      <w:pPr>
        <w:pStyle w:val="Heading3"/>
        <w:spacing w:before="200" w:after="100"/>
      </w:pPr>
      <w:r>
        <w:t xml:space="preserve">1.3.8 1.2.1 Points Critiques Identifiés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Absence de redondance N+1 sur certains systèmes de refroidissement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Procédures de maintenance préventive non formalisées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Système de monitoring partiel des installations électriques</w:t>
      </w:r>
    </w:p>
    <w:p>
      <w:pPr>
        <w:pStyle w:val="Heading1"/>
        <w:pageBreakBefore/>
        <w:spacing w:before="400" w:after="200"/>
      </w:pPr>
      <w:r>
        <w:t xml:space="preserve">7. 2. Présentation du Site Audité</w:t>
      </w:r>
    </w:p>
    <w:p>
      <w:pPr>
        <w:pStyle w:val="Heading2"/>
        <w:spacing w:before="300" w:after="200"/>
      </w:pPr>
      <w:r>
        <w:t xml:space="preserve">4.5 2.1 Informations Client</w:t>
      </w:r>
    </w:p>
    <w:p>
      <w:pPr>
        <w:spacing w:before="100" w:after="100"/>
      </w:pPr>
      <w:r>
        <w:t xml:space="preserve">Nom_Client opère un datacenter de 2000m² avec une capacité de 500 racks, classé TIER III. Le site héberge des applications critiques pour le secteur technologique.</w:t>
      </w:r>
    </w:p>
    <w:p>
      <w:pPr>
        <w:pStyle w:val="Heading2"/>
        <w:spacing w:before="300" w:after="200"/>
      </w:pPr>
      <w:r>
        <w:t xml:space="preserve">4.8 2.2 Configuration des Salles Techniques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Surface totale : 2000m²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Capacité électrique : 4MW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Nombre de salles : 4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Densité moyenne : 5kW/rack</w:t>
      </w:r>
    </w:p>
    <w:p>
      <w:pPr>
        <w:pStyle w:val="Heading1"/>
        <w:pageBreakBefore/>
        <w:spacing w:before="400" w:after="200"/>
      </w:pPr>
      <w:r>
        <w:t xml:space="preserve">10. 3. Analyse de Conformité TIA-942</w:t>
      </w:r>
    </w:p>
    <w:p>
      <w:pPr>
        <w:pStyle w:val="Heading2"/>
        <w:spacing w:before="300" w:after="200"/>
      </w:pPr>
      <w:r>
        <w:t xml:space="preserve">5.6 3.1 Architecture et Structure</w:t>
      </w:r>
    </w:p>
    <w:p>
      <w:pPr>
        <w:spacing w:before="100" w:after="100"/>
      </w:pPr>
      <w:r>
        <w:t xml:space="preserve">L'analyse révèle une conformité globale aux exigences TIA-942 pour un datacenter TIER III, avec quelques écarts notables :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Séparation physique des zones conforme à 90%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Chemins de câbles redundants partiellement mis en œuvre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Protection incendie conforme aux normes actuelles</w:t>
      </w:r>
    </w:p>
    <w:p>
      <w:pPr>
        <w:pStyle w:val="Heading2"/>
        <w:spacing w:before="300" w:after="200"/>
      </w:pPr>
      <w:r>
        <w:t xml:space="preserve">6.3 3.2 Système Électrique</w:t>
      </w:r>
    </w:p>
    <w:p>
      <w:pPr>
        <w:spacing w:before="100" w:after="100"/>
      </w:pPr>
      <w:r>
        <w:t xml:space="preserve">Le système électrique présente un niveau de redondance 2N sur les composants critiques :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2 arrivées moyenne tension indépendantes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Groupes électrogènes N+1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UPS en configuration 2N</w:t>
      </w:r>
    </w:p>
    <w:p>
      <w:pPr>
        <w:spacing w:before="100" w:after="100"/>
      </w:pPr>
      <w:r>
        <w:t xml:space="preserve">[Suite du rapport avec les sections suivantes...]</w:t>
      </w:r>
    </w:p>
    <w:p>
      <w:pPr>
        <w:spacing w:before="100" w:after="100"/>
      </w:pPr>
      <w:r>
        <w:t xml:space="preserve">Je peux continuer avec les sections suivantes si vous le souhaitez. Chaque section suivra la même structure détaillée avec des données techniques précises et des recommandations concrètes.</w:t>
      </w:r>
    </w:p>
    <w:sectPr>
      <w:pgSz w:w="11906" w:h="16838" w:orient="portrait"/>
      <w:pgMar w:top="2800" w:right="2000" w:bottom="2000" w:left="2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qFormat/>
    <w:pPr>
      <w:spacing w:before="340" w:after="340"/>
      <w:jc w:val="center"/>
    </w:pPr>
    <w:rPr>
      <w:b/>
      <w:bCs/>
      <w:color w:val="000000"/>
      <w:sz w:val="44"/>
      <w:szCs w:val="44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spacing w:before="240" w:after="120"/>
      <w:outlineLvl w:val="2"/>
    </w:pPr>
    <w:rPr>
      <w:b/>
      <w:bCs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2025-01-04T15:54:35.022Z</dcterms:created>
  <dcterms:modified xsi:type="dcterms:W3CDTF">2025-01-04T15:54:35.023Z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