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Просматривать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Просматривать заказ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прецедента&gt;Оператор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полно&gt;Просматривать заказ полученный от покупателя, для дальнейшей обработки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Оператора&gt;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системы&gt;Оператор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прецедента&gt;Покупатель совершил заказ, заказ имеет необходимые для обработки данные.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не сможет просмотреть заказы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Оператор просмотрит заказы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прецедент&gt;Пользователь совершает заказ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&lt;Пользователь совершает заказ&gt;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&lt;На странице заказов появляется строчка нового заказа&gt;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&lt;Оператор нажимает на строчку&gt;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#4&gt; &lt;Открывается новая страница с информацией о заказе&gt;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Обрабатывать заказы через звонки или сообщения 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