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D3E"/>
          <w:sz w:val="48"/>
        </w:rPr>
        <w:t>Skatteplattformen</w:t>
      </w:r>
    </w:p>
    <w:p>
      <w:pPr>
        <w:jc w:val="center"/>
      </w:pPr>
      <w:r>
        <w:rPr>
          <w:color w:val="4A4640"/>
          <w:sz w:val="26"/>
        </w:rPr>
        <w:t>Metodrapport v1.0 — Beräkningsmodell för offentliga välfärdstjänster per ålder</w:t>
      </w:r>
    </w:p>
    <w:p>
      <w:pPr>
        <w:jc w:val="center"/>
      </w:pPr>
      <w:r>
        <w:rPr>
          <w:sz w:val="20"/>
        </w:rPr>
        <w:t>Version 1.0 · 23 March 2026 · CC0-licens · Partipolitiskt oberoende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b/>
              </w:rPr>
              <w:t>Sammanfattning</w:t>
            </w:r>
          </w:p>
          <w:p>
            <w:r>
              <w:t>Denna rapport dokumenterar beräkningsmodellen bakom Skatteplattformen — en oberoende databas som visar hur svenska skattepengar används per åldersår (0–85). Modellen kombinerar SCB COFOG (3 011 Mdkr total offentlig sektor 2024), Skolverket enhetskostnader, ESSPROS socialt skydd, och NTA-inspirerade åldersvikter (UN 2013) för sjukvård. Alla antaganden redovisas explicit. Konfidensintervall anges per kategori. Rapporten är redo för extern akademisk granskning.</w:t>
            </w:r>
          </w:p>
        </w:tc>
      </w:tr>
    </w:tbl>
    <w:p/>
    <w:p>
      <w:pPr>
        <w:pStyle w:val="Heading1"/>
      </w:pPr>
      <w:r>
        <w:rPr>
          <w:color w:val="1B4D3E"/>
          <w:sz w:val="32"/>
        </w:rPr>
        <w:t>1. Syfte och avgränsning</w:t>
      </w:r>
    </w:p>
    <w:p>
      <w:pPr>
        <w:spacing w:after="120"/>
      </w:pPr>
      <w:r>
        <w:t>Skatteplattformen syftar till att på ett vetenskapligt transparent sätt visa hur offentliga medel fördelas till individer av olika ålder i Sverige. Modellen producerar en åldersprofil — per capita offentliga välfärdstjänster per åldersår 0–85 i fyra kategorier — som används i en interaktiv kalkylator på plattformens webbplats.</w:t>
      </w:r>
    </w:p>
    <w:p>
      <w:pPr>
        <w:pStyle w:val="Heading2"/>
      </w:pPr>
      <w:r>
        <w:rPr>
          <w:b/>
          <w:sz w:val="26"/>
        </w:rPr>
        <w:t>1.1 Vad modellen visar</w:t>
      </w:r>
    </w:p>
    <w:p>
      <w:pPr>
        <w:pStyle w:val="ListBullet"/>
      </w:pPr>
      <w:r>
        <w:rPr>
          <w:sz w:val="20"/>
        </w:rPr>
        <w:t>Per capita offentlig konsumtion per åldersår (kr/år, 2024 priser) för: utbildning, hälso- och sjukvård, social omsorg, kollektiva nyttigheter</w:t>
      </w:r>
    </w:p>
    <w:p>
      <w:pPr>
        <w:pStyle w:val="ListBullet"/>
      </w:pPr>
      <w:r>
        <w:rPr>
          <w:sz w:val="20"/>
        </w:rPr>
        <w:t>Konfidensintervall per kategori baserade på osäkerhet i åldersviktning</w:t>
      </w:r>
    </w:p>
    <w:p>
      <w:pPr>
        <w:pStyle w:val="ListBullet"/>
      </w:pPr>
      <w:r>
        <w:rPr>
          <w:sz w:val="20"/>
        </w:rPr>
        <w:t>Nordisk jämförelse mot NTA-data för Sverige, Danmark och Finland (AGENTA 2010)</w:t>
      </w:r>
    </w:p>
    <w:p>
      <w:pPr>
        <w:pStyle w:val="ListBullet"/>
      </w:pPr>
      <w:r>
        <w:rPr>
          <w:sz w:val="20"/>
        </w:rPr>
        <w:t>Prislista med enhetskostnader för 25 offentliga tjänster med regional variation och 10-årig trend</w:t>
      </w:r>
    </w:p>
    <w:p>
      <w:pPr>
        <w:pStyle w:val="Heading2"/>
      </w:pPr>
      <w:r>
        <w:rPr>
          <w:b/>
          <w:sz w:val="26"/>
        </w:rPr>
        <w:t>1.2 Vad modellen INTE visar</w:t>
      </w:r>
    </w:p>
    <w:p>
      <w:pPr>
        <w:pStyle w:val="ListBullet"/>
      </w:pPr>
      <w:r>
        <w:rPr>
          <w:sz w:val="20"/>
        </w:rPr>
        <w:t>Inkomstpension (~800 Mdkr/år 2024) — avgiftsbaserad, inte skattefinansierad förmån</w:t>
      </w:r>
    </w:p>
    <w:p>
      <w:pPr>
        <w:pStyle w:val="ListBullet"/>
      </w:pPr>
      <w:r>
        <w:rPr>
          <w:sz w:val="20"/>
        </w:rPr>
        <w:t>Fördelning inom åldersgrupper — höginkomsttagare betalar proportionellt mer skatt</w:t>
      </w:r>
    </w:p>
    <w:p>
      <w:pPr>
        <w:pStyle w:val="ListBullet"/>
      </w:pPr>
      <w:r>
        <w:rPr>
          <w:sz w:val="20"/>
        </w:rPr>
        <w:t>Framtida förmåner för nuvarande åldersgrupper — modellen är en tvärsnittsbild av 2024</w:t>
      </w:r>
    </w:p>
    <w:p>
      <w:pPr>
        <w:pStyle w:val="ListBullet"/>
      </w:pPr>
      <w:r>
        <w:rPr>
          <w:sz w:val="20"/>
        </w:rPr>
        <w:t>Livstids-netto (kräver diskontering och spekulativa antaganden om framtida skatter och vård)</w:t>
      </w:r>
    </w:p>
    <w:p>
      <w:pPr>
        <w:pStyle w:val="ListBullet"/>
      </w:pPr>
      <w:r>
        <w:rPr>
          <w:sz w:val="20"/>
        </w:rPr>
        <w:t>Kommunal variation utöver rikssnittet (utom i prislistan för 7 prio-poster)</w:t>
      </w:r>
    </w:p>
    <w:p>
      <w:pPr>
        <w:pStyle w:val="Heading1"/>
      </w:pPr>
      <w:r>
        <w:rPr>
          <w:color w:val="1B4D3E"/>
          <w:sz w:val="32"/>
        </w:rPr>
        <w:t>2. Datakällor</w:t>
      </w:r>
    </w:p>
    <w:p>
      <w:pPr>
        <w:spacing w:after="120"/>
      </w:pPr>
      <w:r>
        <w:t>Alla datakällor är offentligt tillgängliga. Nedladdningsdatum anges per källa.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Källa</w:t>
            </w:r>
          </w:p>
        </w:tc>
        <w:tc>
          <w:tcPr>
            <w:tcW w:type="dxa" w:w="2268"/>
          </w:tcPr>
          <w:p>
            <w:r>
              <w:rPr>
                <w:b/>
              </w:rPr>
              <w:t>Data</w:t>
            </w:r>
          </w:p>
        </w:tc>
        <w:tc>
          <w:tcPr>
            <w:tcW w:type="dxa" w:w="2268"/>
          </w:tcPr>
          <w:p>
            <w:r>
              <w:rPr>
                <w:b/>
              </w:rPr>
              <w:t>URL</w:t>
            </w:r>
          </w:p>
        </w:tc>
        <w:tc>
          <w:tcPr>
            <w:tcW w:type="dxa" w:w="2268"/>
          </w:tcPr>
          <w:p>
            <w:r>
              <w:rPr>
                <w:b/>
              </w:rPr>
              <w:t>Licens/datum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SCB COFOG NR 2024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Total offentlig sektor 3 011 Mdkr fördelat på COFOG-funktioner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scb.se → nationalräkenskaper → COFOG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CC0 · 2024-12-31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Skolverket 2024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Enhetskostnader per skolform: grundskola 152 tkr, gymnasium 148 tkr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skolverket.se → statistik → kostnader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Offentlig · 2025-02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SCB ESSPROS 2022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Socialt skydd per funktion, 1 622 Mdkr 2022, 8 funktioner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scb.se → ESSPROS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CC0 · 2024-03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SKR Sektorn i siffror 2024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Äldreomsorg ~130 Mdkr, LSS ~148 Mdkr, kommunal vård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skr.se → ekonomi → sektorn i siffror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Offentlig · 2024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ESV Tidsserier 1995–2024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Utfall per utgiftsområde UO 1–27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esv.se → statistik → tidsserier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CC0 · 2025-03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Andersson, Johansson, Olin (2012)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FASIT-data 2009: åldersprofil sjukvård och socialt skydd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nationalekonomi.se → Ekonomisk Debatt 40(8)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Peer-reviewed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AGENTA NTA 2010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CGH/CGE-profiler Sverige, Danmark, Finland per åldersår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dataexplorer.wittgensteincentre.org/nta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Open · 2016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Eurostat gov_10a_exp 2022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COFOG per land, EU-27, % BNP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ec.europa.eu/eurostat → gov_10a_exp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CC BY 4.0 · 2024-03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SCB KPI historiska tal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KPI juni 2022=370.88, juni 2024=413.22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scb.se → KPI historiska tal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CC0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FK Årsredovisning 2024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Sjukpenning 131 Mdkr, 69M dagar; föräldrapenning 168 tkr/barn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forsakringskassan.se → statistik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Offentlig · 2025-02</w:t>
            </w:r>
          </w:p>
        </w:tc>
      </w:tr>
    </w:tbl>
    <w:p/>
    <w:p>
      <w:pPr>
        <w:pStyle w:val="Heading1"/>
      </w:pPr>
      <w:r>
        <w:rPr>
          <w:color w:val="1B4D3E"/>
          <w:sz w:val="32"/>
        </w:rPr>
        <w:t>3. Beräkningsmetodik per kategori</w:t>
      </w:r>
    </w:p>
    <w:p>
      <w:pPr>
        <w:pStyle w:val="Heading2"/>
      </w:pPr>
      <w:r>
        <w:rPr>
          <w:b/>
          <w:sz w:val="26"/>
        </w:rPr>
        <w:t>3.1 Utbildning (±5% konfidensintervall)</w:t>
      </w:r>
    </w:p>
    <w:p>
      <w:pPr>
        <w:spacing w:after="120"/>
      </w:pPr>
      <w:r>
        <w:t>Enhetskostnader hämtas direkt från Skolverket 2024 och SCB. Deltagandeandel per åldersår beräknas från SCB utbildningsstatistik (antal elever/studenter per ålderskohort).</w:t>
      </w:r>
    </w:p>
    <w:p>
      <w:pPr>
        <w:spacing w:after="120"/>
      </w:pPr>
      <w:r>
        <w:t>Formel: Utbildning(ålder) = enhetskostnad(skolform) × deltagandeandel(ålder, skolform)</w:t>
      </w:r>
    </w:p>
    <w:p>
      <w:pPr>
        <w:spacing w:after="120"/>
      </w:pPr>
      <w:r>
        <w:t>Kalibrering: summa(profil × befolkning) = 512 Mdkr 2024 (SCB COFOG). Enhetskostnader i 2024 priser (Skolverket 2024), ej KPI-justerade bakåt.</w:t>
      </w:r>
    </w:p>
    <w:p>
      <w:pPr>
        <w:pStyle w:val="ListBullet"/>
      </w:pPr>
      <w:r>
        <w:rPr>
          <w:sz w:val="20"/>
        </w:rPr>
        <w:t>Förskola: 185 000 kr/barn/år (SCB 94,4 Mdkr / 510k barn)</w:t>
      </w:r>
    </w:p>
    <w:p>
      <w:pPr>
        <w:pStyle w:val="ListBullet"/>
      </w:pPr>
      <w:r>
        <w:rPr>
          <w:sz w:val="20"/>
        </w:rPr>
        <w:t>Grundskola: 152 000 kr/elev/år (Skolverket 2024)</w:t>
      </w:r>
    </w:p>
    <w:p>
      <w:pPr>
        <w:pStyle w:val="ListBullet"/>
      </w:pPr>
      <w:r>
        <w:rPr>
          <w:sz w:val="20"/>
        </w:rPr>
        <w:t>Gymnasium kommunal: 148 000 kr/elev/år</w:t>
      </w:r>
    </w:p>
    <w:p>
      <w:pPr>
        <w:pStyle w:val="ListBullet"/>
      </w:pPr>
      <w:r>
        <w:rPr>
          <w:sz w:val="20"/>
        </w:rPr>
        <w:t>Högskola: 240 000 kr/helårsstudent (93,6 Mdkr / 390k stud)</w:t>
      </w:r>
    </w:p>
    <w:p>
      <w:pPr>
        <w:spacing w:after="120"/>
      </w:pPr>
      <w:r>
        <w:t>Osäkerhet: Deltagandeandelen per enstaka åldersår interpoleras från 5-årsgrupper. ±5% är en konservativ uppskattning.</w:t>
      </w:r>
    </w:p>
    <w:p>
      <w:pPr>
        <w:pStyle w:val="Heading2"/>
      </w:pPr>
      <w:r>
        <w:rPr>
          <w:b/>
          <w:sz w:val="26"/>
        </w:rPr>
        <w:t>3.2 Hälso- och sjukvård (±25% konfidensintervall)</w:t>
      </w:r>
    </w:p>
    <w:p>
      <w:pPr>
        <w:spacing w:after="120"/>
      </w:pPr>
      <w:r>
        <w:t>Total offentlig sjukvårdsutgift: 487 Mdkr 2024 (SCB COFOG GF07). Åldersprofil baseras på NTA-metodik (UN 2013) kalibrerad mot publicerade data från AGENTA-projektet (Andersson et al 2012, Istenič et al 2016).</w:t>
      </w:r>
    </w:p>
    <w:p>
      <w:pPr>
        <w:spacing w:after="120"/>
      </w:pPr>
      <w:r>
        <w:t>NTA-viktformel: SJV(ålder) = w(ålder) × (487 Mdkr / befolkning / snitt_vikt)</w:t>
      </w:r>
    </w:p>
    <w:p>
      <w:pPr>
        <w:spacing w:after="120"/>
      </w:pPr>
      <w:r>
        <w:t>Vikterna w(ålder) är konstruerade för att reproducera den U-kurva som observeras i SKR KPP-data (hög vid födseln, dip 5–30 år, stadig stigning 40+, exponentiell stigning 70+). Profilen valideras mot AGENTA CGH-profiler för Sverige 2010 (korrelation r&gt;0.99 med Danmark och Finland).</w:t>
      </w:r>
    </w:p>
    <w:p>
      <w:pPr>
        <w:spacing w:after="120"/>
      </w:pPr>
      <w:r>
        <w:t>Begränsning: Faktisk KPP-data per enstaka åldersår är inte publik. SKR KPP-databasen ger DRG-vikter per diagnos men saknar publicerad åldersfördelning. Konfidensintervallet ±25% reflekterar denna metodosäkerhet.</w:t>
      </w:r>
    </w:p>
    <w:p>
      <w:pPr>
        <w:pStyle w:val="Heading2"/>
      </w:pPr>
      <w:r>
        <w:rPr>
          <w:b/>
          <w:sz w:val="26"/>
        </w:rPr>
        <w:t>3.3 Social omsorg (±20% konfidensintervall)</w:t>
      </w:r>
    </w:p>
    <w:p>
      <w:pPr>
        <w:spacing w:after="120"/>
      </w:pPr>
      <w:r>
        <w:t>Uppdelad i tre delposter med separata makrokontroller: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Delpost</w:t>
            </w:r>
          </w:p>
        </w:tc>
        <w:tc>
          <w:tcPr>
            <w:tcW w:type="dxa" w:w="3024"/>
          </w:tcPr>
          <w:p>
            <w:r>
              <w:rPr>
                <w:b/>
              </w:rPr>
              <w:t>Total 2024</w:t>
            </w:r>
          </w:p>
        </w:tc>
        <w:tc>
          <w:tcPr>
            <w:tcW w:type="dxa" w:w="3024"/>
          </w:tcPr>
          <w:p>
            <w:r>
              <w:rPr>
                <w:b/>
              </w:rPr>
              <w:t>Källa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Äldreomsorg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~130 Mdkr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SKR Sektorn i siffror 2024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LSS/Funktionshinder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~148 Mdkr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ESSPROS 2022 + FK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Övrigt (familj, arbetsmarknad, bostadsstöd)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~200 Mdkr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ESSPROS 2022</w:t>
            </w:r>
          </w:p>
        </w:tc>
      </w:tr>
    </w:tbl>
    <w:p/>
    <w:p>
      <w:pPr>
        <w:spacing w:after="120"/>
      </w:pPr>
      <w:r>
        <w:t>Äldreomsorg koncentreras starkt till 75+. LSS/funkisstöd har bred distribution (topp 20–50 år). Övrigt socialt peaked kring 28–35 (föräldrapenning, barnbidrag, FK-sjukdom).</w:t>
      </w:r>
    </w:p>
    <w:p>
      <w:pPr>
        <w:pStyle w:val="Heading2"/>
      </w:pPr>
      <w:r>
        <w:rPr>
          <w:b/>
          <w:sz w:val="26"/>
        </w:rPr>
        <w:t>3.4 Kollektiva nyttigheter (±10%)</w:t>
      </w:r>
    </w:p>
    <w:p>
      <w:pPr>
        <w:spacing w:after="120"/>
      </w:pPr>
      <w:r>
        <w:t>Försvar, polis, rättsväsende, infrastruktur, allmän förvaltning = 618 Mdkr 2024 (COFOG GF02, GF03, GF04, GF05). Fördelas lika per capita enligt NTA-metodiken: kollektiva nyttigheter kan inte meningsfullt tilldelas specifika åldersgrupper (UN NTA Manual 2013, s. 42–44).</w:t>
      </w:r>
    </w:p>
    <w:p>
      <w:pPr>
        <w:pStyle w:val="Heading1"/>
      </w:pPr>
      <w:r>
        <w:rPr>
          <w:color w:val="1B4D3E"/>
          <w:sz w:val="32"/>
        </w:rPr>
        <w:t>4. Validering mot externa benchmark</w:t>
      </w:r>
    </w:p>
    <w:p>
      <w:pPr>
        <w:pStyle w:val="Heading2"/>
      </w:pPr>
      <w:r>
        <w:rPr>
          <w:b/>
          <w:sz w:val="26"/>
        </w:rPr>
        <w:t>4.1 SCB FASIT — Gini-kalibrering</w:t>
      </w:r>
    </w:p>
    <w:p>
      <w:pPr>
        <w:spacing w:after="120"/>
      </w:pPr>
      <w:r>
        <w:t>SCB:s FASIT-analys (Andersson, Johansson &amp; Olin 2012) visar att Gini-koefficienten för disponibel inkomst minskar från 0.303 till 0.266 (−12.2%) när välfärdstjänster adderas för 20–64-åringarna. Skatteplattformens modell producerar en konsistent fördelningsprofil: barnfamiljer och pensionärer är nettotagare; sammanboende utan barn i arbetsför ålder är netto-bidragsgivare.</w:t>
      </w:r>
    </w:p>
    <w:p>
      <w:pPr>
        <w:pStyle w:val="Heading2"/>
      </w:pPr>
      <w:r>
        <w:rPr>
          <w:b/>
          <w:sz w:val="26"/>
        </w:rPr>
        <w:t>4.2 Makrokontroller</w:t>
      </w:r>
    </w:p>
    <w:p>
      <w:pPr>
        <w:spacing w:after="120"/>
      </w:pPr>
      <w:r>
        <w:t>Samtliga kategorier kalibreras mot oberoende makrototaler: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Kategori</w:t>
            </w:r>
          </w:p>
        </w:tc>
        <w:tc>
          <w:tcPr>
            <w:tcW w:type="dxa" w:w="3024"/>
          </w:tcPr>
          <w:p>
            <w:r>
              <w:rPr>
                <w:b/>
              </w:rPr>
              <w:t>Modell-total</w:t>
            </w:r>
          </w:p>
        </w:tc>
        <w:tc>
          <w:tcPr>
            <w:tcW w:type="dxa" w:w="3024"/>
          </w:tcPr>
          <w:p>
            <w:r>
              <w:rPr>
                <w:b/>
              </w:rPr>
              <w:t>Kontrollkälla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Utbildning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512 Mdkr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SCB COFOG 2024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Sjukvård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487 Mdkr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SCB COFOG GF07 2024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Äldreomsorg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130 Mdkr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SKR 2024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LSS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148 Mdkr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ESSPROS + FK 2022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Övrigt socialt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200 Mdkr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ESSPROS 2022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Kollektivt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618 Mdkr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SCB COFOG 2024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2 095 Mdkr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Summa individuella + kollektiva (exkl. transfereringar)</w:t>
            </w:r>
          </w:p>
        </w:tc>
      </w:tr>
    </w:tbl>
    <w:p/>
    <w:p>
      <w:pPr>
        <w:pStyle w:val="Heading2"/>
      </w:pPr>
      <w:r>
        <w:rPr>
          <w:b/>
          <w:sz w:val="26"/>
        </w:rPr>
        <w:t>4.3 Nordisk jämförelse</w:t>
      </w:r>
    </w:p>
    <w:p>
      <w:pPr>
        <w:spacing w:after="120"/>
      </w:pPr>
      <w:r>
        <w:t>Åldersprofilen för sjukvård (CGH) jämförs mot AGENTA NTA 2010-data för Sverige, Danmark och Finland. Korrelationskoefficient r &gt; 0.99 indikerar att den interpolerade profilen är konsistent med oberoende NTA-estimat för Norden.</w:t>
      </w:r>
    </w:p>
    <w:p>
      <w:pPr>
        <w:pStyle w:val="Heading1"/>
      </w:pPr>
      <w:r>
        <w:rPr>
          <w:color w:val="1B4D3E"/>
          <w:sz w:val="32"/>
        </w:rPr>
        <w:t>5. Begränsningar och metodkritik</w:t>
      </w:r>
    </w:p>
    <w:p>
      <w:pPr>
        <w:pStyle w:val="ListBullet"/>
      </w:pPr>
      <w:r>
        <w:rPr>
          <w:sz w:val="20"/>
        </w:rPr>
        <w:t>SKR KPP per åldersår är ej publik. Sjukvårdsprofilen är NTA-vikter, inte faktisk registerdata. Beräknad osäkerhet ±25%.</w:t>
      </w:r>
    </w:p>
    <w:p>
      <w:pPr>
        <w:pStyle w:val="ListBullet"/>
      </w:pPr>
      <w:r>
        <w:rPr>
          <w:sz w:val="20"/>
        </w:rPr>
        <w:t>Inkomstpension (~800 Mdkr 2024) ingår inte. Den är avgiftsbaserad (18,5% av lön), inte ett skattesubvention. Att inkludera den vore metodologiskt felaktigt.</w:t>
      </w:r>
    </w:p>
    <w:p>
      <w:pPr>
        <w:pStyle w:val="ListBullet"/>
      </w:pPr>
      <w:r>
        <w:rPr>
          <w:sz w:val="20"/>
        </w:rPr>
        <w:t>Skattebetalning i kalkylatorn baseras på medianbruttolön per åldersgrupp (SCB HE0110). Höginkomsttagare bidrar proportionellt mer — kalkylatorn underskattar bidraget vid höga inkomster.</w:t>
      </w:r>
    </w:p>
    <w:p>
      <w:pPr>
        <w:pStyle w:val="ListBullet"/>
      </w:pPr>
      <w:r>
        <w:rPr>
          <w:sz w:val="20"/>
        </w:rPr>
        <w:t>Tvärsnittsbild. Modellen visar 2024 års fördelning, inte individers livstidsprofil. En 35-åring idag hade en annan profil 10 år sedan.</w:t>
      </w:r>
    </w:p>
    <w:p>
      <w:pPr>
        <w:pStyle w:val="ListBullet"/>
      </w:pPr>
      <w:r>
        <w:rPr>
          <w:sz w:val="20"/>
        </w:rPr>
        <w:t>Konfidensintervallen är expertbedömningar, ej statistiskt beräknade. De reflekterar metodosäkerhet, ej slumpmässig variation.</w:t>
      </w:r>
    </w:p>
    <w:p>
      <w:pPr>
        <w:pStyle w:val="ListBullet"/>
      </w:pPr>
      <w:r>
        <w:rPr>
          <w:sz w:val="20"/>
        </w:rPr>
        <w:t>Kommunal variation är delvis inkluderad (äldreomsorgsfördelning, LSS) men modellen producerar rikssnitt. Regional variation i prislistan bygger på begränsad stickprovdata.</w:t>
      </w:r>
    </w:p>
    <w:p>
      <w:pPr>
        <w:pStyle w:val="ListBullet"/>
      </w:pPr>
      <w:r>
        <w:rPr>
          <w:sz w:val="20"/>
        </w:rPr>
        <w:t>NTA-data för Norden (AGENTA) baseras på 2010. Strukturella förändringar i sjukvård och äldreomsorg sedan 2010 fångas inte i jämförelsedata.</w:t>
      </w:r>
    </w:p>
    <w:p>
      <w:pPr>
        <w:pStyle w:val="Heading1"/>
      </w:pPr>
      <w:r>
        <w:rPr>
          <w:color w:val="1B4D3E"/>
          <w:sz w:val="32"/>
        </w:rPr>
        <w:t>6. Framtida förbättringsplan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Åtgärd</w:t>
            </w:r>
          </w:p>
        </w:tc>
        <w:tc>
          <w:tcPr>
            <w:tcW w:type="dxa" w:w="3024"/>
          </w:tcPr>
          <w:p>
            <w:r>
              <w:rPr>
                <w:b/>
              </w:rPr>
              <w:t>Källa att beställa</w:t>
            </w:r>
          </w:p>
        </w:tc>
        <w:tc>
          <w:tcPr>
            <w:tcW w:type="dxa" w:w="3024"/>
          </w:tcPr>
          <w:p>
            <w:r>
              <w:rPr>
                <w:b/>
              </w:rPr>
              <w:t>Prioritet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Beställ aggregerad SCB-tabell: välfärdstjänster per 5-årsåldersgrupp × COFOG-kategori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bestallningar@scb.se (10–20 tkr)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Kritisk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SKR KPP-data per åldersår (sjukvård)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SKR dataportal / beställning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Hög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Uppdatera NTA nordisk jämförelse till 2022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AGENTA/Wittgenstein Centre uppdatering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Medel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Publicera beräkningsskript på GitHub (Python)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github.com/skatteplattformen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Hög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Extern akademisk metodgranskning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IFAU, SNS eller nationalekonomisk institution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Kritisk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OECD-jämförelsesektion (Eurostat gov_10a_exp)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ec.europa.eu/eurostat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Medel</w:t>
            </w:r>
          </w:p>
        </w:tc>
      </w:tr>
    </w:tbl>
    <w:p/>
    <w:p>
      <w:pPr>
        <w:pStyle w:val="Heading1"/>
      </w:pPr>
      <w:r>
        <w:rPr>
          <w:color w:val="1B4D3E"/>
          <w:sz w:val="32"/>
        </w:rPr>
        <w:t>7. Litteraturreferenser</w:t>
      </w:r>
    </w:p>
    <w:p>
      <w:pPr>
        <w:spacing w:after="120"/>
      </w:pPr>
      <w:r>
        <w:t>Minst 15 primärkällor. Ordnade alfabetiskt.</w:t>
      </w:r>
    </w:p>
    <w:p>
      <w:pPr>
        <w:spacing w:after="80"/>
        <w:ind w:left="425" w:hanging="425"/>
      </w:pPr>
      <w:r>
        <w:rPr>
          <w:b/>
        </w:rPr>
        <w:t xml:space="preserve">1. </w:t>
      </w:r>
      <w:r>
        <w:rPr>
          <w:sz w:val="20"/>
        </w:rPr>
        <w:t>Andersson, F.W., Johansson, L. &amp; Olin, K. (2012). "Hur välfärdstjänsterna används och omfördelar hushållens ekonomiska resurser." Ekonomisk Debatt, 40(8), 35–47.</w:t>
      </w:r>
    </w:p>
    <w:p>
      <w:pPr>
        <w:spacing w:after="80"/>
        <w:ind w:left="425" w:hanging="425"/>
      </w:pPr>
      <w:r>
        <w:rPr>
          <w:b/>
        </w:rPr>
        <w:t xml:space="preserve">2. </w:t>
      </w:r>
      <w:r>
        <w:rPr>
          <w:sz w:val="20"/>
        </w:rPr>
        <w:t>Auerbach, A.J., Gokhale, J. &amp; Kotlikoff, L.J. (1991). "Generational accounts: A meaningful alternative to deficit accounting." NBER Working Paper No. 3589.</w:t>
      </w:r>
    </w:p>
    <w:p>
      <w:pPr>
        <w:spacing w:after="80"/>
        <w:ind w:left="425" w:hanging="425"/>
      </w:pPr>
      <w:r>
        <w:rPr>
          <w:b/>
        </w:rPr>
        <w:t xml:space="preserve">3. </w:t>
      </w:r>
      <w:r>
        <w:rPr>
          <w:sz w:val="20"/>
        </w:rPr>
        <w:t>Canberra Group (2001). Final Report and Recommendations. Expert Group on Household Income Statistics. Ottawa.</w:t>
      </w:r>
    </w:p>
    <w:p>
      <w:pPr>
        <w:spacing w:after="80"/>
        <w:ind w:left="425" w:hanging="425"/>
      </w:pPr>
      <w:r>
        <w:rPr>
          <w:b/>
        </w:rPr>
        <w:t xml:space="preserve">4. </w:t>
      </w:r>
      <w:r>
        <w:rPr>
          <w:sz w:val="20"/>
        </w:rPr>
        <w:t>ESV (2025). Utfallet för statens budget 2024 (ESV 2025:8). Ekonomistyrningsverket, Stockholm.</w:t>
      </w:r>
    </w:p>
    <w:p>
      <w:pPr>
        <w:spacing w:after="80"/>
        <w:ind w:left="425" w:hanging="425"/>
      </w:pPr>
      <w:r>
        <w:rPr>
          <w:b/>
        </w:rPr>
        <w:t xml:space="preserve">5. </w:t>
      </w:r>
      <w:r>
        <w:rPr>
          <w:sz w:val="20"/>
        </w:rPr>
        <w:t>Eurostat (2024). Government expenditure by function – COFOG, dataset gov_10a_exp. Hämtad mars 2025 från ec.europa.eu/eurostat.</w:t>
      </w:r>
    </w:p>
    <w:p>
      <w:pPr>
        <w:spacing w:after="80"/>
        <w:ind w:left="425" w:hanging="425"/>
      </w:pPr>
      <w:r>
        <w:rPr>
          <w:b/>
        </w:rPr>
        <w:t xml:space="preserve">6. </w:t>
      </w:r>
      <w:r>
        <w:rPr>
          <w:sz w:val="20"/>
        </w:rPr>
        <w:t>Eurostat (2024). Social protection statistics – overview (ESSPROS). Hämtad mars 2025 från ec.europa.eu/eurostat.</w:t>
      </w:r>
    </w:p>
    <w:p>
      <w:pPr>
        <w:spacing w:after="80"/>
        <w:ind w:left="425" w:hanging="425"/>
      </w:pPr>
      <w:r>
        <w:rPr>
          <w:b/>
        </w:rPr>
        <w:t xml:space="preserve">7. </w:t>
      </w:r>
      <w:r>
        <w:rPr>
          <w:sz w:val="20"/>
        </w:rPr>
        <w:t>Finansdepartementet (1998). Sverige i NTA-studien. Generational Accounting in Sweden. Bilaga till Långtidsutredningen 1999.</w:t>
      </w:r>
    </w:p>
    <w:p>
      <w:pPr>
        <w:spacing w:after="80"/>
        <w:ind w:left="425" w:hanging="425"/>
      </w:pPr>
      <w:r>
        <w:rPr>
          <w:b/>
        </w:rPr>
        <w:t xml:space="preserve">8. </w:t>
      </w:r>
      <w:r>
        <w:rPr>
          <w:sz w:val="20"/>
        </w:rPr>
        <w:t>Hagemann, R.P. &amp; John, C. (1997). "Generational Accounts for Sweden." I: Auerbach, A.J. et al. (eds.), Generational Accounting Around the World. NBER/Chicago.</w:t>
      </w:r>
    </w:p>
    <w:p>
      <w:pPr>
        <w:spacing w:after="80"/>
        <w:ind w:left="425" w:hanging="425"/>
      </w:pPr>
      <w:r>
        <w:rPr>
          <w:b/>
        </w:rPr>
        <w:t xml:space="preserve">9. </w:t>
      </w:r>
      <w:r>
        <w:rPr>
          <w:sz w:val="20"/>
        </w:rPr>
        <w:t>Istenič, T., Hammer, B., Šeme, A., Lotrič Dolinar, A. &amp; Sambt, J. (2016). European National Transfer Accounts. Wittgenstein Centre, Wien.</w:t>
      </w:r>
    </w:p>
    <w:p>
      <w:pPr>
        <w:spacing w:after="80"/>
        <w:ind w:left="425" w:hanging="425"/>
      </w:pPr>
      <w:r>
        <w:rPr>
          <w:b/>
        </w:rPr>
        <w:t xml:space="preserve">10. </w:t>
      </w:r>
      <w:r>
        <w:rPr>
          <w:sz w:val="20"/>
        </w:rPr>
        <w:t>Lee, R. &amp; Mason, A. (2011). Population Aging and the Generational Economy: A Global Perspective. Edward Elgar, Cheltenham.</w:t>
      </w:r>
    </w:p>
    <w:p>
      <w:pPr>
        <w:spacing w:after="80"/>
        <w:ind w:left="425" w:hanging="425"/>
      </w:pPr>
      <w:r>
        <w:rPr>
          <w:b/>
        </w:rPr>
        <w:t xml:space="preserve">11. </w:t>
      </w:r>
      <w:r>
        <w:rPr>
          <w:sz w:val="20"/>
        </w:rPr>
        <w:t>Modigliani, F. &amp; Brumberg, R. (1954). "Utility analysis and the consumption function: An interpretation of cross-section data." I: Kurihara, K. (ed.), Post-Keynesian Economics.</w:t>
      </w:r>
    </w:p>
    <w:p>
      <w:pPr>
        <w:spacing w:after="80"/>
        <w:ind w:left="425" w:hanging="425"/>
      </w:pPr>
      <w:r>
        <w:rPr>
          <w:b/>
        </w:rPr>
        <w:t xml:space="preserve">12. </w:t>
      </w:r>
      <w:r>
        <w:rPr>
          <w:sz w:val="20"/>
        </w:rPr>
        <w:t>Skolverket (2025). Kostnader i skolväsendet 2024. Rapport. Skolverket, Stockholm.</w:t>
      </w:r>
    </w:p>
    <w:p>
      <w:pPr>
        <w:spacing w:after="80"/>
        <w:ind w:left="425" w:hanging="425"/>
      </w:pPr>
      <w:r>
        <w:rPr>
          <w:b/>
        </w:rPr>
        <w:t xml:space="preserve">13. </w:t>
      </w:r>
      <w:r>
        <w:rPr>
          <w:sz w:val="20"/>
        </w:rPr>
        <w:t>SKR (2024). Ekonomirapporten — om kommunernas och regionernas ekonomi. Sveriges Kommuner och Regioner, Stockholm.</w:t>
      </w:r>
    </w:p>
    <w:p>
      <w:pPr>
        <w:spacing w:after="80"/>
        <w:ind w:left="425" w:hanging="425"/>
      </w:pPr>
      <w:r>
        <w:rPr>
          <w:b/>
        </w:rPr>
        <w:t xml:space="preserve">14. </w:t>
      </w:r>
      <w:r>
        <w:rPr>
          <w:sz w:val="20"/>
        </w:rPr>
        <w:t>UN (2013). National Transfer Accounts Manual: Measuring and Analysing the Generational Economy. DESA/POP/2013/09. United Nations, New York.</w:t>
      </w:r>
    </w:p>
    <w:p>
      <w:pPr>
        <w:spacing w:after="80"/>
        <w:ind w:left="425" w:hanging="425"/>
      </w:pPr>
      <w:r>
        <w:rPr>
          <w:b/>
        </w:rPr>
        <w:t xml:space="preserve">15. </w:t>
      </w:r>
      <w:r>
        <w:rPr>
          <w:sz w:val="20"/>
        </w:rPr>
        <w:t>SCB (2022). Offentliga välfärdstjänster — Ekonomisk utjämning mellan individer och hushåll 2022. Statistiknyheter FASIT. Statistiska centralbyrån.</w:t>
      </w:r>
    </w:p>
    <w:p>
      <w:pPr>
        <w:spacing w:after="80"/>
        <w:ind w:left="425" w:hanging="425"/>
      </w:pPr>
      <w:r>
        <w:rPr>
          <w:b/>
        </w:rPr>
        <w:t xml:space="preserve">16. </w:t>
      </w:r>
      <w:r>
        <w:rPr>
          <w:sz w:val="20"/>
        </w:rPr>
        <w:t>SCB (2022). Hur påverkar offentliga välfärdstjänster hushållens ekonomi? (Andersson, Johansson, Olin). Fokus på näringsliv och arbetsmarknad. SCB.</w:t>
      </w:r>
    </w:p>
    <w:p>
      <w:pPr>
        <w:spacing w:after="80"/>
        <w:ind w:left="425" w:hanging="425"/>
      </w:pPr>
      <w:r>
        <w:rPr>
          <w:b/>
        </w:rPr>
        <w:t xml:space="preserve">17. </w:t>
      </w:r>
      <w:r>
        <w:rPr>
          <w:sz w:val="20"/>
        </w:rPr>
        <w:t>Smeeding, T., Saunders, P., Coder, J., Jenkins, S., Fritzell, J., Hagenaars, A., Hauser, R. &amp; Wolfson, M. (1993). "Poverty, inequality, and family living standards impacts across seven nations." Review of Income and Wealth, 39(3).</w:t>
      </w:r>
    </w:p>
    <w:p>
      <w:pPr>
        <w:pStyle w:val="Heading1"/>
      </w:pPr>
      <w:r>
        <w:rPr>
          <w:color w:val="1B4D3E"/>
          <w:sz w:val="32"/>
        </w:rPr>
        <w:t>8. Ändringslogg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024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b/>
              </w:rPr>
              <w:t>Ändringar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2026-03-23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Initial version. COFOG 3 011 Mdkr 2024. 86 åldersår. Nordisk NTA-jämförelse. Prislista 25 poster.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v1.1 (planerat)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Maj 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Ersätt NTA-vikter sjukvård med SCB aggregerad tabell (beställd mars 2026).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v1.2 (planerat)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Höst 2026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ESV 2025 slututfall. Extern akademisk granskning.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