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4D3E"/>
          <w:sz w:val="40"/>
          <w:szCs w:val="40"/>
        </w:rPr>
        <w:t xml:space="preserve">Skatteplattformen</w:t>
      </w:r>
    </w:p>
    <w:p>
      <w:pPr>
        <w:spacing w:after="40"/>
      </w:pPr>
      <w:r>
        <w:rPr>
          <w:b/>
          <w:bCs/>
          <w:sz w:val="26"/>
          <w:szCs w:val="26"/>
        </w:rPr>
        <w:t xml:space="preserve">Metodrapport v2.0 — Beräkningsmodell för offentliga välfärdstjänster, skatter och livscykel</w:t>
      </w:r>
    </w:p>
    <w:p>
      <w:pPr>
        <w:spacing w:after="200"/>
      </w:pPr>
      <w:r>
        <w:rPr>
          <w:i/>
          <w:iCs/>
          <w:color w:val="666666"/>
          <w:sz w:val="18"/>
          <w:szCs w:val="18"/>
        </w:rPr>
        <w:t xml:space="preserve">Version 2.0 · 27 oktober 2026 · CC0-licens · Partipolitiskt oberoende</w:t>
      </w:r>
    </w:p>
    <w:p>
      <w:pPr>
        <w:pBdr>
          <w:bottom w:val="single" w:color="1B4D3E" w:sz="8"/>
        </w:pBdr>
        <w:spacing w:after="160"/>
      </w:pPr>
    </w:p>
    <w:p>
      <w:pPr>
        <w:pStyle w:val="Heading1"/>
        <w:spacing w:after="120" w:before="260"/>
      </w:pPr>
      <w:r>
        <w:rPr>
          <w:b/>
          <w:bCs/>
          <w:color w:val="1B4D3E"/>
        </w:rPr>
        <w:t xml:space="preserve">Sammanfattning</w:t>
      </w:r>
    </w:p>
    <w:p>
      <w:pPr>
        <w:spacing w:after="120" w:line="276"/>
      </w:pPr>
      <w:r>
        <w:t xml:space="preserve">Denna rapport dokumenterar beräkningsmodellen bakom Skatteplattformen — en oberoende webbplats som visar hur svenska skattepengar används per krona, per tjänst och per ålder. Sedan v1.0 (mars 2026) har modellen utvecklats från en ren åldersprofil till en interaktiv plattform som kombinerar fyra sammanlänkade modeller: (1) en </w:t>
      </w:r>
      <w:r>
        <w:rPr>
          <w:b/>
          <w:bCs/>
        </w:rPr>
        <w:t xml:space="preserve">förmånsmodell</w:t>
      </w:r>
      <w:r>
        <w:t xml:space="preserve"> för offentliga välfärdstjänster per ålder (COFOG 2024, 3 011 Mdkr), (2) en </w:t>
      </w:r>
      <w:r>
        <w:rPr>
          <w:b/>
          <w:bCs/>
        </w:rPr>
        <w:t xml:space="preserve">skattemodell</w:t>
      </w:r>
      <w:r>
        <w:t xml:space="preserve"> för individens totala skattebörda (2026 års regler), (3) en </w:t>
      </w:r>
      <w:r>
        <w:rPr>
          <w:b/>
          <w:bCs/>
        </w:rPr>
        <w:t xml:space="preserve">livscykelmodell</w:t>
      </w:r>
      <w:r>
        <w:t xml:space="preserve"> 0–85 år, och (4) dimensioner för </w:t>
      </w:r>
      <w:r>
        <w:rPr>
          <w:b/>
          <w:bCs/>
        </w:rPr>
        <w:t xml:space="preserve">hushållstyp, inkomstgradient och kommun</w:t>
      </w:r>
      <w:r>
        <w:t xml:space="preserve">. Alla antaganden redovisas explicit, datan synkas automatiskt mot källfiler, och konfidensintervall anges per kategori. Modellen har genomgått två oberoende granskningar vars rekommendationer till stor del är genomförda.</w:t>
      </w:r>
    </w:p>
    <w:p>
      <w:pPr>
        <w:pStyle w:val="Heading1"/>
        <w:spacing w:after="120" w:before="260"/>
      </w:pPr>
      <w:r>
        <w:rPr>
          <w:b/>
          <w:bCs/>
          <w:color w:val="1B4D3E"/>
        </w:rPr>
        <w:t xml:space="preserve">1. Syfte och avgränsning</w:t>
      </w:r>
    </w:p>
    <w:p>
      <w:pPr>
        <w:pStyle w:val="Heading2"/>
        <w:spacing w:after="80" w:before="180"/>
      </w:pPr>
      <w:r>
        <w:rPr>
          <w:b/>
          <w:bCs/>
          <w:color w:val="1A1814"/>
        </w:rPr>
        <w:t xml:space="preserve">1.1 Vad modellen visar</w:t>
      </w:r>
    </w:p>
    <w:p>
      <w:pPr>
        <w:pStyle w:val="ListParagraph"/>
        <w:numPr>
          <w:ilvl w:val="0"/>
          <w:numId w:val="1"/>
        </w:numPr>
        <w:spacing w:after="60" w:line="264"/>
      </w:pPr>
      <w:r>
        <w:t xml:space="preserve">Per capita offentlig konsumtion per åldersår (kr/år, 2024 års priser) i fem kategorier: utbildning, hälso- och sjukvård, social trygghet, kollektiva nyttigheter och äldreomsorg.</w:t>
      </w:r>
    </w:p>
    <w:p>
      <w:pPr>
        <w:pStyle w:val="ListParagraph"/>
        <w:numPr>
          <w:ilvl w:val="0"/>
          <w:numId w:val="1"/>
        </w:numPr>
        <w:spacing w:after="60" w:line="264"/>
      </w:pPr>
      <w:r>
        <w:t xml:space="preserve">Individens totala skattebörda per år (kommunalskatt, statlig skatt, arbetsgivaravgift, moms, jobbskatteavdrag, kapitalskatt) enligt 2026 års regler, justerad för hushållstyp, inkomst och vald kommun.</w:t>
      </w:r>
    </w:p>
    <w:p>
      <w:pPr>
        <w:pStyle w:val="ListParagraph"/>
        <w:numPr>
          <w:ilvl w:val="0"/>
          <w:numId w:val="1"/>
        </w:numPr>
        <w:spacing w:after="60" w:line="264"/>
      </w:pPr>
      <w:r>
        <w:t xml:space="preserve">En livscykelvy 0–85 år som visar välfärdslogikens form: mottagare som barn → nettobidragsgivare i yrkeslivet → mottagare som äldre (årliga flöden, ej en nominell livstidssumma).</w:t>
      </w:r>
    </w:p>
    <w:p>
      <w:pPr>
        <w:pStyle w:val="ListParagraph"/>
        <w:numPr>
          <w:ilvl w:val="0"/>
          <w:numId w:val="1"/>
        </w:numPr>
        <w:spacing w:after="60" w:line="264"/>
      </w:pPr>
      <w:r>
        <w:t xml:space="preserve">Jämförelser mot OECD/Norden (PISA 2025, OECD Health at a Glance 2025, Eurostat), statsskuldens utveckling 1980–2026 (Riksgälden) och framtida finansieringsutmaningar.</w:t>
      </w:r>
    </w:p>
    <w:p>
      <w:pPr>
        <w:pStyle w:val="ListParagraph"/>
        <w:numPr>
          <w:ilvl w:val="0"/>
          <w:numId w:val="1"/>
        </w:numPr>
        <w:spacing w:after="60" w:line="264"/>
      </w:pPr>
      <w:r>
        <w:t xml:space="preserve">Prislista med enhetskostnader för 36 offentliga tjänster.</w:t>
      </w:r>
    </w:p>
    <w:p>
      <w:pPr>
        <w:pStyle w:val="Heading2"/>
        <w:spacing w:after="80" w:before="180"/>
      </w:pPr>
      <w:r>
        <w:rPr>
          <w:b/>
          <w:bCs/>
          <w:color w:val="1A1814"/>
        </w:rPr>
        <w:t xml:space="preserve">1.2 Vad modellen INTE visar</w:t>
      </w:r>
    </w:p>
    <w:p>
      <w:pPr>
        <w:pStyle w:val="ListParagraph"/>
        <w:numPr>
          <w:ilvl w:val="0"/>
          <w:numId w:val="1"/>
        </w:numPr>
        <w:spacing w:after="60" w:line="264"/>
      </w:pPr>
      <w:r>
        <w:t xml:space="preserve">Inkomstpension (~800 Mdkr/år) — avgiftsbaserad (18,5 % av lön), inte skattefinansierad förmån. Pensionsavgiften exkluderas symmetriskt från skattesidan (toggle visar båda fallen).</w:t>
      </w:r>
    </w:p>
    <w:p>
      <w:pPr>
        <w:pStyle w:val="ListParagraph"/>
        <w:numPr>
          <w:ilvl w:val="0"/>
          <w:numId w:val="1"/>
        </w:numPr>
        <w:spacing w:after="60" w:line="264"/>
      </w:pPr>
      <w:r>
        <w:t xml:space="preserve">En exakt individuell prognos. De absoluta beloppen är befolkningsmedel; verklig variation inom en åldersgrupp är 5–10× (en kroniker vs. en frisk).</w:t>
      </w:r>
    </w:p>
    <w:p>
      <w:pPr>
        <w:pStyle w:val="ListParagraph"/>
        <w:numPr>
          <w:ilvl w:val="0"/>
          <w:numId w:val="1"/>
        </w:numPr>
        <w:spacing w:after="60" w:line="264"/>
      </w:pPr>
      <w:r>
        <w:t xml:space="preserve">Faktisk framtida skatte- och förmånsbana — livscykeln antar 2026 års regler i 85 år och är pedagogisk, inte prognostisk.</w:t>
      </w:r>
    </w:p>
    <w:p>
      <w:pPr>
        <w:pStyle w:val="ListParagraph"/>
        <w:numPr>
          <w:ilvl w:val="0"/>
          <w:numId w:val="1"/>
        </w:numPr>
        <w:spacing w:after="60" w:line="264"/>
      </w:pPr>
      <w:r>
        <w:t xml:space="preserve">Formella konfidensintervall — osäkerhetsbanden är en bedömd envelopp (se avsnitt 7), inte Monte Carlo-beräknade.</w:t>
      </w:r>
    </w:p>
    <w:p>
      <w:pPr>
        <w:pStyle w:val="Heading1"/>
        <w:spacing w:after="120" w:before="260"/>
      </w:pPr>
      <w:r>
        <w:rPr>
          <w:b/>
          <w:bCs/>
          <w:color w:val="1B4D3E"/>
        </w:rPr>
        <w:t xml:space="preserve">2. Datakällor</w:t>
      </w:r>
    </w:p>
    <w:p>
      <w:pPr>
        <w:spacing w:after="120" w:line="276"/>
      </w:pPr>
      <w:r>
        <w:t xml:space="preserve">Alla datakällor är offentligt tillgängliga. Förmånsbeloppen bygger på COFOG 2024 (basår); skatteparametrar och FK-/avgiftsbelopp är i 2026 års nivå.</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600"/>
      </w:tblGrid>
      <w:tr>
        <w:trPr>
          <w:tblHeader/>
        </w:trPr>
        <w:tc>
          <w:tcPr>
            <w:tcW w:type="dxa" w:w="2600"/>
            <w:shd w:fill="1B4D3E" w:val="clear"/>
            <w:tcMar>
              <w:top w:type="dxa" w:w="40"/>
              <w:left w:type="dxa" w:w="80"/>
              <w:bottom w:type="dxa" w:w="40"/>
              <w:right w:type="dxa" w:w="80"/>
            </w:tcMar>
          </w:tcPr>
          <w:p>
            <w:r>
              <w:rPr>
                <w:b/>
                <w:bCs/>
                <w:color w:val="FFFFFF"/>
                <w:sz w:val="18"/>
                <w:szCs w:val="18"/>
              </w:rPr>
              <w:t xml:space="preserve">Källa</w:t>
            </w:r>
          </w:p>
        </w:tc>
        <w:tc>
          <w:tcPr>
            <w:tcW w:type="dxa" w:w="4200"/>
            <w:shd w:fill="1B4D3E" w:val="clear"/>
            <w:tcMar>
              <w:top w:type="dxa" w:w="40"/>
              <w:left w:type="dxa" w:w="80"/>
              <w:bottom w:type="dxa" w:w="40"/>
              <w:right w:type="dxa" w:w="80"/>
            </w:tcMar>
          </w:tcPr>
          <w:p>
            <w:r>
              <w:rPr>
                <w:b/>
                <w:bCs/>
                <w:color w:val="FFFFFF"/>
                <w:sz w:val="18"/>
                <w:szCs w:val="18"/>
              </w:rPr>
              <w:t xml:space="preserve">Data</w:t>
            </w:r>
          </w:p>
        </w:tc>
        <w:tc>
          <w:tcPr>
            <w:tcW w:type="dxa" w:w="1600"/>
            <w:shd w:fill="1B4D3E" w:val="clear"/>
            <w:tcMar>
              <w:top w:type="dxa" w:w="40"/>
              <w:left w:type="dxa" w:w="80"/>
              <w:bottom w:type="dxa" w:w="40"/>
              <w:right w:type="dxa" w:w="80"/>
            </w:tcMar>
          </w:tcPr>
          <w:p>
            <w:r>
              <w:rPr>
                <w:b/>
                <w:bCs/>
                <w:color w:val="FFFFFF"/>
                <w:sz w:val="18"/>
                <w:szCs w:val="18"/>
              </w:rPr>
              <w:t xml:space="preserve">Årgång</w:t>
            </w:r>
          </w:p>
        </w:tc>
      </w:tr>
      <w:tr>
        <w:tc>
          <w:tcPr>
            <w:tcW w:type="dxa" w:w="2600"/>
            <w:shd w:fill="FFFFFF" w:val="clear"/>
            <w:tcMar>
              <w:top w:type="dxa" w:w="40"/>
              <w:left w:type="dxa" w:w="80"/>
              <w:bottom w:type="dxa" w:w="40"/>
              <w:right w:type="dxa" w:w="80"/>
            </w:tcMar>
          </w:tcPr>
          <w:p>
            <w:r>
              <w:rPr>
                <w:sz w:val="18"/>
                <w:szCs w:val="18"/>
              </w:rPr>
              <w:t xml:space="preserve">SCB COFOG NR</w:t>
            </w:r>
          </w:p>
        </w:tc>
        <w:tc>
          <w:tcPr>
            <w:tcW w:type="dxa" w:w="4200"/>
            <w:shd w:fill="FFFFFF" w:val="clear"/>
            <w:tcMar>
              <w:top w:type="dxa" w:w="40"/>
              <w:left w:type="dxa" w:w="80"/>
              <w:bottom w:type="dxa" w:w="40"/>
              <w:right w:type="dxa" w:w="80"/>
            </w:tcMar>
          </w:tcPr>
          <w:p>
            <w:r>
              <w:rPr>
                <w:sz w:val="18"/>
                <w:szCs w:val="18"/>
              </w:rPr>
              <w:t xml:space="preserve">Total offentlig sektor 3 011 Mdkr fördelat på COFOG-funktioner</w:t>
            </w:r>
          </w:p>
        </w:tc>
        <w:tc>
          <w:tcPr>
            <w:tcW w:type="dxa" w:w="1600"/>
            <w:shd w:fill="FFFFFF" w:val="clear"/>
            <w:tcMar>
              <w:top w:type="dxa" w:w="40"/>
              <w:left w:type="dxa" w:w="80"/>
              <w:bottom w:type="dxa" w:w="40"/>
              <w:right w:type="dxa" w:w="80"/>
            </w:tcMar>
          </w:tcPr>
          <w:p>
            <w:r>
              <w:rPr>
                <w:sz w:val="18"/>
                <w:szCs w:val="18"/>
              </w:rPr>
              <w:t xml:space="preserve">2024</w:t>
            </w:r>
          </w:p>
        </w:tc>
      </w:tr>
      <w:tr>
        <w:tc>
          <w:tcPr>
            <w:tcW w:type="dxa" w:w="2600"/>
            <w:shd w:fill="F4F1EA" w:val="clear"/>
            <w:tcMar>
              <w:top w:type="dxa" w:w="40"/>
              <w:left w:type="dxa" w:w="80"/>
              <w:bottom w:type="dxa" w:w="40"/>
              <w:right w:type="dxa" w:w="80"/>
            </w:tcMar>
          </w:tcPr>
          <w:p>
            <w:r>
              <w:rPr>
                <w:sz w:val="18"/>
                <w:szCs w:val="18"/>
              </w:rPr>
              <w:t xml:space="preserve">Budgetpropositionen 2026 (prop. 2025/26:1)</w:t>
            </w:r>
          </w:p>
        </w:tc>
        <w:tc>
          <w:tcPr>
            <w:tcW w:type="dxa" w:w="4200"/>
            <w:shd w:fill="F4F1EA" w:val="clear"/>
            <w:tcMar>
              <w:top w:type="dxa" w:w="40"/>
              <w:left w:type="dxa" w:w="80"/>
              <w:bottom w:type="dxa" w:w="40"/>
              <w:right w:type="dxa" w:w="80"/>
            </w:tcMar>
          </w:tcPr>
          <w:p>
            <w:r>
              <w:rPr>
                <w:sz w:val="18"/>
                <w:szCs w:val="18"/>
              </w:rPr>
              <w:t xml:space="preserve">Statsbudget per utgiftsområde (27 UO), inkomster, saldo</w:t>
            </w:r>
          </w:p>
        </w:tc>
        <w:tc>
          <w:tcPr>
            <w:tcW w:type="dxa" w:w="1600"/>
            <w:shd w:fill="F4F1EA" w:val="clear"/>
            <w:tcMar>
              <w:top w:type="dxa" w:w="40"/>
              <w:left w:type="dxa" w:w="80"/>
              <w:bottom w:type="dxa" w:w="40"/>
              <w:right w:type="dxa" w:w="80"/>
            </w:tcMar>
          </w:tcPr>
          <w:p>
            <w:r>
              <w:rPr>
                <w:sz w:val="18"/>
                <w:szCs w:val="18"/>
              </w:rPr>
              <w:t xml:space="preserve">2026</w:t>
            </w:r>
          </w:p>
        </w:tc>
      </w:tr>
      <w:tr>
        <w:tc>
          <w:tcPr>
            <w:tcW w:type="dxa" w:w="2600"/>
            <w:shd w:fill="FFFFFF" w:val="clear"/>
            <w:tcMar>
              <w:top w:type="dxa" w:w="40"/>
              <w:left w:type="dxa" w:w="80"/>
              <w:bottom w:type="dxa" w:w="40"/>
              <w:right w:type="dxa" w:w="80"/>
            </w:tcMar>
          </w:tcPr>
          <w:p>
            <w:r>
              <w:rPr>
                <w:sz w:val="18"/>
                <w:szCs w:val="18"/>
              </w:rPr>
              <w:t xml:space="preserve">Skr. 2025/26:98</w:t>
            </w:r>
          </w:p>
        </w:tc>
        <w:tc>
          <w:tcPr>
            <w:tcW w:type="dxa" w:w="4200"/>
            <w:shd w:fill="FFFFFF" w:val="clear"/>
            <w:tcMar>
              <w:top w:type="dxa" w:w="40"/>
              <w:left w:type="dxa" w:w="80"/>
              <w:bottom w:type="dxa" w:w="40"/>
              <w:right w:type="dxa" w:w="80"/>
            </w:tcMar>
          </w:tcPr>
          <w:p>
            <w:r>
              <w:rPr>
                <w:sz w:val="18"/>
                <w:szCs w:val="18"/>
              </w:rPr>
              <w:t xml:space="preserve">Skatteutgifter (jobbskatteavdrag m.m.)</w:t>
            </w:r>
          </w:p>
        </w:tc>
        <w:tc>
          <w:tcPr>
            <w:tcW w:type="dxa" w:w="1600"/>
            <w:shd w:fill="FFFFFF" w:val="clear"/>
            <w:tcMar>
              <w:top w:type="dxa" w:w="40"/>
              <w:left w:type="dxa" w:w="80"/>
              <w:bottom w:type="dxa" w:w="40"/>
              <w:right w:type="dxa" w:w="80"/>
            </w:tcMar>
          </w:tcPr>
          <w:p>
            <w:r>
              <w:rPr>
                <w:sz w:val="18"/>
                <w:szCs w:val="18"/>
              </w:rPr>
              <w:t xml:space="preserve">2026</w:t>
            </w:r>
          </w:p>
        </w:tc>
      </w:tr>
      <w:tr>
        <w:tc>
          <w:tcPr>
            <w:tcW w:type="dxa" w:w="2600"/>
            <w:shd w:fill="F4F1EA" w:val="clear"/>
            <w:tcMar>
              <w:top w:type="dxa" w:w="40"/>
              <w:left w:type="dxa" w:w="80"/>
              <w:bottom w:type="dxa" w:w="40"/>
              <w:right w:type="dxa" w:w="80"/>
            </w:tcMar>
          </w:tcPr>
          <w:p>
            <w:r>
              <w:rPr>
                <w:sz w:val="18"/>
                <w:szCs w:val="18"/>
              </w:rPr>
              <w:t xml:space="preserve">SCB Kommunalskatterna</w:t>
            </w:r>
          </w:p>
        </w:tc>
        <w:tc>
          <w:tcPr>
            <w:tcW w:type="dxa" w:w="4200"/>
            <w:shd w:fill="F4F1EA" w:val="clear"/>
            <w:tcMar>
              <w:top w:type="dxa" w:w="40"/>
              <w:left w:type="dxa" w:w="80"/>
              <w:bottom w:type="dxa" w:w="40"/>
              <w:right w:type="dxa" w:w="80"/>
            </w:tcMar>
          </w:tcPr>
          <w:p>
            <w:r>
              <w:rPr>
                <w:sz w:val="18"/>
                <w:szCs w:val="18"/>
              </w:rPr>
              <w:t xml:space="preserve">Total kommunalskatt per kommun (28,93–35,65 %), rikssnitt 32,38 %</w:t>
            </w:r>
          </w:p>
        </w:tc>
        <w:tc>
          <w:tcPr>
            <w:tcW w:type="dxa" w:w="1600"/>
            <w:shd w:fill="F4F1EA" w:val="clear"/>
            <w:tcMar>
              <w:top w:type="dxa" w:w="40"/>
              <w:left w:type="dxa" w:w="80"/>
              <w:bottom w:type="dxa" w:w="40"/>
              <w:right w:type="dxa" w:w="80"/>
            </w:tcMar>
          </w:tcPr>
          <w:p>
            <w:r>
              <w:rPr>
                <w:sz w:val="18"/>
                <w:szCs w:val="18"/>
              </w:rPr>
              <w:t xml:space="preserve">2026</w:t>
            </w:r>
          </w:p>
        </w:tc>
      </w:tr>
      <w:tr>
        <w:tc>
          <w:tcPr>
            <w:tcW w:type="dxa" w:w="2600"/>
            <w:shd w:fill="FFFFFF" w:val="clear"/>
            <w:tcMar>
              <w:top w:type="dxa" w:w="40"/>
              <w:left w:type="dxa" w:w="80"/>
              <w:bottom w:type="dxa" w:w="40"/>
              <w:right w:type="dxa" w:w="80"/>
            </w:tcMar>
          </w:tcPr>
          <w:p>
            <w:r>
              <w:rPr>
                <w:sz w:val="18"/>
                <w:szCs w:val="18"/>
              </w:rPr>
              <w:t xml:space="preserve">Skolverket</w:t>
            </w:r>
          </w:p>
        </w:tc>
        <w:tc>
          <w:tcPr>
            <w:tcW w:type="dxa" w:w="4200"/>
            <w:shd w:fill="FFFFFF" w:val="clear"/>
            <w:tcMar>
              <w:top w:type="dxa" w:w="40"/>
              <w:left w:type="dxa" w:w="80"/>
              <w:bottom w:type="dxa" w:w="40"/>
              <w:right w:type="dxa" w:w="80"/>
            </w:tcMar>
          </w:tcPr>
          <w:p>
            <w:r>
              <w:rPr>
                <w:sz w:val="18"/>
                <w:szCs w:val="18"/>
              </w:rPr>
              <w:t xml:space="preserve">Enhetskostnader per skolform (grundskola 152 tkr, gymnasium 148 tkr, förskola 185 tkr)</w:t>
            </w:r>
          </w:p>
        </w:tc>
        <w:tc>
          <w:tcPr>
            <w:tcW w:type="dxa" w:w="1600"/>
            <w:shd w:fill="FFFFFF" w:val="clear"/>
            <w:tcMar>
              <w:top w:type="dxa" w:w="40"/>
              <w:left w:type="dxa" w:w="80"/>
              <w:bottom w:type="dxa" w:w="40"/>
              <w:right w:type="dxa" w:w="80"/>
            </w:tcMar>
          </w:tcPr>
          <w:p>
            <w:r>
              <w:rPr>
                <w:sz w:val="18"/>
                <w:szCs w:val="18"/>
              </w:rPr>
              <w:t xml:space="preserve">2024</w:t>
            </w:r>
          </w:p>
        </w:tc>
      </w:tr>
      <w:tr>
        <w:tc>
          <w:tcPr>
            <w:tcW w:type="dxa" w:w="2600"/>
            <w:shd w:fill="F4F1EA" w:val="clear"/>
            <w:tcMar>
              <w:top w:type="dxa" w:w="40"/>
              <w:left w:type="dxa" w:w="80"/>
              <w:bottom w:type="dxa" w:w="40"/>
              <w:right w:type="dxa" w:w="80"/>
            </w:tcMar>
          </w:tcPr>
          <w:p>
            <w:r>
              <w:rPr>
                <w:sz w:val="18"/>
                <w:szCs w:val="18"/>
              </w:rPr>
              <w:t xml:space="preserve">SCB FASIT</w:t>
            </w:r>
          </w:p>
        </w:tc>
        <w:tc>
          <w:tcPr>
            <w:tcW w:type="dxa" w:w="4200"/>
            <w:shd w:fill="F4F1EA" w:val="clear"/>
            <w:tcMar>
              <w:top w:type="dxa" w:w="40"/>
              <w:left w:type="dxa" w:w="80"/>
              <w:bottom w:type="dxa" w:w="40"/>
              <w:right w:type="dxa" w:w="80"/>
            </w:tcMar>
          </w:tcPr>
          <w:p>
            <w:r>
              <w:rPr>
                <w:sz w:val="18"/>
                <w:szCs w:val="18"/>
              </w:rPr>
              <w:t xml:space="preserve">Fördelning av välfärdstjänster per inkomstdecil och hushållstyp</w:t>
            </w:r>
          </w:p>
        </w:tc>
        <w:tc>
          <w:tcPr>
            <w:tcW w:type="dxa" w:w="1600"/>
            <w:shd w:fill="F4F1EA" w:val="clear"/>
            <w:tcMar>
              <w:top w:type="dxa" w:w="40"/>
              <w:left w:type="dxa" w:w="80"/>
              <w:bottom w:type="dxa" w:w="40"/>
              <w:right w:type="dxa" w:w="80"/>
            </w:tcMar>
          </w:tcPr>
          <w:p>
            <w:r>
              <w:rPr>
                <w:sz w:val="18"/>
                <w:szCs w:val="18"/>
              </w:rPr>
              <w:t xml:space="preserve">2022</w:t>
            </w:r>
          </w:p>
        </w:tc>
      </w:tr>
      <w:tr>
        <w:tc>
          <w:tcPr>
            <w:tcW w:type="dxa" w:w="2600"/>
            <w:shd w:fill="FFFFFF" w:val="clear"/>
            <w:tcMar>
              <w:top w:type="dxa" w:w="40"/>
              <w:left w:type="dxa" w:w="80"/>
              <w:bottom w:type="dxa" w:w="40"/>
              <w:right w:type="dxa" w:w="80"/>
            </w:tcMar>
          </w:tcPr>
          <w:p>
            <w:r>
              <w:rPr>
                <w:sz w:val="18"/>
                <w:szCs w:val="18"/>
              </w:rPr>
              <w:t xml:space="preserve">SCB ESSPROS</w:t>
            </w:r>
          </w:p>
        </w:tc>
        <w:tc>
          <w:tcPr>
            <w:tcW w:type="dxa" w:w="4200"/>
            <w:shd w:fill="FFFFFF" w:val="clear"/>
            <w:tcMar>
              <w:top w:type="dxa" w:w="40"/>
              <w:left w:type="dxa" w:w="80"/>
              <w:bottom w:type="dxa" w:w="40"/>
              <w:right w:type="dxa" w:w="80"/>
            </w:tcMar>
          </w:tcPr>
          <w:p>
            <w:r>
              <w:rPr>
                <w:sz w:val="18"/>
                <w:szCs w:val="18"/>
              </w:rPr>
              <w:t xml:space="preserve">Socialt skydd per funktion</w:t>
            </w:r>
          </w:p>
        </w:tc>
        <w:tc>
          <w:tcPr>
            <w:tcW w:type="dxa" w:w="1600"/>
            <w:shd w:fill="FFFFFF" w:val="clear"/>
            <w:tcMar>
              <w:top w:type="dxa" w:w="40"/>
              <w:left w:type="dxa" w:w="80"/>
              <w:bottom w:type="dxa" w:w="40"/>
              <w:right w:type="dxa" w:w="80"/>
            </w:tcMar>
          </w:tcPr>
          <w:p>
            <w:r>
              <w:rPr>
                <w:sz w:val="18"/>
                <w:szCs w:val="18"/>
              </w:rPr>
              <w:t xml:space="preserve">2022</w:t>
            </w:r>
          </w:p>
        </w:tc>
      </w:tr>
      <w:tr>
        <w:tc>
          <w:tcPr>
            <w:tcW w:type="dxa" w:w="2600"/>
            <w:shd w:fill="F4F1EA" w:val="clear"/>
            <w:tcMar>
              <w:top w:type="dxa" w:w="40"/>
              <w:left w:type="dxa" w:w="80"/>
              <w:bottom w:type="dxa" w:w="40"/>
              <w:right w:type="dxa" w:w="80"/>
            </w:tcMar>
          </w:tcPr>
          <w:p>
            <w:r>
              <w:rPr>
                <w:sz w:val="18"/>
                <w:szCs w:val="18"/>
              </w:rPr>
              <w:t xml:space="preserve">SKR Sektorn i siffror / KPP</w:t>
            </w:r>
          </w:p>
        </w:tc>
        <w:tc>
          <w:tcPr>
            <w:tcW w:type="dxa" w:w="4200"/>
            <w:shd w:fill="F4F1EA" w:val="clear"/>
            <w:tcMar>
              <w:top w:type="dxa" w:w="40"/>
              <w:left w:type="dxa" w:w="80"/>
              <w:bottom w:type="dxa" w:w="40"/>
              <w:right w:type="dxa" w:w="80"/>
            </w:tcMar>
          </w:tcPr>
          <w:p>
            <w:r>
              <w:rPr>
                <w:sz w:val="18"/>
                <w:szCs w:val="18"/>
              </w:rPr>
              <w:t xml:space="preserve">Äldreomsorg, LSS, kommunal vård, kostnad per patient</w:t>
            </w:r>
          </w:p>
        </w:tc>
        <w:tc>
          <w:tcPr>
            <w:tcW w:type="dxa" w:w="1600"/>
            <w:shd w:fill="F4F1EA" w:val="clear"/>
            <w:tcMar>
              <w:top w:type="dxa" w:w="40"/>
              <w:left w:type="dxa" w:w="80"/>
              <w:bottom w:type="dxa" w:w="40"/>
              <w:right w:type="dxa" w:w="80"/>
            </w:tcMar>
          </w:tcPr>
          <w:p>
            <w:r>
              <w:rPr>
                <w:sz w:val="18"/>
                <w:szCs w:val="18"/>
              </w:rPr>
              <w:t xml:space="preserve">2024</w:t>
            </w:r>
          </w:p>
        </w:tc>
      </w:tr>
      <w:tr>
        <w:tc>
          <w:tcPr>
            <w:tcW w:type="dxa" w:w="2600"/>
            <w:shd w:fill="FFFFFF" w:val="clear"/>
            <w:tcMar>
              <w:top w:type="dxa" w:w="40"/>
              <w:left w:type="dxa" w:w="80"/>
              <w:bottom w:type="dxa" w:w="40"/>
              <w:right w:type="dxa" w:w="80"/>
            </w:tcMar>
          </w:tcPr>
          <w:p>
            <w:r>
              <w:rPr>
                <w:sz w:val="18"/>
                <w:szCs w:val="18"/>
              </w:rPr>
              <w:t xml:space="preserve">Försäkringskassan</w:t>
            </w:r>
          </w:p>
        </w:tc>
        <w:tc>
          <w:tcPr>
            <w:tcW w:type="dxa" w:w="4200"/>
            <w:shd w:fill="FFFFFF" w:val="clear"/>
            <w:tcMar>
              <w:top w:type="dxa" w:w="40"/>
              <w:left w:type="dxa" w:w="80"/>
              <w:bottom w:type="dxa" w:w="40"/>
              <w:right w:type="dxa" w:w="80"/>
            </w:tcMar>
          </w:tcPr>
          <w:p>
            <w:r>
              <w:rPr>
                <w:sz w:val="18"/>
                <w:szCs w:val="18"/>
              </w:rPr>
              <w:t xml:space="preserve">Föräldrapenning/sjukpenning max 1 259 kr/dag, högkostnadsskydd</w:t>
            </w:r>
          </w:p>
        </w:tc>
        <w:tc>
          <w:tcPr>
            <w:tcW w:type="dxa" w:w="1600"/>
            <w:shd w:fill="FFFFFF" w:val="clear"/>
            <w:tcMar>
              <w:top w:type="dxa" w:w="40"/>
              <w:left w:type="dxa" w:w="80"/>
              <w:bottom w:type="dxa" w:w="40"/>
              <w:right w:type="dxa" w:w="80"/>
            </w:tcMar>
          </w:tcPr>
          <w:p>
            <w:r>
              <w:rPr>
                <w:sz w:val="18"/>
                <w:szCs w:val="18"/>
              </w:rPr>
              <w:t xml:space="preserve">2026</w:t>
            </w:r>
          </w:p>
        </w:tc>
      </w:tr>
      <w:tr>
        <w:tc>
          <w:tcPr>
            <w:tcW w:type="dxa" w:w="2600"/>
            <w:shd w:fill="F4F1EA" w:val="clear"/>
            <w:tcMar>
              <w:top w:type="dxa" w:w="40"/>
              <w:left w:type="dxa" w:w="80"/>
              <w:bottom w:type="dxa" w:w="40"/>
              <w:right w:type="dxa" w:w="80"/>
            </w:tcMar>
          </w:tcPr>
          <w:p>
            <w:r>
              <w:rPr>
                <w:sz w:val="18"/>
                <w:szCs w:val="18"/>
              </w:rPr>
              <w:t xml:space="preserve">OECD PISA</w:t>
            </w:r>
          </w:p>
        </w:tc>
        <w:tc>
          <w:tcPr>
            <w:tcW w:type="dxa" w:w="4200"/>
            <w:shd w:fill="F4F1EA" w:val="clear"/>
            <w:tcMar>
              <w:top w:type="dxa" w:w="40"/>
              <w:left w:type="dxa" w:w="80"/>
              <w:bottom w:type="dxa" w:w="40"/>
              <w:right w:type="dxa" w:w="80"/>
            </w:tcMar>
          </w:tcPr>
          <w:p>
            <w:r>
              <w:rPr>
                <w:sz w:val="18"/>
                <w:szCs w:val="18"/>
              </w:rPr>
              <w:t xml:space="preserve">Matematik/läsning/naturvetenskap (Sverige 464/466/485)</w:t>
            </w:r>
          </w:p>
        </w:tc>
        <w:tc>
          <w:tcPr>
            <w:tcW w:type="dxa" w:w="1600"/>
            <w:shd w:fill="F4F1EA" w:val="clear"/>
            <w:tcMar>
              <w:top w:type="dxa" w:w="40"/>
              <w:left w:type="dxa" w:w="80"/>
              <w:bottom w:type="dxa" w:w="40"/>
              <w:right w:type="dxa" w:w="80"/>
            </w:tcMar>
          </w:tcPr>
          <w:p>
            <w:r>
              <w:rPr>
                <w:sz w:val="18"/>
                <w:szCs w:val="18"/>
              </w:rPr>
              <w:t xml:space="preserve">2025</w:t>
            </w:r>
          </w:p>
        </w:tc>
      </w:tr>
      <w:tr>
        <w:tc>
          <w:tcPr>
            <w:tcW w:type="dxa" w:w="2600"/>
            <w:shd w:fill="FFFFFF" w:val="clear"/>
            <w:tcMar>
              <w:top w:type="dxa" w:w="40"/>
              <w:left w:type="dxa" w:w="80"/>
              <w:bottom w:type="dxa" w:w="40"/>
              <w:right w:type="dxa" w:w="80"/>
            </w:tcMar>
          </w:tcPr>
          <w:p>
            <w:r>
              <w:rPr>
                <w:sz w:val="18"/>
                <w:szCs w:val="18"/>
              </w:rPr>
              <w:t xml:space="preserve">OECD Health at a Glance</w:t>
            </w:r>
          </w:p>
        </w:tc>
        <w:tc>
          <w:tcPr>
            <w:tcW w:type="dxa" w:w="4200"/>
            <w:shd w:fill="FFFFFF" w:val="clear"/>
            <w:tcMar>
              <w:top w:type="dxa" w:w="40"/>
              <w:left w:type="dxa" w:w="80"/>
              <w:bottom w:type="dxa" w:w="40"/>
              <w:right w:type="dxa" w:w="80"/>
            </w:tcMar>
          </w:tcPr>
          <w:p>
            <w:r>
              <w:rPr>
                <w:sz w:val="18"/>
                <w:szCs w:val="18"/>
              </w:rPr>
              <w:t xml:space="preserve">Medellivslängd, vårdutfall</w:t>
            </w:r>
          </w:p>
        </w:tc>
        <w:tc>
          <w:tcPr>
            <w:tcW w:type="dxa" w:w="1600"/>
            <w:shd w:fill="FFFFFF" w:val="clear"/>
            <w:tcMar>
              <w:top w:type="dxa" w:w="40"/>
              <w:left w:type="dxa" w:w="80"/>
              <w:bottom w:type="dxa" w:w="40"/>
              <w:right w:type="dxa" w:w="80"/>
            </w:tcMar>
          </w:tcPr>
          <w:p>
            <w:r>
              <w:rPr>
                <w:sz w:val="18"/>
                <w:szCs w:val="18"/>
              </w:rPr>
              <w:t xml:space="preserve">2025</w:t>
            </w:r>
          </w:p>
        </w:tc>
      </w:tr>
      <w:tr>
        <w:tc>
          <w:tcPr>
            <w:tcW w:type="dxa" w:w="2600"/>
            <w:shd w:fill="F4F1EA" w:val="clear"/>
            <w:tcMar>
              <w:top w:type="dxa" w:w="40"/>
              <w:left w:type="dxa" w:w="80"/>
              <w:bottom w:type="dxa" w:w="40"/>
              <w:right w:type="dxa" w:w="80"/>
            </w:tcMar>
          </w:tcPr>
          <w:p>
            <w:r>
              <w:rPr>
                <w:sz w:val="18"/>
                <w:szCs w:val="18"/>
              </w:rPr>
              <w:t xml:space="preserve">Riksgälden</w:t>
            </w:r>
          </w:p>
        </w:tc>
        <w:tc>
          <w:tcPr>
            <w:tcW w:type="dxa" w:w="4200"/>
            <w:shd w:fill="F4F1EA" w:val="clear"/>
            <w:tcMar>
              <w:top w:type="dxa" w:w="40"/>
              <w:left w:type="dxa" w:w="80"/>
              <w:bottom w:type="dxa" w:w="40"/>
              <w:right w:type="dxa" w:w="80"/>
            </w:tcMar>
          </w:tcPr>
          <w:p>
            <w:r>
              <w:rPr>
                <w:sz w:val="18"/>
                <w:szCs w:val="18"/>
              </w:rPr>
              <w:t xml:space="preserve">Statsskuld och räntekostnad 1980–2026</w:t>
            </w:r>
          </w:p>
        </w:tc>
        <w:tc>
          <w:tcPr>
            <w:tcW w:type="dxa" w:w="1600"/>
            <w:shd w:fill="F4F1EA" w:val="clear"/>
            <w:tcMar>
              <w:top w:type="dxa" w:w="40"/>
              <w:left w:type="dxa" w:w="80"/>
              <w:bottom w:type="dxa" w:w="40"/>
              <w:right w:type="dxa" w:w="80"/>
            </w:tcMar>
          </w:tcPr>
          <w:p>
            <w:r>
              <w:rPr>
                <w:sz w:val="18"/>
                <w:szCs w:val="18"/>
              </w:rPr>
              <w:t xml:space="preserve">2026</w:t>
            </w:r>
          </w:p>
        </w:tc>
      </w:tr>
      <w:tr>
        <w:tc>
          <w:tcPr>
            <w:tcW w:type="dxa" w:w="2600"/>
            <w:shd w:fill="FFFFFF" w:val="clear"/>
            <w:tcMar>
              <w:top w:type="dxa" w:w="40"/>
              <w:left w:type="dxa" w:w="80"/>
              <w:bottom w:type="dxa" w:w="40"/>
              <w:right w:type="dxa" w:w="80"/>
            </w:tcMar>
          </w:tcPr>
          <w:p>
            <w:r>
              <w:rPr>
                <w:sz w:val="18"/>
                <w:szCs w:val="18"/>
              </w:rPr>
              <w:t xml:space="preserve">AGENTA NTA (Wittgenstein Centre)</w:t>
            </w:r>
          </w:p>
        </w:tc>
        <w:tc>
          <w:tcPr>
            <w:tcW w:type="dxa" w:w="4200"/>
            <w:shd w:fill="FFFFFF" w:val="clear"/>
            <w:tcMar>
              <w:top w:type="dxa" w:w="40"/>
              <w:left w:type="dxa" w:w="80"/>
              <w:bottom w:type="dxa" w:w="40"/>
              <w:right w:type="dxa" w:w="80"/>
            </w:tcMar>
          </w:tcPr>
          <w:p>
            <w:r>
              <w:rPr>
                <w:sz w:val="18"/>
                <w:szCs w:val="18"/>
              </w:rPr>
              <w:t xml:space="preserve">Nordiska åldersprofiler sjukvård</w:t>
            </w:r>
          </w:p>
        </w:tc>
        <w:tc>
          <w:tcPr>
            <w:tcW w:type="dxa" w:w="1600"/>
            <w:shd w:fill="FFFFFF" w:val="clear"/>
            <w:tcMar>
              <w:top w:type="dxa" w:w="40"/>
              <w:left w:type="dxa" w:w="80"/>
              <w:bottom w:type="dxa" w:w="40"/>
              <w:right w:type="dxa" w:w="80"/>
            </w:tcMar>
          </w:tcPr>
          <w:p>
            <w:r>
              <w:rPr>
                <w:sz w:val="18"/>
                <w:szCs w:val="18"/>
              </w:rPr>
              <w:t xml:space="preserve">2010</w:t>
            </w:r>
          </w:p>
        </w:tc>
      </w:tr>
    </w:tbl>
    <w:p>
      <w:pPr>
        <w:pStyle w:val="Heading1"/>
        <w:spacing w:after="120" w:before="260"/>
      </w:pPr>
      <w:r>
        <w:rPr>
          <w:b/>
          <w:bCs/>
          <w:color w:val="1B4D3E"/>
        </w:rPr>
        <w:t xml:space="preserve">3. Förmånsmodell — välfärdstjänster per ålder</w:t>
      </w:r>
    </w:p>
    <w:p>
      <w:pPr>
        <w:pStyle w:val="Heading2"/>
        <w:spacing w:after="80" w:before="180"/>
      </w:pPr>
      <w:r>
        <w:rPr>
          <w:b/>
          <w:bCs/>
          <w:color w:val="1A1814"/>
        </w:rPr>
        <w:t xml:space="preserve">3.1 Livsfaser (LIVSFASER_V2)</w:t>
      </w:r>
    </w:p>
    <w:p>
      <w:pPr>
        <w:spacing w:after="120" w:line="276"/>
      </w:pPr>
      <w:r>
        <w:t xml:space="preserve">Den kanoniska datakällan är </w:t>
      </w:r>
      <w:r>
        <w:rPr>
          <w:b/>
          <w:bCs/>
        </w:rPr>
        <w:t xml:space="preserve">data/livsfaser_v2.json</w:t>
      </w:r>
      <w:r>
        <w:t xml:space="preserve"> — tio livsfaser (0–6, 7–15, 16–18, 19–25, 26–34, 35–44, 45–54, 55–64, 65–74, 75–85) med förmåner per år i fem kategorier, varje värde källhänvisat. Både webbplatsens JavaScript och det reproducerande Python-skriptet läser från denna fil, så de inte kan glida isär. Totalen kalibreras mot COFOG 2024 (3 011 Mdkr).</w:t>
      </w:r>
    </w:p>
    <w:p>
      <w:pPr>
        <w:pStyle w:val="Heading2"/>
        <w:spacing w:after="80" w:before="180"/>
      </w:pPr>
      <w:r>
        <w:rPr>
          <w:b/>
          <w:bCs/>
          <w:color w:val="1A1814"/>
        </w:rPr>
        <w:t xml:space="preserve">3.2 Utbildning (±5 %)</w:t>
      </w:r>
    </w:p>
    <w:p>
      <w:pPr>
        <w:spacing w:after="120" w:line="276"/>
      </w:pPr>
      <w:r>
        <w:t xml:space="preserve">Enhetskostnader direkt från Skolverket 2024 (förskola 185 tkr, grundskola 152 tkr, gymnasium 148 tkr, högskola 240 tkr/helårsstudent). Kalibrering: summa(profil × befolkning) ≈ 512 Mdkr (COFOG 2024).</w:t>
      </w:r>
    </w:p>
    <w:p>
      <w:pPr>
        <w:pStyle w:val="Heading2"/>
        <w:spacing w:after="80" w:before="180"/>
      </w:pPr>
      <w:r>
        <w:rPr>
          <w:b/>
          <w:bCs/>
          <w:color w:val="1A1814"/>
        </w:rPr>
        <w:t xml:space="preserve">3.3 Hälso- och sjukvård (±25 %)</w:t>
      </w:r>
    </w:p>
    <w:p>
      <w:pPr>
        <w:spacing w:after="120" w:line="276"/>
      </w:pPr>
      <w:r>
        <w:t xml:space="preserve">Total ~487 Mdkr (COFOG GF07). Åldersprofilen bygger på NTA-metodik (UN 2013) kalibrerad mot AGENTA-data (r &gt; 0,99 mot Danmark/Finland). Faktisk SKR KPP per åldersår är ännu inte publik — därav det breda intervallet (se avsnitt 8).</w:t>
      </w:r>
    </w:p>
    <w:p>
      <w:pPr>
        <w:pStyle w:val="Heading2"/>
        <w:spacing w:after="80" w:before="180"/>
      </w:pPr>
      <w:r>
        <w:rPr>
          <w:b/>
          <w:bCs/>
          <w:color w:val="1A1814"/>
        </w:rPr>
        <w:t xml:space="preserve">3.4 Social trygghet och äldreomsorg (±20 %)</w:t>
      </w:r>
    </w:p>
    <w:p>
      <w:pPr>
        <w:spacing w:after="120" w:line="276"/>
      </w:pPr>
      <w:r>
        <w:t xml:space="preserve">Uppdelad i äldreomsorg (~130 Mdkr, SKR), LSS/funktionshinder (~148 Mdkr, ESSPROS + FK) och övrigt socialt (~200 Mdkr, ESSPROS: föräldrapenning, barnbidrag, sjukförsäkring). Äldreomsorg koncentreras till 75+; övrigt socialt toppar 28–35 år.</w:t>
      </w:r>
    </w:p>
    <w:p>
      <w:pPr>
        <w:pStyle w:val="Heading2"/>
        <w:spacing w:after="80" w:before="180"/>
      </w:pPr>
      <w:r>
        <w:rPr>
          <w:b/>
          <w:bCs/>
          <w:color w:val="1A1814"/>
        </w:rPr>
        <w:t xml:space="preserve">3.5 Kollektiva nyttigheter (±10 %)</w:t>
      </w:r>
    </w:p>
    <w:p>
      <w:pPr>
        <w:spacing w:after="120" w:line="276"/>
      </w:pPr>
      <w:r>
        <w:t xml:space="preserve">Försvar, rättsväsende, infrastruktur och allmän förvaltning (~618 Mdkr, COFOG GF02–05) fördelas lika per capita — kollektiva nyttigheter kan inte meningsfullt tilldelas en åldersgrupp (UN NTA Manual 2013).</w:t>
      </w:r>
    </w:p>
    <w:p>
      <w:pPr>
        <w:pStyle w:val="Heading2"/>
        <w:spacing w:after="80" w:before="180"/>
      </w:pPr>
      <w:r>
        <w:rPr>
          <w:b/>
          <w:bCs/>
          <w:color w:val="1A1814"/>
        </w:rPr>
        <w:t xml:space="preserve">3.6 Hushållsdimension (ny sedan v1)</w:t>
      </w:r>
    </w:p>
    <w:p>
      <w:pPr>
        <w:spacing w:after="120" w:line="276"/>
      </w:pPr>
      <w:r>
        <w:t xml:space="preserve">Förmånerna justeras med hushållstyp-multiplikatorer (HOUSEHOLD_MULT, baserade på SCB FASIT 2022) för fyra typer: ensamstående, par utan barn, par med barn, ensamstående med barn. Detta var den enskilt största bristen i den externa granskningen och är nu åtgärdad.</w:t>
      </w:r>
    </w:p>
    <w:p>
      <w:pPr>
        <w:pStyle w:val="Heading2"/>
        <w:spacing w:after="80" w:before="180"/>
      </w:pPr>
      <w:r>
        <w:rPr>
          <w:b/>
          <w:bCs/>
          <w:color w:val="1A1814"/>
        </w:rPr>
        <w:t xml:space="preserve">3.7 Inkomstgradient (ny sedan v1)</w:t>
      </w:r>
    </w:p>
    <w:p>
      <w:pPr>
        <w:spacing w:after="120" w:line="276"/>
      </w:pPr>
      <w:r>
        <w:t xml:space="preserve">En decilbaserad multiplikator fångar att lägre inkomstdeciler konsumerar 20–40 % mer sjukvård och socialt skydd (SCB FASIT). Låginkomst &gt; 1, höginkomst &lt; 1 för sjukvård och sociala transfereringar.</w:t>
      </w:r>
    </w:p>
    <w:p>
      <w:pPr>
        <w:pStyle w:val="Heading1"/>
        <w:spacing w:after="120" w:before="260"/>
      </w:pPr>
      <w:r>
        <w:rPr>
          <w:b/>
          <w:bCs/>
          <w:color w:val="1B4D3E"/>
        </w:rPr>
        <w:t xml:space="preserve">4. Skattemodell (ny sedan v1)</w:t>
      </w:r>
    </w:p>
    <w:p>
      <w:pPr>
        <w:spacing w:after="120" w:line="276"/>
      </w:pPr>
      <w:r>
        <w:t xml:space="preserve">v1.0 saknade en egentlig skattemodell. Funktionen </w:t>
      </w:r>
      <w:r>
        <w:rPr>
          <w:b/>
          <w:bCs/>
        </w:rPr>
        <w:t xml:space="preserve">annualTax(ålder, inkomst)</w:t>
      </w:r>
      <w:r>
        <w:t xml:space="preserve"> beräknar nu individens totala skattebörda med 2026 års regler: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rPr>
          <w:tblHeader/>
        </w:trPr>
        <w:tc>
          <w:tcPr>
            <w:tcW w:type="dxa" w:w="2400"/>
            <w:shd w:fill="1B4D3E" w:val="clear"/>
            <w:tcMar>
              <w:top w:type="dxa" w:w="40"/>
              <w:left w:type="dxa" w:w="80"/>
              <w:bottom w:type="dxa" w:w="40"/>
              <w:right w:type="dxa" w:w="80"/>
            </w:tcMar>
          </w:tcPr>
          <w:p>
            <w:r>
              <w:rPr>
                <w:b/>
                <w:bCs/>
                <w:color w:val="FFFFFF"/>
                <w:sz w:val="18"/>
                <w:szCs w:val="18"/>
              </w:rPr>
              <w:t xml:space="preserve">Komponent</w:t>
            </w:r>
          </w:p>
        </w:tc>
        <w:tc>
          <w:tcPr>
            <w:tcW w:type="dxa" w:w="6000"/>
            <w:shd w:fill="1B4D3E" w:val="clear"/>
            <w:tcMar>
              <w:top w:type="dxa" w:w="40"/>
              <w:left w:type="dxa" w:w="80"/>
              <w:bottom w:type="dxa" w:w="40"/>
              <w:right w:type="dxa" w:w="80"/>
            </w:tcMar>
          </w:tcPr>
          <w:p>
            <w:r>
              <w:rPr>
                <w:b/>
                <w:bCs/>
                <w:color w:val="FFFFFF"/>
                <w:sz w:val="18"/>
                <w:szCs w:val="18"/>
              </w:rPr>
              <w:t xml:space="preserve">Modell</w:t>
            </w:r>
          </w:p>
        </w:tc>
      </w:tr>
      <w:tr>
        <w:tc>
          <w:tcPr>
            <w:tcW w:type="dxa" w:w="2400"/>
            <w:shd w:fill="FFFFFF" w:val="clear"/>
            <w:tcMar>
              <w:top w:type="dxa" w:w="40"/>
              <w:left w:type="dxa" w:w="80"/>
              <w:bottom w:type="dxa" w:w="40"/>
              <w:right w:type="dxa" w:w="80"/>
            </w:tcMar>
          </w:tcPr>
          <w:p>
            <w:r>
              <w:rPr>
                <w:sz w:val="18"/>
                <w:szCs w:val="18"/>
              </w:rPr>
              <w:t xml:space="preserve">Kommunalskatt</w:t>
            </w:r>
          </w:p>
        </w:tc>
        <w:tc>
          <w:tcPr>
            <w:tcW w:type="dxa" w:w="6000"/>
            <w:shd w:fill="FFFFFF" w:val="clear"/>
            <w:tcMar>
              <w:top w:type="dxa" w:w="40"/>
              <w:left w:type="dxa" w:w="80"/>
              <w:bottom w:type="dxa" w:w="40"/>
              <w:right w:type="dxa" w:w="80"/>
            </w:tcMar>
          </w:tcPr>
          <w:p>
            <w:r>
              <w:rPr>
                <w:sz w:val="18"/>
                <w:szCs w:val="18"/>
              </w:rPr>
              <w:t xml:space="preserve">Rikssnitt 32,38 % 2026 (SCB); väljbar per kommun 28,93–35,65 %. Grundavdrag enligt 67 kap IL (PBB 59,2 tkr).</w:t>
            </w:r>
          </w:p>
        </w:tc>
      </w:tr>
      <w:tr>
        <w:tc>
          <w:tcPr>
            <w:tcW w:type="dxa" w:w="2400"/>
            <w:shd w:fill="F4F1EA" w:val="clear"/>
            <w:tcMar>
              <w:top w:type="dxa" w:w="40"/>
              <w:left w:type="dxa" w:w="80"/>
              <w:bottom w:type="dxa" w:w="40"/>
              <w:right w:type="dxa" w:w="80"/>
            </w:tcMar>
          </w:tcPr>
          <w:p>
            <w:r>
              <w:rPr>
                <w:sz w:val="18"/>
                <w:szCs w:val="18"/>
              </w:rPr>
              <w:t xml:space="preserve">Statlig skatt</w:t>
            </w:r>
          </w:p>
        </w:tc>
        <w:tc>
          <w:tcPr>
            <w:tcW w:type="dxa" w:w="6000"/>
            <w:shd w:fill="F4F1EA" w:val="clear"/>
            <w:tcMar>
              <w:top w:type="dxa" w:w="40"/>
              <w:left w:type="dxa" w:w="80"/>
              <w:bottom w:type="dxa" w:w="40"/>
              <w:right w:type="dxa" w:w="80"/>
            </w:tcMar>
          </w:tcPr>
          <w:p>
            <w:r>
              <w:rPr>
                <w:sz w:val="18"/>
                <w:szCs w:val="18"/>
              </w:rPr>
              <w:t xml:space="preserve">20 % över skiktgränsen 643 tkr (2026).</w:t>
            </w:r>
          </w:p>
        </w:tc>
      </w:tr>
      <w:tr>
        <w:tc>
          <w:tcPr>
            <w:tcW w:type="dxa" w:w="2400"/>
            <w:shd w:fill="FFFFFF" w:val="clear"/>
            <w:tcMar>
              <w:top w:type="dxa" w:w="40"/>
              <w:left w:type="dxa" w:w="80"/>
              <w:bottom w:type="dxa" w:w="40"/>
              <w:right w:type="dxa" w:w="80"/>
            </w:tcMar>
          </w:tcPr>
          <w:p>
            <w:r>
              <w:rPr>
                <w:sz w:val="18"/>
                <w:szCs w:val="18"/>
              </w:rPr>
              <w:t xml:space="preserve">Arbetsgivaravgift</w:t>
            </w:r>
          </w:p>
        </w:tc>
        <w:tc>
          <w:tcPr>
            <w:tcW w:type="dxa" w:w="6000"/>
            <w:shd w:fill="FFFFFF" w:val="clear"/>
            <w:tcMar>
              <w:top w:type="dxa" w:w="40"/>
              <w:left w:type="dxa" w:w="80"/>
              <w:bottom w:type="dxa" w:w="40"/>
              <w:right w:type="dxa" w:w="80"/>
            </w:tcMar>
          </w:tcPr>
          <w:p>
            <w:r>
              <w:rPr>
                <w:sz w:val="18"/>
                <w:szCs w:val="18"/>
              </w:rPr>
              <w:t xml:space="preserve">21,21 % exkl. ålderspensionsavgift (standard); 31,42 % inkl. via toggle. Pensionsavgiften (10,21 %) ger individuell pensionsrätt.</w:t>
            </w:r>
          </w:p>
        </w:tc>
      </w:tr>
      <w:tr>
        <w:tc>
          <w:tcPr>
            <w:tcW w:type="dxa" w:w="2400"/>
            <w:shd w:fill="F4F1EA" w:val="clear"/>
            <w:tcMar>
              <w:top w:type="dxa" w:w="40"/>
              <w:left w:type="dxa" w:w="80"/>
              <w:bottom w:type="dxa" w:w="40"/>
              <w:right w:type="dxa" w:w="80"/>
            </w:tcMar>
          </w:tcPr>
          <w:p>
            <w:r>
              <w:rPr>
                <w:sz w:val="18"/>
                <w:szCs w:val="18"/>
              </w:rPr>
              <w:t xml:space="preserve">Jobbskatteavdrag</w:t>
            </w:r>
          </w:p>
        </w:tc>
        <w:tc>
          <w:tcPr>
            <w:tcW w:type="dxa" w:w="6000"/>
            <w:shd w:fill="F4F1EA" w:val="clear"/>
            <w:tcMar>
              <w:top w:type="dxa" w:w="40"/>
              <w:left w:type="dxa" w:w="80"/>
              <w:bottom w:type="dxa" w:w="40"/>
              <w:right w:type="dxa" w:w="80"/>
            </w:tcMar>
          </w:tcPr>
          <w:p>
            <w:r>
              <w:rPr>
                <w:sz w:val="18"/>
                <w:szCs w:val="18"/>
              </w:rPr>
              <w:t xml:space="preserve">Kalibrerat mot SKV skattetabell 32 (67 kap 5–7 §§ IL).</w:t>
            </w:r>
          </w:p>
        </w:tc>
      </w:tr>
      <w:tr>
        <w:tc>
          <w:tcPr>
            <w:tcW w:type="dxa" w:w="2400"/>
            <w:shd w:fill="FFFFFF" w:val="clear"/>
            <w:tcMar>
              <w:top w:type="dxa" w:w="40"/>
              <w:left w:type="dxa" w:w="80"/>
              <w:bottom w:type="dxa" w:w="40"/>
              <w:right w:type="dxa" w:w="80"/>
            </w:tcMar>
          </w:tcPr>
          <w:p>
            <w:r>
              <w:rPr>
                <w:sz w:val="18"/>
                <w:szCs w:val="18"/>
              </w:rPr>
              <w:t xml:space="preserve">Moms</w:t>
            </w:r>
          </w:p>
        </w:tc>
        <w:tc>
          <w:tcPr>
            <w:tcW w:type="dxa" w:w="6000"/>
            <w:shd w:fill="FFFFFF" w:val="clear"/>
            <w:tcMar>
              <w:top w:type="dxa" w:w="40"/>
              <w:left w:type="dxa" w:w="80"/>
              <w:bottom w:type="dxa" w:w="40"/>
              <w:right w:type="dxa" w:w="80"/>
            </w:tcMar>
          </w:tcPr>
          <w:p>
            <w:r>
              <w:rPr>
                <w:sz w:val="18"/>
                <w:szCs w:val="18"/>
              </w:rPr>
              <w:t xml:space="preserve">Konsumtionsbaserad: disponibel × ~0,85 × 18/118. Inkomstberoende sparkvot 5–25 %, effektiv moms 14,5–18,5 %.</w:t>
            </w:r>
          </w:p>
        </w:tc>
      </w:tr>
      <w:tr>
        <w:tc>
          <w:tcPr>
            <w:tcW w:type="dxa" w:w="2400"/>
            <w:shd w:fill="F4F1EA" w:val="clear"/>
            <w:tcMar>
              <w:top w:type="dxa" w:w="40"/>
              <w:left w:type="dxa" w:w="80"/>
              <w:bottom w:type="dxa" w:w="40"/>
              <w:right w:type="dxa" w:w="80"/>
            </w:tcMar>
          </w:tcPr>
          <w:p>
            <w:r>
              <w:rPr>
                <w:sz w:val="18"/>
                <w:szCs w:val="18"/>
              </w:rPr>
              <w:t xml:space="preserve">Kapitalinkomst</w:t>
            </w:r>
          </w:p>
        </w:tc>
        <w:tc>
          <w:tcPr>
            <w:tcW w:type="dxa" w:w="6000"/>
            <w:shd w:fill="F4F1EA" w:val="clear"/>
            <w:tcMar>
              <w:top w:type="dxa" w:w="40"/>
              <w:left w:type="dxa" w:w="80"/>
              <w:bottom w:type="dxa" w:w="40"/>
              <w:right w:type="dxa" w:w="80"/>
            </w:tcMar>
          </w:tcPr>
          <w:p>
            <w:r>
              <w:rPr>
                <w:sz w:val="18"/>
                <w:szCs w:val="18"/>
              </w:rPr>
              <w:t xml:space="preserve">Frivillig: 30 % schablon på direktägd portfölj (utdelning, ränta, realiserad vinst). ISK/KF noteras separat.</w:t>
            </w:r>
          </w:p>
        </w:tc>
      </w:tr>
      <w:tr>
        <w:tc>
          <w:tcPr>
            <w:tcW w:type="dxa" w:w="2400"/>
            <w:shd w:fill="FFFFFF" w:val="clear"/>
            <w:tcMar>
              <w:top w:type="dxa" w:w="40"/>
              <w:left w:type="dxa" w:w="80"/>
              <w:bottom w:type="dxa" w:w="40"/>
              <w:right w:type="dxa" w:w="80"/>
            </w:tcMar>
          </w:tcPr>
          <w:p>
            <w:r>
              <w:rPr>
                <w:sz w:val="18"/>
                <w:szCs w:val="18"/>
              </w:rPr>
              <w:t xml:space="preserve">Pensionärsskatt</w:t>
            </w:r>
          </w:p>
        </w:tc>
        <w:tc>
          <w:tcPr>
            <w:tcW w:type="dxa" w:w="6000"/>
            <w:shd w:fill="FFFFFF" w:val="clear"/>
            <w:tcMar>
              <w:top w:type="dxa" w:w="40"/>
              <w:left w:type="dxa" w:w="80"/>
              <w:bottom w:type="dxa" w:w="40"/>
              <w:right w:type="dxa" w:w="80"/>
            </w:tcMar>
          </w:tcPr>
          <w:p>
            <w:r>
              <w:rPr>
                <w:sz w:val="18"/>
                <w:szCs w:val="18"/>
              </w:rPr>
              <w:t xml:space="preserve">Förhöjt grundavdrag, ingen arbetsgivaravgift, inget jobbskatteavdrag (≥66 år).</w:t>
            </w:r>
          </w:p>
        </w:tc>
      </w:tr>
    </w:tbl>
    <w:p>
      <w:pPr>
        <w:pStyle w:val="Heading1"/>
        <w:spacing w:after="120" w:before="260"/>
      </w:pPr>
      <w:r>
        <w:rPr>
          <w:b/>
          <w:bCs/>
          <w:color w:val="1B4D3E"/>
        </w:rPr>
        <w:t xml:space="preserve">5. Livscykelmodell (ny sedan v1)</w:t>
      </w:r>
    </w:p>
    <w:p>
      <w:pPr>
        <w:pStyle w:val="Heading2"/>
        <w:spacing w:after="80" w:before="180"/>
      </w:pPr>
      <w:r>
        <w:rPr>
          <w:b/>
          <w:bCs/>
          <w:color w:val="1A1814"/>
        </w:rPr>
        <w:t xml:space="preserve">5.1 Inkomstprofil</w:t>
      </w:r>
    </w:p>
    <w:p>
      <w:pPr>
        <w:spacing w:after="120" w:line="276"/>
      </w:pPr>
      <w:r>
        <w:t xml:space="preserve">Standardprofilen: 0 (0–18), 20 % av topp (19–22), linjär uppgång (23–26), platå (27–64), därefter pension. Alternativa karriärprofiler (kort/lång utbildning, avbruten karriär) finns i koden.</w:t>
      </w:r>
    </w:p>
    <w:p>
      <w:pPr>
        <w:pStyle w:val="Heading2"/>
        <w:spacing w:after="80" w:before="180"/>
      </w:pPr>
      <w:r>
        <w:rPr>
          <w:b/>
          <w:bCs/>
          <w:color w:val="1A1814"/>
        </w:rPr>
        <w:t xml:space="preserve">5.2 Inkomstdifferentierad pensionskvot</w:t>
      </w:r>
    </w:p>
    <w:p>
      <w:pPr>
        <w:spacing w:after="120" w:line="276"/>
      </w:pPr>
      <w:r>
        <w:t xml:space="preserve">Pensionen (kompensationsgrad mot slutlön) differentieras efter inkomst (Pensionsmyndighetens typfall): låginkomsttagare skyddas av garantipensionen (~80 % vid 65–74), höginkomsttagare tappar över inkomstpensionstaket (~52–55 %); ~18 procentenheter lägre vid 75+. Medianinkomst (~500 tkr) ger ~69 %/51 % — i linje med den tidigare schablonen 70 %/50 %.</w:t>
      </w:r>
    </w:p>
    <w:p>
      <w:pPr>
        <w:pStyle w:val="Heading2"/>
        <w:spacing w:after="80" w:before="180"/>
      </w:pPr>
      <w:r>
        <w:rPr>
          <w:b/>
          <w:bCs/>
          <w:color w:val="1A1814"/>
        </w:rPr>
        <w:t xml:space="preserve">5.3 Årsflödesdiagram</w:t>
      </w:r>
    </w:p>
    <w:p>
      <w:pPr>
        <w:spacing w:after="120" w:line="276"/>
      </w:pPr>
      <w:r>
        <w:t xml:space="preserve">Diagrammet visar </w:t>
      </w:r>
      <w:r>
        <w:rPr>
          <w:b/>
          <w:bCs/>
        </w:rPr>
        <w:t xml:space="preserve">årliga</w:t>
      </w:r>
      <w:r>
        <w:t xml:space="preserve"> förmåner respektive skatt per ålder — inte en ackumulerad summa. Den ackumulerade vyn (v2.0–v2.1) gav barndomens förmånsförsprång en falsk permanent övervikt; årsvyn visar i stället de två korsningspunkterna: nettobidragsgivare från ~26 år och åter mottagare från ~65 år. Kumulativa belopp (calcCumulativeNet) diskonteras till nuvärde med 2 % real.</w:t>
      </w:r>
    </w:p>
    <w:p>
      <w:pPr>
        <w:pStyle w:val="Heading1"/>
        <w:spacing w:after="120" w:before="260"/>
      </w:pPr>
      <w:r>
        <w:rPr>
          <w:b/>
          <w:bCs/>
          <w:color w:val="1B4D3E"/>
        </w:rPr>
        <w:t xml:space="preserve">6. Validering och kvalitetssäkring</w:t>
      </w:r>
    </w:p>
    <w:p>
      <w:pPr>
        <w:pStyle w:val="Heading2"/>
        <w:spacing w:after="80" w:before="180"/>
      </w:pPr>
      <w:r>
        <w:rPr>
          <w:b/>
          <w:bCs/>
          <w:color w:val="1A1814"/>
        </w:rPr>
        <w:t xml:space="preserve">6.1 Makrokontroller mot COFOG</w:t>
      </w:r>
    </w:p>
    <w:p>
      <w:pPr>
        <w:spacing w:after="120" w:line="276"/>
      </w:pPr>
      <w:r>
        <w:t xml:space="preserve">Varje förmånskategori kalibreras mot oberoende makrototaler (utbildning 512, sjukvård 487, äldreomsorg 130, LSS 148, övrigt socialt 200, kollektivt 618 Mdkr).</w:t>
      </w:r>
    </w:p>
    <w:p>
      <w:pPr>
        <w:pStyle w:val="Heading2"/>
        <w:spacing w:after="80" w:before="180"/>
      </w:pPr>
      <w:r>
        <w:rPr>
          <w:b/>
          <w:bCs/>
          <w:color w:val="1A1814"/>
        </w:rPr>
        <w:t xml:space="preserve">6.2 Automatisk datasynk (ny sedan v1)</w:t>
      </w:r>
    </w:p>
    <w:p>
      <w:pPr>
        <w:spacing w:after="120" w:line="276"/>
      </w:pPr>
      <w:r>
        <w:t xml:space="preserve">Skriptet </w:t>
      </w:r>
      <w:r>
        <w:rPr>
          <w:b/>
          <w:bCs/>
        </w:rPr>
        <w:t xml:space="preserve">scripts/verify_data_sync.py</w:t>
      </w:r>
      <w:r>
        <w:t xml:space="preserve"> kör 13 kontroller som förhindrar att inline-data i index.html tyst divergerar från data/*.json (statsskuld, befolkning, Gini, sjukfrånvaro, BDATA-summa vs BP2026, COFOG-andelar = 100 %). Nytt: en makroavstämning mot SCB:s sektorräkenskaper (COFOG-total 3 011 Mdkr, skattekvot 41,4 % 2024) som flaggar drift &gt; 5 %.</w:t>
      </w:r>
    </w:p>
    <w:p>
      <w:pPr>
        <w:pStyle w:val="Heading2"/>
        <w:spacing w:after="80" w:before="180"/>
      </w:pPr>
      <w:r>
        <w:rPr>
          <w:b/>
          <w:bCs/>
          <w:color w:val="1A1814"/>
        </w:rPr>
        <w:t xml:space="preserve">6.3 Nordisk NTA och FASIT/Gini</w:t>
      </w:r>
    </w:p>
    <w:p>
      <w:pPr>
        <w:spacing w:after="120" w:line="276"/>
      </w:pPr>
      <w:r>
        <w:t xml:space="preserve">Sjukvårdsprofilen jämförs mot AGENTA NTA 2010 (r &gt; 0,99). FASIT visar att Gini för disponibel inkomst sjunker ~12 % när välfärdstjänster adderas; modellen reproducerar att barnfamiljer och pensionärer är nettotagare och sammanboende utan barn nettobidragsgivare.</w:t>
      </w:r>
    </w:p>
    <w:p>
      <w:pPr>
        <w:pStyle w:val="Heading2"/>
        <w:spacing w:after="80" w:before="180"/>
      </w:pPr>
      <w:r>
        <w:rPr>
          <w:b/>
          <w:bCs/>
          <w:color w:val="1A1814"/>
        </w:rPr>
        <w:t xml:space="preserve">6.4 Externa granskningar</w:t>
      </w:r>
    </w:p>
    <w:p>
      <w:pPr>
        <w:spacing w:after="120" w:line="276"/>
      </w:pPr>
      <w:r>
        <w:t xml:space="preserve">Två oberoende granskningar (en dubbelperspektiv-granskning mars 2026 och en 14-punkts modellgranskning maj 2026 av nationalekonom/statistiker) har genomförts. Flertalet rekommendationer är åtgärdade: hushållsdimension, inkomstgradient, karriärprofiler, kapitalskatt, åldersdifferentierad arbetsgivaravgift, sensitivitetsanalys, delnings-URL och uppdelad COFOG-redovisning.</w:t>
      </w:r>
    </w:p>
    <w:p>
      <w:pPr>
        <w:pStyle w:val="Heading1"/>
        <w:spacing w:after="120" w:before="260"/>
      </w:pPr>
      <w:r>
        <w:rPr>
          <w:b/>
          <w:bCs/>
          <w:color w:val="1B4D3E"/>
        </w:rPr>
        <w:t xml:space="preserve">7. Osäkerhet och konfidensintervall</w:t>
      </w:r>
    </w:p>
    <w:p>
      <w:pPr>
        <w:spacing w:after="120" w:line="276"/>
      </w:pPr>
      <w:r>
        <w:t xml:space="preserve">Konfidensintervallen är en </w:t>
      </w:r>
      <w:r>
        <w:rPr>
          <w:b/>
          <w:bCs/>
        </w:rPr>
        <w:t xml:space="preserve">bedömd osäkerhetsenvelopp</w:t>
      </w:r>
      <w:r>
        <w:t xml:space="preserve">, inte formella konfidensintervall. Förmåner ±20–25 % speglar variationskoefficienten i SCB FASIT:s decildata och SKR KPP:s regionala spridning, dominerad av NTA-viktningen (±25 %). Skatt ±10–15 % speglar kommunalskattespridningen (28,9–35,7 %, ±~5 % kring rikssnittet) plus grundavdrags- och jobbskatteavdragsapproximationer. En Monte Carlo-simulering (med korrelation mellan sjukvård och äldreomsorg) återstår och skulle ge kvantitativt stöd.</w:t>
      </w:r>
    </w:p>
    <w:p>
      <w:pPr>
        <w:pStyle w:val="Heading1"/>
        <w:spacing w:after="120" w:before="260"/>
      </w:pPr>
      <w:r>
        <w:rPr>
          <w:b/>
          <w:bCs/>
          <w:color w:val="1B4D3E"/>
        </w:rPr>
        <w:t xml:space="preserve">8. Begränsningar och metodkritik</w:t>
      </w:r>
    </w:p>
    <w:p>
      <w:pPr>
        <w:pStyle w:val="ListParagraph"/>
        <w:numPr>
          <w:ilvl w:val="0"/>
          <w:numId w:val="1"/>
        </w:numPr>
        <w:spacing w:after="60" w:line="264"/>
      </w:pPr>
      <w:r>
        <w:t xml:space="preserve">SKR KPP per åldersår är ännu inte publik — sjukvårdsprofilen är NTA-vikter, inte registerdata (±25 %).</w:t>
      </w:r>
    </w:p>
    <w:p>
      <w:pPr>
        <w:pStyle w:val="ListParagraph"/>
        <w:numPr>
          <w:ilvl w:val="0"/>
          <w:numId w:val="1"/>
        </w:numPr>
        <w:spacing w:after="60" w:line="264"/>
      </w:pPr>
      <w:r>
        <w:t xml:space="preserve">Inkomstpension (~800 Mdkr) ingår inte; pensionsavgiften exkluderas symmetriskt.</w:t>
      </w:r>
    </w:p>
    <w:p>
      <w:pPr>
        <w:pStyle w:val="ListParagraph"/>
        <w:numPr>
          <w:ilvl w:val="0"/>
          <w:numId w:val="1"/>
        </w:numPr>
        <w:spacing w:after="60" w:line="264"/>
      </w:pPr>
      <w:r>
        <w:t xml:space="preserve">Konfidensintervallen är expertbedömningar, ej Monte Carlo (avsnitt 7).</w:t>
      </w:r>
    </w:p>
    <w:p>
      <w:pPr>
        <w:pStyle w:val="ListParagraph"/>
        <w:numPr>
          <w:ilvl w:val="0"/>
          <w:numId w:val="1"/>
        </w:numPr>
        <w:spacing w:after="60" w:line="264"/>
      </w:pPr>
      <w:r>
        <w:t xml:space="preserve">Den som arbetar vidare efter 66 får ett förstärkt jobbskatteavdrag som modellen inte applicerar (antar pensionsinkomst vid 65+); fel ~5–10 tkr/år för gruppen.</w:t>
      </w:r>
    </w:p>
    <w:p>
      <w:pPr>
        <w:pStyle w:val="ListParagraph"/>
        <w:numPr>
          <w:ilvl w:val="0"/>
          <w:numId w:val="1"/>
        </w:numPr>
        <w:spacing w:after="60" w:line="264"/>
      </w:pPr>
      <w:r>
        <w:t xml:space="preserve">Tvärsnitt + livscykel blandas: livscykeln kräver starka antaganden om framtida regler och bör läsas som mönster, inte exakt kalkyl.</w:t>
      </w:r>
    </w:p>
    <w:p>
      <w:pPr>
        <w:pStyle w:val="ListParagraph"/>
        <w:numPr>
          <w:ilvl w:val="0"/>
          <w:numId w:val="1"/>
        </w:numPr>
        <w:spacing w:after="60" w:line="264"/>
      </w:pPr>
      <w:r>
        <w:t xml:space="preserve">AGENTA NTA för Norden baseras på 2010; strukturella förändringar sedan dess fångas inte i jämförelsedata.</w:t>
      </w:r>
    </w:p>
    <w:p>
      <w:pPr>
        <w:pStyle w:val="ListParagraph"/>
        <w:numPr>
          <w:ilvl w:val="0"/>
          <w:numId w:val="1"/>
        </w:numPr>
        <w:spacing w:after="60" w:line="264"/>
      </w:pPr>
      <w:r>
        <w:t xml:space="preserve">Statsbudgeten bygger på BP2026 (prop. 2025/26:1); BP2027 ännu ej inarbetad (väntar på utgiftsområdestabellen).</w:t>
      </w:r>
    </w:p>
    <w:p>
      <w:pPr>
        <w:pStyle w:val="Heading1"/>
        <w:spacing w:after="120" w:before="260"/>
      </w:pPr>
      <w:r>
        <w:rPr>
          <w:b/>
          <w:bCs/>
          <w:color w:val="1B4D3E"/>
        </w:rPr>
        <w:t xml:space="preserve">9. Ändringslogg sedan v1.0</w:t>
      </w:r>
    </w:p>
    <w:p>
      <w:pPr>
        <w:spacing w:after="120" w:line="276"/>
      </w:pPr>
      <w:r>
        <w:t xml:space="preserve">Nedan sammanfattas de väsentliga förändringarna sedan metodrapport v1.0 (mars 2026).</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5800"/>
      </w:tblGrid>
      <w:tr>
        <w:trPr>
          <w:tblHeader/>
        </w:trPr>
        <w:tc>
          <w:tcPr>
            <w:tcW w:type="dxa" w:w="2600"/>
            <w:shd w:fill="1B4D3E" w:val="clear"/>
            <w:tcMar>
              <w:top w:type="dxa" w:w="40"/>
              <w:left w:type="dxa" w:w="80"/>
              <w:bottom w:type="dxa" w:w="40"/>
              <w:right w:type="dxa" w:w="80"/>
            </w:tcMar>
          </w:tcPr>
          <w:p>
            <w:r>
              <w:rPr>
                <w:b/>
                <w:bCs/>
                <w:color w:val="FFFFFF"/>
                <w:sz w:val="18"/>
                <w:szCs w:val="18"/>
              </w:rPr>
              <w:t xml:space="preserve">Version / period</w:t>
            </w:r>
          </w:p>
        </w:tc>
        <w:tc>
          <w:tcPr>
            <w:tcW w:type="dxa" w:w="5800"/>
            <w:shd w:fill="1B4D3E" w:val="clear"/>
            <w:tcMar>
              <w:top w:type="dxa" w:w="40"/>
              <w:left w:type="dxa" w:w="80"/>
              <w:bottom w:type="dxa" w:w="40"/>
              <w:right w:type="dxa" w:w="80"/>
            </w:tcMar>
          </w:tcPr>
          <w:p>
            <w:r>
              <w:rPr>
                <w:b/>
                <w:bCs/>
                <w:color w:val="FFFFFF"/>
                <w:sz w:val="18"/>
                <w:szCs w:val="18"/>
              </w:rPr>
              <w:t xml:space="preserve">Väsentliga ändringar</w:t>
            </w:r>
          </w:p>
        </w:tc>
      </w:tr>
      <w:tr>
        <w:tc>
          <w:tcPr>
            <w:tcW w:type="dxa" w:w="2600"/>
            <w:shd w:fill="FFFFFF" w:val="clear"/>
            <w:tcMar>
              <w:top w:type="dxa" w:w="40"/>
              <w:left w:type="dxa" w:w="80"/>
              <w:bottom w:type="dxa" w:w="40"/>
              <w:right w:type="dxa" w:w="80"/>
            </w:tcMar>
          </w:tcPr>
          <w:p>
            <w:r>
              <w:rPr>
                <w:sz w:val="18"/>
                <w:szCs w:val="18"/>
              </w:rPr>
              <w:t xml:space="preserve">v2.0 (mars 2026)</w:t>
            </w:r>
          </w:p>
        </w:tc>
        <w:tc>
          <w:tcPr>
            <w:tcW w:type="dxa" w:w="5800"/>
            <w:shd w:fill="FFFFFF" w:val="clear"/>
            <w:tcMar>
              <w:top w:type="dxa" w:w="40"/>
              <w:left w:type="dxa" w:w="80"/>
              <w:bottom w:type="dxa" w:w="40"/>
              <w:right w:type="dxa" w:w="80"/>
            </w:tcMar>
          </w:tcPr>
          <w:p>
            <w:r>
              <w:rPr>
                <w:sz w:val="18"/>
                <w:szCs w:val="18"/>
              </w:rPr>
              <w:t xml:space="preserve">Ny skattemodell (annualTax), livscykelmodell 0–85, scenariokalkylator, hero-snabbkoll, OECD-sektion, a11y &amp; SEO, Gini med fyra mått, transparens-JSON.</w:t>
            </w:r>
          </w:p>
        </w:tc>
      </w:tr>
      <w:tr>
        <w:tc>
          <w:tcPr>
            <w:tcW w:type="dxa" w:w="2600"/>
            <w:shd w:fill="F4F1EA" w:val="clear"/>
            <w:tcMar>
              <w:top w:type="dxa" w:w="40"/>
              <w:left w:type="dxa" w:w="80"/>
              <w:bottom w:type="dxa" w:w="40"/>
              <w:right w:type="dxa" w:w="80"/>
            </w:tcMar>
          </w:tcPr>
          <w:p>
            <w:r>
              <w:rPr>
                <w:sz w:val="18"/>
                <w:szCs w:val="18"/>
              </w:rPr>
              <w:t xml:space="preserve">v2.1 (maj 2026)</w:t>
            </w:r>
          </w:p>
        </w:tc>
        <w:tc>
          <w:tcPr>
            <w:tcW w:type="dxa" w:w="5800"/>
            <w:shd w:fill="F4F1EA" w:val="clear"/>
            <w:tcMar>
              <w:top w:type="dxa" w:w="40"/>
              <w:left w:type="dxa" w:w="80"/>
              <w:bottom w:type="dxa" w:w="40"/>
              <w:right w:type="dxa" w:w="80"/>
            </w:tcMar>
          </w:tcPr>
          <w:p>
            <w:r>
              <w:rPr>
                <w:sz w:val="18"/>
                <w:szCs w:val="18"/>
              </w:rPr>
              <w:t xml:space="preserve">LIVSFASER_V2 som enda sanningskälla; synkad skattemodell JS/Python; pensionsavgift-toggle; verifieringstest.</w:t>
            </w:r>
          </w:p>
        </w:tc>
      </w:tr>
      <w:tr>
        <w:tc>
          <w:tcPr>
            <w:tcW w:type="dxa" w:w="2600"/>
            <w:shd w:fill="FFFFFF" w:val="clear"/>
            <w:tcMar>
              <w:top w:type="dxa" w:w="40"/>
              <w:left w:type="dxa" w:w="80"/>
              <w:bottom w:type="dxa" w:w="40"/>
              <w:right w:type="dxa" w:w="80"/>
            </w:tcMar>
          </w:tcPr>
          <w:p>
            <w:r>
              <w:rPr>
                <w:sz w:val="18"/>
                <w:szCs w:val="18"/>
              </w:rPr>
              <w:t xml:space="preserve">Modellförbättringar (maj 2026)</w:t>
            </w:r>
          </w:p>
        </w:tc>
        <w:tc>
          <w:tcPr>
            <w:tcW w:type="dxa" w:w="5800"/>
            <w:shd w:fill="FFFFFF" w:val="clear"/>
            <w:tcMar>
              <w:top w:type="dxa" w:w="40"/>
              <w:left w:type="dxa" w:w="80"/>
              <w:bottom w:type="dxa" w:w="40"/>
              <w:right w:type="dxa" w:w="80"/>
            </w:tcMar>
          </w:tcPr>
          <w:p>
            <w:r>
              <w:rPr>
                <w:sz w:val="18"/>
                <w:szCs w:val="18"/>
              </w:rPr>
              <w:t xml:space="preserve">Hushållstyper (FASIT), inkomstgradient (decil), karriärprofiler, kapitalskatt, sensitivitetsanalys (tornado), 2 % diskontering. Datasynk-skript (verify_data_sync.py). Mortalitetsöverlagring.</w:t>
            </w:r>
          </w:p>
        </w:tc>
      </w:tr>
      <w:tr>
        <w:tc>
          <w:tcPr>
            <w:tcW w:type="dxa" w:w="2600"/>
            <w:shd w:fill="F4F1EA" w:val="clear"/>
            <w:tcMar>
              <w:top w:type="dxa" w:w="40"/>
              <w:left w:type="dxa" w:w="80"/>
              <w:bottom w:type="dxa" w:w="40"/>
              <w:right w:type="dxa" w:w="80"/>
            </w:tcMar>
          </w:tcPr>
          <w:p>
            <w:r>
              <w:rPr>
                <w:sz w:val="18"/>
                <w:szCs w:val="18"/>
              </w:rPr>
              <w:t xml:space="preserve">BP2026-uppdatering (juni 2026)</w:t>
            </w:r>
          </w:p>
        </w:tc>
        <w:tc>
          <w:tcPr>
            <w:tcW w:type="dxa" w:w="5800"/>
            <w:shd w:fill="F4F1EA" w:val="clear"/>
            <w:tcMar>
              <w:top w:type="dxa" w:w="40"/>
              <w:left w:type="dxa" w:w="80"/>
              <w:bottom w:type="dxa" w:w="40"/>
              <w:right w:type="dxa" w:w="80"/>
            </w:tcMar>
          </w:tcPr>
          <w:p>
            <w:r>
              <w:rPr>
                <w:sz w:val="18"/>
                <w:szCs w:val="18"/>
              </w:rPr>
              <w:t xml:space="preserve">Statsbudget, statsskuld (1 316 Mdkr 2026), skatteparametrar 2026 (PBB 59,2, skiktgräns 643 tkr), FK-belopp 2026, högkostnadsskydd 1 450 kr, skatteutgifter (Skr 2025/26:98).</w:t>
            </w:r>
          </w:p>
        </w:tc>
      </w:tr>
      <w:tr>
        <w:tc>
          <w:tcPr>
            <w:tcW w:type="dxa" w:w="2600"/>
            <w:shd w:fill="FFFFFF" w:val="clear"/>
            <w:tcMar>
              <w:top w:type="dxa" w:w="40"/>
              <w:left w:type="dxa" w:w="80"/>
              <w:bottom w:type="dxa" w:w="40"/>
              <w:right w:type="dxa" w:w="80"/>
            </w:tcMar>
          </w:tcPr>
          <w:p>
            <w:r>
              <w:rPr>
                <w:sz w:val="18"/>
                <w:szCs w:val="18"/>
              </w:rPr>
              <w:t xml:space="preserve">Designomarbetning (juni 2026 → okt 2026)</w:t>
            </w:r>
          </w:p>
        </w:tc>
        <w:tc>
          <w:tcPr>
            <w:tcW w:type="dxa" w:w="5800"/>
            <w:shd w:fill="FFFFFF" w:val="clear"/>
            <w:tcMar>
              <w:top w:type="dxa" w:w="40"/>
              <w:left w:type="dxa" w:w="80"/>
              <w:bottom w:type="dxa" w:w="40"/>
              <w:right w:type="dxa" w:w="80"/>
            </w:tcMar>
          </w:tcPr>
          <w:p>
            <w:r>
              <w:rPr>
                <w:sz w:val="18"/>
                <w:szCs w:val="18"/>
              </w:rPr>
              <w:t xml:space="preserve">Typografi Source Serif 4 + Inter, designsystem, Om oss-sektion.</w:t>
            </w:r>
          </w:p>
        </w:tc>
      </w:tr>
      <w:tr>
        <w:tc>
          <w:tcPr>
            <w:tcW w:type="dxa" w:w="2600"/>
            <w:shd w:fill="F4F1EA" w:val="clear"/>
            <w:tcMar>
              <w:top w:type="dxa" w:w="40"/>
              <w:left w:type="dxa" w:w="80"/>
              <w:bottom w:type="dxa" w:w="40"/>
              <w:right w:type="dxa" w:w="80"/>
            </w:tcMar>
          </w:tcPr>
          <w:p>
            <w:r>
              <w:rPr>
                <w:sz w:val="18"/>
                <w:szCs w:val="18"/>
              </w:rPr>
              <w:t xml:space="preserve">Genomlysning (okt 2026)</w:t>
            </w:r>
          </w:p>
        </w:tc>
        <w:tc>
          <w:tcPr>
            <w:tcW w:type="dxa" w:w="5800"/>
            <w:shd w:fill="F4F1EA" w:val="clear"/>
            <w:tcMar>
              <w:top w:type="dxa" w:w="40"/>
              <w:left w:type="dxa" w:w="80"/>
              <w:bottom w:type="dxa" w:w="40"/>
              <w:right w:type="dxa" w:w="80"/>
            </w:tcMar>
          </w:tcPr>
          <w:p>
            <w:r>
              <w:rPr>
                <w:sz w:val="18"/>
                <w:szCs w:val="18"/>
              </w:rPr>
              <w:t xml:space="preserve">Livscykeldiagram → årsflöden (två korsningar). Kommunväljare (SCB 2026). Inkomstdifferentierad pensionskvot. SCB-makroavstämning i verify-skriptet. Formaliserade osäkerhetsintervall. Harmoniserad prisårgång (förmåner 2024 års priser). Delnings-URL återskapar hela vyn. Prislista 25 → 36 poster.</w:t>
            </w:r>
          </w:p>
        </w:tc>
      </w:tr>
      <w:tr>
        <w:tc>
          <w:tcPr>
            <w:tcW w:type="dxa" w:w="2600"/>
            <w:shd w:fill="FFFFFF" w:val="clear"/>
            <w:tcMar>
              <w:top w:type="dxa" w:w="40"/>
              <w:left w:type="dxa" w:w="80"/>
              <w:bottom w:type="dxa" w:w="40"/>
              <w:right w:type="dxa" w:w="80"/>
            </w:tcMar>
          </w:tcPr>
          <w:p>
            <w:r>
              <w:rPr>
                <w:sz w:val="18"/>
                <w:szCs w:val="18"/>
              </w:rPr>
              <w:t xml:space="preserve">Faktauppdateringar (okt 2026)</w:t>
            </w:r>
          </w:p>
        </w:tc>
        <w:tc>
          <w:tcPr>
            <w:tcW w:type="dxa" w:w="5800"/>
            <w:shd w:fill="FFFFFF" w:val="clear"/>
            <w:tcMar>
              <w:top w:type="dxa" w:w="40"/>
              <w:left w:type="dxa" w:w="80"/>
              <w:bottom w:type="dxa" w:w="40"/>
              <w:right w:type="dxa" w:w="80"/>
            </w:tcMar>
          </w:tcPr>
          <w:p>
            <w:r>
              <w:rPr>
                <w:sz w:val="18"/>
                <w:szCs w:val="18"/>
              </w:rPr>
              <w:t xml:space="preserve">PISA 2025 (Sverige 464/466/485, publ. 2026-09-08). Tandvård gratis t.o.m. 19 år (sänkt från 23, prop. 2023/24:158). Förnybar el ~70 % / 99 % fossilfri. Rättade faktafel i "Visste du att".</w:t>
            </w:r>
          </w:p>
        </w:tc>
      </w:tr>
    </w:tbl>
    <w:p>
      <w:pPr>
        <w:pStyle w:val="Heading1"/>
        <w:spacing w:after="120" w:before="260"/>
      </w:pPr>
      <w:r>
        <w:rPr>
          <w:b/>
          <w:bCs/>
          <w:color w:val="1B4D3E"/>
        </w:rPr>
        <w:t xml:space="preserve">10. Framtida förbättringsplan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400"/>
        <w:gridCol w:w="2000"/>
      </w:tblGrid>
      <w:tr>
        <w:trPr>
          <w:tblHeader/>
        </w:trPr>
        <w:tc>
          <w:tcPr>
            <w:tcW w:type="dxa" w:w="6400"/>
            <w:shd w:fill="1B4D3E" w:val="clear"/>
            <w:tcMar>
              <w:top w:type="dxa" w:w="40"/>
              <w:left w:type="dxa" w:w="80"/>
              <w:bottom w:type="dxa" w:w="40"/>
              <w:right w:type="dxa" w:w="80"/>
            </w:tcMar>
          </w:tcPr>
          <w:p>
            <w:r>
              <w:rPr>
                <w:b/>
                <w:bCs/>
                <w:color w:val="FFFFFF"/>
                <w:sz w:val="18"/>
                <w:szCs w:val="18"/>
              </w:rPr>
              <w:t xml:space="preserve">Åtgärd</w:t>
            </w:r>
          </w:p>
        </w:tc>
        <w:tc>
          <w:tcPr>
            <w:tcW w:type="dxa" w:w="2000"/>
            <w:shd w:fill="1B4D3E" w:val="clear"/>
            <w:tcMar>
              <w:top w:type="dxa" w:w="40"/>
              <w:left w:type="dxa" w:w="80"/>
              <w:bottom w:type="dxa" w:w="40"/>
              <w:right w:type="dxa" w:w="80"/>
            </w:tcMar>
          </w:tcPr>
          <w:p>
            <w:r>
              <w:rPr>
                <w:b/>
                <w:bCs/>
                <w:color w:val="FFFFFF"/>
                <w:sz w:val="18"/>
                <w:szCs w:val="18"/>
              </w:rPr>
              <w:t xml:space="preserve">Prioritet</w:t>
            </w:r>
          </w:p>
        </w:tc>
      </w:tr>
      <w:tr>
        <w:tc>
          <w:tcPr>
            <w:tcW w:type="dxa" w:w="6400"/>
            <w:shd w:fill="FFFFFF" w:val="clear"/>
            <w:tcMar>
              <w:top w:type="dxa" w:w="40"/>
              <w:left w:type="dxa" w:w="80"/>
              <w:bottom w:type="dxa" w:w="40"/>
              <w:right w:type="dxa" w:w="80"/>
            </w:tcMar>
          </w:tcPr>
          <w:p>
            <w:r>
              <w:rPr>
                <w:sz w:val="18"/>
                <w:szCs w:val="18"/>
              </w:rPr>
              <w:t xml:space="preserve">Beställ aggregerad SCB-tabell: välfärdstjänster per 5-årsåldersgrupp × COFOG-kategori</w:t>
            </w:r>
          </w:p>
        </w:tc>
        <w:tc>
          <w:tcPr>
            <w:tcW w:type="dxa" w:w="2000"/>
            <w:shd w:fill="FFFFFF" w:val="clear"/>
            <w:tcMar>
              <w:top w:type="dxa" w:w="40"/>
              <w:left w:type="dxa" w:w="80"/>
              <w:bottom w:type="dxa" w:w="40"/>
              <w:right w:type="dxa" w:w="80"/>
            </w:tcMar>
          </w:tcPr>
          <w:p>
            <w:r>
              <w:rPr>
                <w:sz w:val="18"/>
                <w:szCs w:val="18"/>
              </w:rPr>
              <w:t xml:space="preserve">Kritisk</w:t>
            </w:r>
          </w:p>
        </w:tc>
      </w:tr>
      <w:tr>
        <w:tc>
          <w:tcPr>
            <w:tcW w:type="dxa" w:w="6400"/>
            <w:shd w:fill="F4F1EA" w:val="clear"/>
            <w:tcMar>
              <w:top w:type="dxa" w:w="40"/>
              <w:left w:type="dxa" w:w="80"/>
              <w:bottom w:type="dxa" w:w="40"/>
              <w:right w:type="dxa" w:w="80"/>
            </w:tcMar>
          </w:tcPr>
          <w:p>
            <w:r>
              <w:rPr>
                <w:sz w:val="18"/>
                <w:szCs w:val="18"/>
              </w:rPr>
              <w:t xml:space="preserve">SKR KPP-data per åldersår (sjukvård)</w:t>
            </w:r>
          </w:p>
        </w:tc>
        <w:tc>
          <w:tcPr>
            <w:tcW w:type="dxa" w:w="2000"/>
            <w:shd w:fill="F4F1EA" w:val="clear"/>
            <w:tcMar>
              <w:top w:type="dxa" w:w="40"/>
              <w:left w:type="dxa" w:w="80"/>
              <w:bottom w:type="dxa" w:w="40"/>
              <w:right w:type="dxa" w:w="80"/>
            </w:tcMar>
          </w:tcPr>
          <w:p>
            <w:r>
              <w:rPr>
                <w:sz w:val="18"/>
                <w:szCs w:val="18"/>
              </w:rPr>
              <w:t xml:space="preserve">Hög</w:t>
            </w:r>
          </w:p>
        </w:tc>
      </w:tr>
      <w:tr>
        <w:tc>
          <w:tcPr>
            <w:tcW w:type="dxa" w:w="6400"/>
            <w:shd w:fill="FFFFFF" w:val="clear"/>
            <w:tcMar>
              <w:top w:type="dxa" w:w="40"/>
              <w:left w:type="dxa" w:w="80"/>
              <w:bottom w:type="dxa" w:w="40"/>
              <w:right w:type="dxa" w:w="80"/>
            </w:tcMar>
          </w:tcPr>
          <w:p>
            <w:r>
              <w:rPr>
                <w:sz w:val="18"/>
                <w:szCs w:val="18"/>
              </w:rPr>
              <w:t xml:space="preserve">Inarbeta BP2027 (prop. 2026/27:1) — utgiftsområden, inkomster, statsskuld</w:t>
            </w:r>
          </w:p>
        </w:tc>
        <w:tc>
          <w:tcPr>
            <w:tcW w:type="dxa" w:w="2000"/>
            <w:shd w:fill="FFFFFF" w:val="clear"/>
            <w:tcMar>
              <w:top w:type="dxa" w:w="40"/>
              <w:left w:type="dxa" w:w="80"/>
              <w:bottom w:type="dxa" w:w="40"/>
              <w:right w:type="dxa" w:w="80"/>
            </w:tcMar>
          </w:tcPr>
          <w:p>
            <w:r>
              <w:rPr>
                <w:sz w:val="18"/>
                <w:szCs w:val="18"/>
              </w:rPr>
              <w:t xml:space="preserve">Hög</w:t>
            </w:r>
          </w:p>
        </w:tc>
      </w:tr>
      <w:tr>
        <w:tc>
          <w:tcPr>
            <w:tcW w:type="dxa" w:w="6400"/>
            <w:shd w:fill="F4F1EA" w:val="clear"/>
            <w:tcMar>
              <w:top w:type="dxa" w:w="40"/>
              <w:left w:type="dxa" w:w="80"/>
              <w:bottom w:type="dxa" w:w="40"/>
              <w:right w:type="dxa" w:w="80"/>
            </w:tcMar>
          </w:tcPr>
          <w:p>
            <w:r>
              <w:rPr>
                <w:sz w:val="18"/>
                <w:szCs w:val="18"/>
              </w:rPr>
              <w:t xml:space="preserve">Monte Carlo-simulering för formella konfidensintervall</w:t>
            </w:r>
          </w:p>
        </w:tc>
        <w:tc>
          <w:tcPr>
            <w:tcW w:type="dxa" w:w="2000"/>
            <w:shd w:fill="F4F1EA" w:val="clear"/>
            <w:tcMar>
              <w:top w:type="dxa" w:w="40"/>
              <w:left w:type="dxa" w:w="80"/>
              <w:bottom w:type="dxa" w:w="40"/>
              <w:right w:type="dxa" w:w="80"/>
            </w:tcMar>
          </w:tcPr>
          <w:p>
            <w:r>
              <w:rPr>
                <w:sz w:val="18"/>
                <w:szCs w:val="18"/>
              </w:rPr>
              <w:t xml:space="preserve">Medel</w:t>
            </w:r>
          </w:p>
        </w:tc>
      </w:tr>
      <w:tr>
        <w:tc>
          <w:tcPr>
            <w:tcW w:type="dxa" w:w="6400"/>
            <w:shd w:fill="FFFFFF" w:val="clear"/>
            <w:tcMar>
              <w:top w:type="dxa" w:w="40"/>
              <w:left w:type="dxa" w:w="80"/>
              <w:bottom w:type="dxa" w:w="40"/>
              <w:right w:type="dxa" w:w="80"/>
            </w:tcMar>
          </w:tcPr>
          <w:p>
            <w:r>
              <w:rPr>
                <w:sz w:val="18"/>
                <w:szCs w:val="18"/>
              </w:rPr>
              <w:t xml:space="preserve">Validera modellens aggregerade skatt mot SCB:s skatteintäkter (~2 644 Mdkr 2024)</w:t>
            </w:r>
          </w:p>
        </w:tc>
        <w:tc>
          <w:tcPr>
            <w:tcW w:type="dxa" w:w="2000"/>
            <w:shd w:fill="FFFFFF" w:val="clear"/>
            <w:tcMar>
              <w:top w:type="dxa" w:w="40"/>
              <w:left w:type="dxa" w:w="80"/>
              <w:bottom w:type="dxa" w:w="40"/>
              <w:right w:type="dxa" w:w="80"/>
            </w:tcMar>
          </w:tcPr>
          <w:p>
            <w:r>
              <w:rPr>
                <w:sz w:val="18"/>
                <w:szCs w:val="18"/>
              </w:rPr>
              <w:t xml:space="preserve">Medel</w:t>
            </w:r>
          </w:p>
        </w:tc>
      </w:tr>
      <w:tr>
        <w:tc>
          <w:tcPr>
            <w:tcW w:type="dxa" w:w="6400"/>
            <w:shd w:fill="F4F1EA" w:val="clear"/>
            <w:tcMar>
              <w:top w:type="dxa" w:w="40"/>
              <w:left w:type="dxa" w:w="80"/>
              <w:bottom w:type="dxa" w:w="40"/>
              <w:right w:type="dxa" w:w="80"/>
            </w:tcMar>
          </w:tcPr>
          <w:p>
            <w:r>
              <w:rPr>
                <w:sz w:val="18"/>
                <w:szCs w:val="18"/>
              </w:rPr>
              <w:t xml:space="preserve">Uppdatera nordisk NTA-jämförelse till senare årgång</w:t>
            </w:r>
          </w:p>
        </w:tc>
        <w:tc>
          <w:tcPr>
            <w:tcW w:type="dxa" w:w="2000"/>
            <w:shd w:fill="F4F1EA" w:val="clear"/>
            <w:tcMar>
              <w:top w:type="dxa" w:w="40"/>
              <w:left w:type="dxa" w:w="80"/>
              <w:bottom w:type="dxa" w:w="40"/>
              <w:right w:type="dxa" w:w="80"/>
            </w:tcMar>
          </w:tcPr>
          <w:p>
            <w:r>
              <w:rPr>
                <w:sz w:val="18"/>
                <w:szCs w:val="18"/>
              </w:rPr>
              <w:t xml:space="preserve">Medel</w:t>
            </w:r>
          </w:p>
        </w:tc>
      </w:tr>
      <w:tr>
        <w:tc>
          <w:tcPr>
            <w:tcW w:type="dxa" w:w="6400"/>
            <w:shd w:fill="FFFFFF" w:val="clear"/>
            <w:tcMar>
              <w:top w:type="dxa" w:w="40"/>
              <w:left w:type="dxa" w:w="80"/>
              <w:bottom w:type="dxa" w:w="40"/>
              <w:right w:type="dxa" w:w="80"/>
            </w:tcMar>
          </w:tcPr>
          <w:p>
            <w:r>
              <w:rPr>
                <w:sz w:val="18"/>
                <w:szCs w:val="18"/>
              </w:rPr>
              <w:t xml:space="preserve">Extern akademisk metodgranskning (IFAU/SNS)</w:t>
            </w:r>
          </w:p>
        </w:tc>
        <w:tc>
          <w:tcPr>
            <w:tcW w:type="dxa" w:w="2000"/>
            <w:shd w:fill="FFFFFF" w:val="clear"/>
            <w:tcMar>
              <w:top w:type="dxa" w:w="40"/>
              <w:left w:type="dxa" w:w="80"/>
              <w:bottom w:type="dxa" w:w="40"/>
              <w:right w:type="dxa" w:w="80"/>
            </w:tcMar>
          </w:tcPr>
          <w:p>
            <w:r>
              <w:rPr>
                <w:sz w:val="18"/>
                <w:szCs w:val="18"/>
              </w:rPr>
              <w:t xml:space="preserve">Kritisk</w:t>
            </w:r>
          </w:p>
        </w:tc>
      </w:tr>
    </w:tbl>
    <w:p>
      <w:pPr>
        <w:pStyle w:val="Heading1"/>
        <w:spacing w:after="120" w:before="260"/>
      </w:pPr>
      <w:r>
        <w:rPr>
          <w:b/>
          <w:bCs/>
          <w:color w:val="1B4D3E"/>
        </w:rPr>
        <w:t xml:space="preserve">11. Litteraturreferenser (urval)</w:t>
      </w:r>
    </w:p>
    <w:p>
      <w:pPr>
        <w:spacing w:after="70"/>
      </w:pPr>
      <w:r>
        <w:rPr>
          <w:sz w:val="18"/>
          <w:szCs w:val="18"/>
        </w:rPr>
        <w:t xml:space="preserve">1. Andersson, F.W., Johansson, L. &amp; Olin, K. (2012). "Hur välfärdstjänsterna används och omfördelar hushållens ekonomiska resurser." Ekonomisk Debatt, 40(8), 35–47.</w:t>
      </w:r>
    </w:p>
    <w:p>
      <w:pPr>
        <w:spacing w:after="70"/>
      </w:pPr>
      <w:r>
        <w:rPr>
          <w:sz w:val="18"/>
          <w:szCs w:val="18"/>
        </w:rPr>
        <w:t xml:space="preserve">2. Istenič, T. m.fl. (2016). European National Transfer Accounts. Wittgenstein Centre, Wien.</w:t>
      </w:r>
    </w:p>
    <w:p>
      <w:pPr>
        <w:spacing w:after="70"/>
      </w:pPr>
      <w:r>
        <w:rPr>
          <w:sz w:val="18"/>
          <w:szCs w:val="18"/>
        </w:rPr>
        <w:t xml:space="preserve">3. Lee, R. &amp; Mason, A. (2011). Population Aging and the Generational Economy. Edward Elgar.</w:t>
      </w:r>
    </w:p>
    <w:p>
      <w:pPr>
        <w:spacing w:after="70"/>
      </w:pPr>
      <w:r>
        <w:rPr>
          <w:sz w:val="18"/>
          <w:szCs w:val="18"/>
        </w:rPr>
        <w:t xml:space="preserve">4. UN (2013). National Transfer Accounts Manual. DESA/POP/2013/09. United Nations, New York.</w:t>
      </w:r>
    </w:p>
    <w:p>
      <w:pPr>
        <w:spacing w:after="70"/>
      </w:pPr>
      <w:r>
        <w:rPr>
          <w:sz w:val="18"/>
          <w:szCs w:val="18"/>
        </w:rPr>
        <w:t xml:space="preserve">5. SCB (2022). Offentliga välfärdstjänster — ekonomisk utjämning mellan individer och hushåll (FASIT).</w:t>
      </w:r>
    </w:p>
    <w:p>
      <w:pPr>
        <w:spacing w:after="70"/>
      </w:pPr>
      <w:r>
        <w:rPr>
          <w:sz w:val="18"/>
          <w:szCs w:val="18"/>
        </w:rPr>
        <w:t xml:space="preserve">6. Skolverket (2025). Kostnader i skolväsendet 2024.</w:t>
      </w:r>
    </w:p>
    <w:p>
      <w:pPr>
        <w:spacing w:after="70"/>
      </w:pPr>
      <w:r>
        <w:rPr>
          <w:sz w:val="18"/>
          <w:szCs w:val="18"/>
        </w:rPr>
        <w:t xml:space="preserve">7. SKR (2024). Ekonomirapporten.</w:t>
      </w:r>
    </w:p>
    <w:p>
      <w:pPr>
        <w:spacing w:after="70"/>
      </w:pPr>
      <w:r>
        <w:rPr>
          <w:sz w:val="18"/>
          <w:szCs w:val="18"/>
        </w:rPr>
        <w:t xml:space="preserve">8. Regeringen (2025). Budgetpropositionen för 2026 (prop. 2025/26:1).</w:t>
      </w:r>
    </w:p>
    <w:p>
      <w:pPr>
        <w:spacing w:after="70"/>
      </w:pPr>
      <w:r>
        <w:rPr>
          <w:sz w:val="18"/>
          <w:szCs w:val="18"/>
        </w:rPr>
        <w:t xml:space="preserve">9. OECD (2026). PISA 2025 Results, Volume I.</w:t>
      </w:r>
    </w:p>
    <w:p>
      <w:pPr>
        <w:spacing w:after="70"/>
      </w:pPr>
      <w:r>
        <w:rPr>
          <w:sz w:val="18"/>
          <w:szCs w:val="18"/>
        </w:rPr>
        <w:t xml:space="preserve">10. OECD (2025). Health at a Glance 2025.</w:t>
      </w:r>
    </w:p>
    <w:p>
      <w:pPr>
        <w:spacing w:after="70"/>
      </w:pPr>
      <w:r>
        <w:rPr>
          <w:sz w:val="18"/>
          <w:szCs w:val="18"/>
        </w:rPr>
        <w:t xml:space="preserve">11. Eurostat (2024). Government expenditure by function – COFOG (gov_10a_exp).</w:t>
      </w:r>
    </w:p>
    <w:p>
      <w:pPr>
        <w:spacing w:after="70"/>
      </w:pPr>
      <w:r>
        <w:rPr>
          <w:sz w:val="18"/>
          <w:szCs w:val="18"/>
        </w:rPr>
        <w:t xml:space="preserve">12. Pensionsmyndigheten (2025). Typfallsberäkningar för kompensationsgrad.</w:t>
      </w:r>
    </w:p>
    <w:p>
      <w:pPr>
        <w:pBdr>
          <w:top w:val="single" w:color="1B4D3E" w:sz="8"/>
        </w:pBdr>
        <w:spacing w:after="80" w:before="200"/>
      </w:pPr>
    </w:p>
    <w:p>
      <w:r>
        <w:rPr>
          <w:i/>
          <w:iCs/>
          <w:color w:val="666666"/>
          <w:sz w:val="16"/>
          <w:szCs w:val="16"/>
        </w:rPr>
        <w:t xml:space="preserve">Skatteplattformen är partipolitiskt oberoende. Inga annonsörer, inga partibidrag. Kod: MIT. Data: CC0. Metodrapport: CC BY 4.0.</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814"/>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rPr>
      <w:rFonts w:ascii="Calibri" w:cs="Calibri" w:eastAsia="Calibri" w:hAnsi="Calibri"/>
      <w:b/>
      <w:bCs/>
      <w:color w:val="1B4D3E"/>
      <w:sz w:val="30"/>
      <w:szCs w:val="30"/>
    </w:rPr>
  </w:style>
  <w:style w:type="paragraph" w:styleId="Heading2">
    <w:name w:val="Heading 2"/>
    <w:basedOn w:val="Normal"/>
    <w:next w:val="Normal"/>
    <w:qFormat/>
    <w:rPr>
      <w:rFonts w:ascii="Calibri" w:cs="Calibri" w:eastAsia="Calibri" w:hAnsi="Calibri"/>
      <w:b/>
      <w:bCs/>
      <w:color w:val="1A181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2026-10-27T19:00:55.611Z</dcterms:created>
  <dcterms:modified xsi:type="dcterms:W3CDTF">2026-10-27T19:00:55.612Z</dcterms:modified>
</cp:coreProperties>
</file>

<file path=docProps/custom.xml><?xml version="1.0" encoding="utf-8"?>
<Properties xmlns="http://schemas.openxmlformats.org/officeDocument/2006/custom-properties" xmlns:vt="http://schemas.openxmlformats.org/officeDocument/2006/docPropsVTypes"/>
</file>