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E621" w14:textId="259AC6C5" w:rsidR="00A8084C" w:rsidRDefault="00A8084C" w:rsidP="00A8084C">
      <w:pPr>
        <w:pStyle w:val="Nagwek1"/>
      </w:pPr>
      <w:r>
        <w:t>3.</w:t>
      </w:r>
      <w:r w:rsidRPr="00A8084C">
        <w:t xml:space="preserve"> </w:t>
      </w:r>
      <w:r w:rsidRPr="00AB0D50">
        <w:t>Dowody</w:t>
      </w:r>
    </w:p>
    <w:p w14:paraId="15FB3A10" w14:textId="77777777" w:rsidR="00A8084C" w:rsidRPr="00AB0D50" w:rsidRDefault="00A8084C" w:rsidP="00A8084C">
      <w:r w:rsidRPr="00AB0D50">
        <w:t>Liczba różnych dowodów twierdzenia Pitagorasa jest przytłaczająca, według niektórych źródeł przekracza 350. Euklides w Elementach podaje ich osiem, kolejne pojawiały się na przestrzeni wieków i pojawiają aż po dni dzisiejsze.</w:t>
      </w:r>
    </w:p>
    <w:p w14:paraId="61EF2285" w14:textId="77777777" w:rsidR="00A8084C" w:rsidRDefault="00A8084C" w:rsidP="00A8084C">
      <w:r w:rsidRPr="00AB0D50">
        <w:t>Niektóre z dowodów są czysto algebraiczne (jak dowód z podobieństwa trójkątów), inne mają formę układanek geometrycznych (prawdopodobny dowód Pitagorasa), jeszcze inne oparte są o równości pól pewnych figur. Zaprezentujemy tu jedynie kilka wybranych dowodów, do innych podajemy odsyłacze na końcu artykułu.</w:t>
      </w:r>
      <w:bookmarkStart w:id="0" w:name="Dow.C3.B3d_uk.C5.82adanka"/>
      <w:bookmarkEnd w:id="0"/>
    </w:p>
    <w:p w14:paraId="5350CF0B" w14:textId="77777777" w:rsidR="00A8084C" w:rsidRDefault="00A8084C" w:rsidP="00F86223"/>
    <w:p w14:paraId="265DEB88" w14:textId="77777777" w:rsidR="00A8084C" w:rsidRDefault="00A8084C" w:rsidP="00A8084C">
      <w:pPr>
        <w:pStyle w:val="Nagwek2"/>
        <w:ind w:left="717" w:firstLine="0"/>
      </w:pPr>
      <w:r>
        <w:t>3.1 Dowód układanka</w:t>
      </w:r>
    </w:p>
    <w:p w14:paraId="7C2198D1" w14:textId="77777777" w:rsidR="00A8084C" w:rsidRPr="00AB0D50" w:rsidRDefault="00A8084C" w:rsidP="00A8084C">
      <w:r w:rsidRPr="00AB0D50">
        <w:t xml:space="preserve">Dany jest trójkąt prostokątny o bokach długości </w:t>
      </w:r>
      <w:proofErr w:type="spellStart"/>
      <w:r w:rsidRPr="00AB0D50">
        <w:t>a,b</w:t>
      </w:r>
      <w:proofErr w:type="spellEnd"/>
      <w:r w:rsidRPr="00AB0D50">
        <w:t xml:space="preserve"> i c jak rysunku z lewej. Konstruujemy kwadrat o boku długości a + b w sposób ukazany na rysunku z lewej, a następnie z prawej. Z jednej strony pole kwadratu równe jest sumie pól czterech trójkątów prostokątnych i kwadratu zbudowanego na ich przeciwprostokątnych, z drugiej zaś równe jest ono sumie pól tych samych czterech trójkątów i dwóch mniejszych kwadratów zbudowanych na ich przyprostokątnych. Stąd wniosek, że pole kwadratu zbudowanego na przeciwprostokątnej jest równe sumie pól kwadratów zbudowanych na przyprostokątnych.</w:t>
      </w:r>
    </w:p>
    <w:p w14:paraId="1D2B6F6A" w14:textId="77777777" w:rsidR="00A8084C" w:rsidRDefault="00A8084C" w:rsidP="00F86223"/>
    <w:p w14:paraId="5C9DBA5E" w14:textId="77777777" w:rsidR="00A8084C" w:rsidRPr="00AB0D50" w:rsidRDefault="00A8084C" w:rsidP="00A8084C">
      <w:r w:rsidRPr="00AB0D50">
        <w:t>Szczepan Jeleński w książce Śladami Pitagorasa przypuszcza, że w ten sposób mógł udowodnić swoje twierdzenie sam Pitagoras.</w:t>
      </w:r>
    </w:p>
    <w:p w14:paraId="2A037EEB" w14:textId="77777777" w:rsidR="00A8084C" w:rsidRDefault="00A8084C" w:rsidP="00A8084C">
      <w:r w:rsidRPr="00AB0D50">
        <w:t>Powyższy dowód, choć prosty, nie jest elementarny w tym sensie, że jego poprawność wymaga uprzedniego uzasadnienia, że pole kwadratu złożonego z trójkątów i mniejszych kwadratów jest równe sumie pól tych figur. Może się to wydawać oczywiste, jednak dowód tego faktu wymaga uprzedniego zdefiniowania pola, na przykład poprzez konstrukcję miary Jordana.</w:t>
      </w:r>
      <w:bookmarkStart w:id="1" w:name="Dow.C3.B3d_przez_podobie.C5.84stwo_.28sz"/>
      <w:bookmarkEnd w:id="1"/>
    </w:p>
    <w:p w14:paraId="44466BAE" w14:textId="77777777" w:rsidR="00A8084C" w:rsidRDefault="00A8084C" w:rsidP="00F86223"/>
    <w:p w14:paraId="59E9B2EB" w14:textId="405CA051" w:rsidR="00A8084C" w:rsidRPr="00AB0D50" w:rsidRDefault="00A8084C" w:rsidP="00A8084C">
      <w:pPr>
        <w:pStyle w:val="Nagwek2"/>
        <w:ind w:left="1077" w:firstLine="0"/>
      </w:pPr>
      <w:r>
        <w:t>3.</w:t>
      </w:r>
      <w:r>
        <w:t>2</w:t>
      </w:r>
      <w:r>
        <w:t xml:space="preserve"> </w:t>
      </w:r>
      <w:r w:rsidRPr="00AB0D50">
        <w:t>Dowód czysto geometryczny</w:t>
      </w:r>
    </w:p>
    <w:p w14:paraId="3AAFEB57" w14:textId="77777777" w:rsidR="00A8084C" w:rsidRPr="00AB0D50" w:rsidRDefault="00A8084C" w:rsidP="00A8084C">
      <w:r w:rsidRPr="00AB0D50">
        <w:t xml:space="preserve">Następujący dowód znajduje się w Elementach Euklidesa i oparty jest na spostrzeżeniu, że pola dwu mniejszych kwadratów zbudowanych na przyprostokątnych trójkąta prostokątnego </w:t>
      </w:r>
      <w:r w:rsidRPr="00AB0D50">
        <w:lastRenderedPageBreak/>
        <w:t>ΔABC są równe polom odpowiednich prostokątów na jakie wysokość CD dzieli kwadrat zbudowany na przeciwprostokątnej.</w:t>
      </w:r>
    </w:p>
    <w:p w14:paraId="09E42E38" w14:textId="5BC4CBCD" w:rsidR="00A8084C" w:rsidRPr="00AB0D50" w:rsidRDefault="00A8084C" w:rsidP="00A8084C">
      <w:r w:rsidRPr="00AB0D50">
        <w:t>Dla dowodu zauważmy, że pole kwadratu ACJK jest równe podwojonemu polu trójkąta ΔKAB – podstawą trójkąta ΔKAB jest bok KA kwadratu, a wysokość trójkąta jest równa bokowi CA tego kwadratu. Podobnie, pole prostokąta AEGD jest równe podwojonemu polu trójkąta ΔCAE – podstawą trójkąta ΔCAE jest bok AE prostokąta, a wysokość trójkąta jest równa bokowi EG prostokąta. Jednak trójkąty ΔKAB i ΔCAE są przystające, co wynika z cechy "bok-kąt-bok" – | KA | = | CA | , | AB | = | AE | i kąt jest równy kątowi – a zatem mają równe pola, skąd wynika, że pole kwadratu ACJK jest równe polu prostokąta AEGD.</w:t>
      </w:r>
    </w:p>
    <w:p w14:paraId="11CDC402" w14:textId="77777777" w:rsidR="00A8084C" w:rsidRDefault="00A8084C" w:rsidP="00A8084C">
      <w:r w:rsidRPr="00AB0D50">
        <w:t>Analogicznie (rozważając trójkąty ΔCBF i ΔHBA można udowodnić, że pole kwadratu CBHI jest równe polu prostokąta BFGD. Stąd, suma pól obu kwadratów równa jest polu kwadratu AEFB.</w:t>
      </w:r>
      <w:bookmarkStart w:id="2" w:name="Dow.C3.B3d_Garfielda"/>
      <w:bookmarkStart w:id="3" w:name="Twierdzenie_odwrotne"/>
      <w:bookmarkEnd w:id="2"/>
      <w:bookmarkEnd w:id="3"/>
    </w:p>
    <w:p w14:paraId="6CF04DE8" w14:textId="77777777" w:rsidR="00A8084C" w:rsidRPr="00F86223" w:rsidRDefault="00A8084C" w:rsidP="00F86223"/>
    <w:sectPr w:rsidR="00A8084C" w:rsidRPr="00F862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37B2A"/>
    <w:multiLevelType w:val="hybridMultilevel"/>
    <w:tmpl w:val="948C5BFC"/>
    <w:lvl w:ilvl="0" w:tplc="3376BE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9" w:hanging="360"/>
      </w:pPr>
    </w:lvl>
    <w:lvl w:ilvl="2" w:tplc="0415001B" w:tentative="1">
      <w:start w:val="1"/>
      <w:numFmt w:val="lowerRoman"/>
      <w:lvlText w:val="%3."/>
      <w:lvlJc w:val="right"/>
      <w:pPr>
        <w:ind w:left="2509" w:hanging="180"/>
      </w:pPr>
    </w:lvl>
    <w:lvl w:ilvl="3" w:tplc="0415000F" w:tentative="1">
      <w:start w:val="1"/>
      <w:numFmt w:val="decimal"/>
      <w:lvlText w:val="%4."/>
      <w:lvlJc w:val="left"/>
      <w:pPr>
        <w:ind w:left="3229" w:hanging="360"/>
      </w:pPr>
    </w:lvl>
    <w:lvl w:ilvl="4" w:tplc="04150019" w:tentative="1">
      <w:start w:val="1"/>
      <w:numFmt w:val="lowerLetter"/>
      <w:lvlText w:val="%5."/>
      <w:lvlJc w:val="left"/>
      <w:pPr>
        <w:ind w:left="3949" w:hanging="360"/>
      </w:pPr>
    </w:lvl>
    <w:lvl w:ilvl="5" w:tplc="0415001B" w:tentative="1">
      <w:start w:val="1"/>
      <w:numFmt w:val="lowerRoman"/>
      <w:lvlText w:val="%6."/>
      <w:lvlJc w:val="right"/>
      <w:pPr>
        <w:ind w:left="4669" w:hanging="180"/>
      </w:pPr>
    </w:lvl>
    <w:lvl w:ilvl="6" w:tplc="0415000F" w:tentative="1">
      <w:start w:val="1"/>
      <w:numFmt w:val="decimal"/>
      <w:lvlText w:val="%7."/>
      <w:lvlJc w:val="left"/>
      <w:pPr>
        <w:ind w:left="5389" w:hanging="360"/>
      </w:pPr>
    </w:lvl>
    <w:lvl w:ilvl="7" w:tplc="04150019" w:tentative="1">
      <w:start w:val="1"/>
      <w:numFmt w:val="lowerLetter"/>
      <w:lvlText w:val="%8."/>
      <w:lvlJc w:val="left"/>
      <w:pPr>
        <w:ind w:left="6109" w:hanging="360"/>
      </w:pPr>
    </w:lvl>
    <w:lvl w:ilvl="8" w:tplc="0415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1735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D2"/>
    <w:rsid w:val="002E08EC"/>
    <w:rsid w:val="00523B0B"/>
    <w:rsid w:val="0061393A"/>
    <w:rsid w:val="006872CA"/>
    <w:rsid w:val="008556D3"/>
    <w:rsid w:val="00A8084C"/>
    <w:rsid w:val="00B354D2"/>
    <w:rsid w:val="00D7765A"/>
    <w:rsid w:val="00E55D35"/>
    <w:rsid w:val="00F8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4A728"/>
  <w15:chartTrackingRefBased/>
  <w15:docId w15:val="{B8024864-1937-4EC1-9888-B03072E8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354D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B35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35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35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35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35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354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354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354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354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35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B35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35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354D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354D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354D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354D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354D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354D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qFormat/>
    <w:rsid w:val="00B35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rsid w:val="00B35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354D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35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35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354D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354D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354D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35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354D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354D2"/>
    <w:rPr>
      <w:b/>
      <w:bCs/>
      <w:smallCaps/>
      <w:color w:val="2F5496" w:themeColor="accent1" w:themeShade="BF"/>
      <w:spacing w:val="5"/>
    </w:rPr>
  </w:style>
  <w:style w:type="paragraph" w:customStyle="1" w:styleId="Autor">
    <w:name w:val="Autor"/>
    <w:basedOn w:val="Normalny"/>
    <w:link w:val="AutorZnak"/>
    <w:qFormat/>
    <w:rsid w:val="00B354D2"/>
    <w:pPr>
      <w:tabs>
        <w:tab w:val="right" w:pos="1797"/>
        <w:tab w:val="left" w:pos="1979"/>
      </w:tabs>
      <w:spacing w:line="240" w:lineRule="auto"/>
      <w:ind w:firstLine="0"/>
    </w:pPr>
  </w:style>
  <w:style w:type="character" w:customStyle="1" w:styleId="AutorZnak">
    <w:name w:val="Autor Znak"/>
    <w:basedOn w:val="Domylnaczcionkaakapitu"/>
    <w:link w:val="Autor"/>
    <w:rsid w:val="00B354D2"/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customStyle="1" w:styleId="Stylrdo">
    <w:name w:val="Styl źródło"/>
    <w:basedOn w:val="Normalny"/>
    <w:link w:val="StylrdoZnak"/>
    <w:qFormat/>
    <w:rsid w:val="00B354D2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pct30" w:color="auto" w:fill="auto"/>
      <w:spacing w:line="240" w:lineRule="auto"/>
      <w:ind w:left="567" w:right="567" w:firstLine="0"/>
    </w:pPr>
    <w:rPr>
      <w:sz w:val="20"/>
    </w:rPr>
  </w:style>
  <w:style w:type="character" w:customStyle="1" w:styleId="StylrdoZnak">
    <w:name w:val="Styl źródło Znak"/>
    <w:basedOn w:val="Domylnaczcionkaakapitu"/>
    <w:link w:val="Stylrdo"/>
    <w:rsid w:val="00B354D2"/>
    <w:rPr>
      <w:rFonts w:ascii="Times New Roman" w:eastAsia="Times New Roman" w:hAnsi="Times New Roman" w:cs="Times New Roman"/>
      <w:kern w:val="0"/>
      <w:sz w:val="20"/>
      <w:shd w:val="pct30" w:color="auto" w:fill="auto"/>
      <w:lang w:eastAsia="pl-PL"/>
      <w14:ligatures w14:val="none"/>
    </w:rPr>
  </w:style>
  <w:style w:type="paragraph" w:customStyle="1" w:styleId="Stylstreszczenie">
    <w:name w:val="Styl streszczenie"/>
    <w:basedOn w:val="Normalny"/>
    <w:link w:val="StylstreszczenieZnak"/>
    <w:qFormat/>
    <w:rsid w:val="00B354D2"/>
    <w:pPr>
      <w:spacing w:before="240" w:after="120" w:line="240" w:lineRule="auto"/>
      <w:ind w:left="567" w:right="567" w:firstLine="0"/>
    </w:pPr>
    <w:rPr>
      <w:sz w:val="20"/>
    </w:rPr>
  </w:style>
  <w:style w:type="character" w:customStyle="1" w:styleId="StylstreszczenieZnak">
    <w:name w:val="Styl streszczenie Znak"/>
    <w:basedOn w:val="Domylnaczcionkaakapitu"/>
    <w:link w:val="Stylstreszczenie"/>
    <w:rsid w:val="00B354D2"/>
    <w:rPr>
      <w:rFonts w:ascii="Times New Roman" w:eastAsia="Times New Roman" w:hAnsi="Times New Roman" w:cs="Times New Roman"/>
      <w:kern w:val="0"/>
      <w:sz w:val="20"/>
      <w:lang w:eastAsia="pl-PL"/>
      <w14:ligatures w14:val="none"/>
    </w:rPr>
  </w:style>
  <w:style w:type="paragraph" w:customStyle="1" w:styleId="Stylrysunek">
    <w:name w:val="Styl rysunek"/>
    <w:basedOn w:val="Normalny"/>
    <w:link w:val="StylrysunekZnak"/>
    <w:qFormat/>
    <w:rsid w:val="008556D3"/>
    <w:pPr>
      <w:keepNext/>
      <w:spacing w:before="120" w:after="120" w:line="240" w:lineRule="auto"/>
      <w:ind w:firstLine="0"/>
      <w:jc w:val="center"/>
    </w:pPr>
    <w:rPr>
      <w:noProof/>
    </w:rPr>
  </w:style>
  <w:style w:type="paragraph" w:customStyle="1" w:styleId="Stylpodpisrysunku">
    <w:name w:val="Styl podpis rysunku"/>
    <w:basedOn w:val="Normalny"/>
    <w:link w:val="StylpodpisrysunkuZnak"/>
    <w:qFormat/>
    <w:rsid w:val="008556D3"/>
    <w:pPr>
      <w:keepLines/>
      <w:spacing w:before="120" w:after="360"/>
      <w:ind w:firstLine="0"/>
      <w:jc w:val="center"/>
    </w:pPr>
  </w:style>
  <w:style w:type="character" w:customStyle="1" w:styleId="StylrysunekZnak">
    <w:name w:val="Styl rysunek Znak"/>
    <w:basedOn w:val="Domylnaczcionkaakapitu"/>
    <w:link w:val="Stylrysunek"/>
    <w:rsid w:val="008556D3"/>
    <w:rPr>
      <w:rFonts w:ascii="Times New Roman" w:eastAsia="Times New Roman" w:hAnsi="Times New Roman" w:cs="Times New Roman"/>
      <w:noProof/>
      <w:kern w:val="0"/>
      <w:lang w:eastAsia="pl-PL"/>
      <w14:ligatures w14:val="none"/>
    </w:rPr>
  </w:style>
  <w:style w:type="character" w:customStyle="1" w:styleId="StylpodpisrysunkuZnak">
    <w:name w:val="Styl podpis rysunku Znak"/>
    <w:basedOn w:val="Domylnaczcionkaakapitu"/>
    <w:link w:val="Stylpodpisrysunku"/>
    <w:rsid w:val="008556D3"/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forza horizon</dc:creator>
  <cp:keywords/>
  <dc:description/>
  <cp:lastModifiedBy>forza horizon</cp:lastModifiedBy>
  <cp:revision>4</cp:revision>
  <dcterms:created xsi:type="dcterms:W3CDTF">2025-11-05T16:48:00Z</dcterms:created>
  <dcterms:modified xsi:type="dcterms:W3CDTF">2025-11-05T16:53:00Z</dcterms:modified>
</cp:coreProperties>
</file>