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4EE2" w14:textId="1E169C2C" w:rsidR="00F86223" w:rsidRPr="00AB0D50" w:rsidRDefault="00F86223" w:rsidP="00F86223">
      <w:pPr>
        <w:pStyle w:val="Nagwek1"/>
      </w:pPr>
      <w:bookmarkStart w:id="0" w:name="Dow.C3.B3d_Garfielda"/>
      <w:bookmarkStart w:id="1" w:name="Twierdzenie_odwrotne"/>
      <w:bookmarkEnd w:id="0"/>
      <w:bookmarkEnd w:id="1"/>
      <w:r>
        <w:t xml:space="preserve">4. </w:t>
      </w:r>
      <w:r w:rsidRPr="00AB0D50">
        <w:t>Uwagi</w:t>
      </w:r>
    </w:p>
    <w:p w14:paraId="09BC9A39" w14:textId="2C25AB05" w:rsidR="00F86223" w:rsidRPr="00AB0D50" w:rsidRDefault="00F86223" w:rsidP="00F86223">
      <w:pPr>
        <w:ind w:firstLine="708"/>
      </w:pPr>
      <w:r w:rsidRPr="00AB0D50">
        <w:t>Następujący dowód znajduje się w Elementach Euklidesa i oparty jest na spostrzeżeniu, że pola dwu mniejszych kwadratów zbudowanych na przyprostokątnych trójkąta prostokątnego ΔABC są równe polom odpowiednich prostokątów na jakie wysokość CD dzieli kwadrat zbudowany na przeciwprostokątnej.</w:t>
      </w:r>
    </w:p>
    <w:p w14:paraId="23752060" w14:textId="295555D4" w:rsidR="00F86223" w:rsidRPr="00AB0D50" w:rsidRDefault="00F86223" w:rsidP="00F86223">
      <w:r w:rsidRPr="00AB0D50">
        <w:t>Dla dowodu zauważmy, że pole kwadratu ACJK jest równe podwojonemu polu trójkąta ΔKAB – podstawą trójkąta ΔKAB jest bok KA kwadratu, a wysokość trójkąta jest równa bokowi CA tego kwadratu. Podobnie, pole prostokąta AEGD jest równe podwojonemu polu trójkąta ΔCAE – podstawą trójkąta ΔCAE jest bok AE prostokąta, a wysokość trójkąta jest równa bokowi EG prostokąta. Jednak trójkąty ΔKAB i ΔCAE są przystające, co wynika z cechy "bok-kąt-bok" – | KA | = | CA | , | AB | = | AE | i kąt jest równy kątowi – a zatem mają równe pola, skąd wynika, że pole kwadratu ACJK jest równe polu prostokąta AEGD.</w:t>
      </w:r>
    </w:p>
    <w:p w14:paraId="5F67C808" w14:textId="77777777" w:rsidR="00F86223" w:rsidRDefault="00F86223" w:rsidP="00F86223">
      <w:r w:rsidRPr="00AB0D50">
        <w:t>Analogicznie (rozważając trójkąty ΔCBF i ΔHBA można udowodnić, że pole kwadratu CBHI jest równe polu prostokąta BFGD. Stąd, suma pól obu kwadratów równa jest polu kwadratu AEFB.</w:t>
      </w:r>
    </w:p>
    <w:p w14:paraId="6BAF2336" w14:textId="2CD1DA9E" w:rsidR="00D7765A" w:rsidRPr="00F86223" w:rsidRDefault="00D7765A" w:rsidP="00F86223"/>
    <w:sectPr w:rsidR="00D7765A" w:rsidRPr="00F86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7B2A"/>
    <w:multiLevelType w:val="hybridMultilevel"/>
    <w:tmpl w:val="948C5BFC"/>
    <w:lvl w:ilvl="0" w:tplc="3376B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73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D2"/>
    <w:rsid w:val="000C2964"/>
    <w:rsid w:val="002E08EC"/>
    <w:rsid w:val="00523B0B"/>
    <w:rsid w:val="0061393A"/>
    <w:rsid w:val="008556D3"/>
    <w:rsid w:val="00B354D2"/>
    <w:rsid w:val="00C96841"/>
    <w:rsid w:val="00D7765A"/>
    <w:rsid w:val="00E55D35"/>
    <w:rsid w:val="00F8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A728"/>
  <w15:chartTrackingRefBased/>
  <w15:docId w15:val="{B8024864-1937-4EC1-9888-B03072E8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54D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B3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3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5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5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5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5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5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5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5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35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5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54D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54D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54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54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54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54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qFormat/>
    <w:rsid w:val="00B3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rsid w:val="00B3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54D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54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54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54D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54D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54D2"/>
    <w:rPr>
      <w:b/>
      <w:bCs/>
      <w:smallCaps/>
      <w:color w:val="2F5496" w:themeColor="accent1" w:themeShade="BF"/>
      <w:spacing w:val="5"/>
    </w:rPr>
  </w:style>
  <w:style w:type="paragraph" w:customStyle="1" w:styleId="Autor">
    <w:name w:val="Autor"/>
    <w:basedOn w:val="Normalny"/>
    <w:link w:val="AutorZnak"/>
    <w:qFormat/>
    <w:rsid w:val="00B354D2"/>
    <w:pPr>
      <w:tabs>
        <w:tab w:val="right" w:pos="1797"/>
        <w:tab w:val="left" w:pos="1979"/>
      </w:tabs>
      <w:spacing w:line="240" w:lineRule="auto"/>
      <w:ind w:firstLine="0"/>
    </w:pPr>
  </w:style>
  <w:style w:type="character" w:customStyle="1" w:styleId="AutorZnak">
    <w:name w:val="Autor Znak"/>
    <w:basedOn w:val="Domylnaczcionkaakapitu"/>
    <w:link w:val="Autor"/>
    <w:rsid w:val="00B354D2"/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Stylrdo">
    <w:name w:val="Styl źródło"/>
    <w:basedOn w:val="Normalny"/>
    <w:link w:val="StylrdoZnak"/>
    <w:qFormat/>
    <w:rsid w:val="00B354D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30" w:color="auto" w:fill="auto"/>
      <w:spacing w:line="240" w:lineRule="auto"/>
      <w:ind w:left="567" w:right="567" w:firstLine="0"/>
    </w:pPr>
    <w:rPr>
      <w:sz w:val="20"/>
    </w:rPr>
  </w:style>
  <w:style w:type="character" w:customStyle="1" w:styleId="StylrdoZnak">
    <w:name w:val="Styl źródło Znak"/>
    <w:basedOn w:val="Domylnaczcionkaakapitu"/>
    <w:link w:val="Stylrdo"/>
    <w:rsid w:val="00B354D2"/>
    <w:rPr>
      <w:rFonts w:ascii="Times New Roman" w:eastAsia="Times New Roman" w:hAnsi="Times New Roman" w:cs="Times New Roman"/>
      <w:kern w:val="0"/>
      <w:sz w:val="20"/>
      <w:shd w:val="pct30" w:color="auto" w:fill="auto"/>
      <w:lang w:eastAsia="pl-PL"/>
      <w14:ligatures w14:val="none"/>
    </w:rPr>
  </w:style>
  <w:style w:type="paragraph" w:customStyle="1" w:styleId="Stylstreszczenie">
    <w:name w:val="Styl streszczenie"/>
    <w:basedOn w:val="Normalny"/>
    <w:link w:val="StylstreszczenieZnak"/>
    <w:qFormat/>
    <w:rsid w:val="00B354D2"/>
    <w:pPr>
      <w:spacing w:before="240" w:after="120" w:line="240" w:lineRule="auto"/>
      <w:ind w:left="567" w:right="567" w:firstLine="0"/>
    </w:pPr>
    <w:rPr>
      <w:sz w:val="20"/>
    </w:rPr>
  </w:style>
  <w:style w:type="character" w:customStyle="1" w:styleId="StylstreszczenieZnak">
    <w:name w:val="Styl streszczenie Znak"/>
    <w:basedOn w:val="Domylnaczcionkaakapitu"/>
    <w:link w:val="Stylstreszczenie"/>
    <w:rsid w:val="00B354D2"/>
    <w:rPr>
      <w:rFonts w:ascii="Times New Roman" w:eastAsia="Times New Roman" w:hAnsi="Times New Roman" w:cs="Times New Roman"/>
      <w:kern w:val="0"/>
      <w:sz w:val="20"/>
      <w:lang w:eastAsia="pl-PL"/>
      <w14:ligatures w14:val="none"/>
    </w:rPr>
  </w:style>
  <w:style w:type="paragraph" w:customStyle="1" w:styleId="Stylrysunek">
    <w:name w:val="Styl rysunek"/>
    <w:basedOn w:val="Normalny"/>
    <w:link w:val="StylrysunekZnak"/>
    <w:qFormat/>
    <w:rsid w:val="008556D3"/>
    <w:pPr>
      <w:keepNext/>
      <w:spacing w:before="120" w:after="120" w:line="240" w:lineRule="auto"/>
      <w:ind w:firstLine="0"/>
      <w:jc w:val="center"/>
    </w:pPr>
    <w:rPr>
      <w:noProof/>
    </w:rPr>
  </w:style>
  <w:style w:type="paragraph" w:customStyle="1" w:styleId="Stylpodpisrysunku">
    <w:name w:val="Styl podpis rysunku"/>
    <w:basedOn w:val="Normalny"/>
    <w:link w:val="StylpodpisrysunkuZnak"/>
    <w:qFormat/>
    <w:rsid w:val="008556D3"/>
    <w:pPr>
      <w:keepLines/>
      <w:spacing w:before="120" w:after="360"/>
      <w:ind w:firstLine="0"/>
      <w:jc w:val="center"/>
    </w:pPr>
  </w:style>
  <w:style w:type="character" w:customStyle="1" w:styleId="StylrysunekZnak">
    <w:name w:val="Styl rysunek Znak"/>
    <w:basedOn w:val="Domylnaczcionkaakapitu"/>
    <w:link w:val="Stylrysunek"/>
    <w:rsid w:val="008556D3"/>
    <w:rPr>
      <w:rFonts w:ascii="Times New Roman" w:eastAsia="Times New Roman" w:hAnsi="Times New Roman" w:cs="Times New Roman"/>
      <w:noProof/>
      <w:kern w:val="0"/>
      <w:lang w:eastAsia="pl-PL"/>
      <w14:ligatures w14:val="none"/>
    </w:rPr>
  </w:style>
  <w:style w:type="character" w:customStyle="1" w:styleId="StylpodpisrysunkuZnak">
    <w:name w:val="Styl podpis rysunku Znak"/>
    <w:basedOn w:val="Domylnaczcionkaakapitu"/>
    <w:link w:val="Stylpodpisrysunku"/>
    <w:rsid w:val="008556D3"/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forza horizon</dc:creator>
  <cp:keywords/>
  <dc:description/>
  <cp:lastModifiedBy>forza horizon</cp:lastModifiedBy>
  <cp:revision>3</cp:revision>
  <dcterms:created xsi:type="dcterms:W3CDTF">2025-11-05T16:49:00Z</dcterms:created>
  <dcterms:modified xsi:type="dcterms:W3CDTF">2025-11-05T16:51:00Z</dcterms:modified>
</cp:coreProperties>
</file>