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ackground w:color="FFFFFF">
    <v:background id="_x0000_s1025" fillcolor="#FFFFFF"/>
  </w:background>
  <w:body>
    <w:p>
      <w:pPr>
        <w:pStyle w:val="908"/>
        <w:pBdr/>
        <w:spacing/>
        <w:ind/>
        <w:rPr/>
      </w:pPr>
      <w:r/>
      <w:r/>
    </w:p>
    <w:p>
      <w:pPr>
        <w:pStyle w:val="908"/>
        <w:pBdr/>
        <w:spacing/>
        <w:ind/>
        <w:rPr/>
      </w:pPr>
      <w:r/>
      <w:r/>
    </w:p>
    <w:p>
      <w:pPr>
        <w:pStyle w:val="908"/>
        <w:pBdr/>
        <w:spacing/>
        <w:ind/>
        <w:rPr/>
      </w:pPr>
      <w:r/>
      <w:r/>
    </w:p>
    <w:p>
      <w:pPr>
        <w:pStyle w:val="908"/>
        <w:pBdr/>
        <w:spacing/>
        <w:ind/>
        <w:rPr/>
      </w:pPr>
      <w:r/>
      <w:r/>
    </w:p>
    <w:p>
      <w:pPr>
        <w:pStyle w:val="908"/>
        <w:pBdr/>
        <w:spacing/>
        <w:ind/>
        <w:rPr/>
      </w:pPr>
      <w:r/>
      <w:r/>
    </w:p>
    <w:p>
      <w:pPr>
        <w:pStyle w:val="909"/>
        <w:pBdr/>
        <w:spacing/>
        <w:ind/>
        <w:rPr/>
      </w:pPr>
      <w:r/>
      <w:r/>
    </w:p>
    <w:p>
      <w:pPr>
        <w:pStyle w:val="868"/>
        <w:pBdr/>
        <w:spacing/>
        <w:ind/>
        <w:jc w:val="center"/>
        <w:rPr/>
      </w:pPr>
      <w:r/>
      <w:r/>
    </w:p>
    <w:p>
      <w:pPr>
        <w:pStyle w:val="868"/>
        <w:pBdr/>
        <w:spacing/>
        <w:ind/>
        <w:jc w:val="center"/>
        <w:rPr/>
      </w:pPr>
      <w:r/>
      <w:r/>
    </w:p>
    <w:p>
      <w:pPr>
        <w:pStyle w:val="868"/>
        <w:pBdr/>
        <w:spacing/>
        <w:ind/>
        <w:jc w:val="center"/>
        <w:rPr/>
      </w:pPr>
      <w:r/>
      <w:r/>
    </w:p>
    <w:p>
      <w:pPr>
        <w:pStyle w:val="868"/>
        <w:pBdr/>
        <w:spacing/>
        <w:ind/>
        <w:jc w:val="center"/>
        <w:rPr/>
      </w:pPr>
      <w:r/>
      <w:r/>
    </w:p>
    <w:p>
      <w:pPr>
        <w:pBdr/>
        <w:spacing/>
        <w:ind/>
        <w:rPr/>
      </w:pPr>
      <w:r>
        <w:t xml:space="preserve">Mione</w:t>
      </w:r>
      <w:r/>
    </w:p>
    <w:p>
      <w:pPr>
        <w:pStyle w:val="888"/>
        <w:pBdr/>
        <w:spacing/>
        <w:ind/>
        <w:jc w:val="right"/>
        <w:rPr>
          <w:rFonts w:ascii="Tahoma" w:hAnsi="Tahoma"/>
        </w:rPr>
      </w:pPr>
      <w:r>
        <w:rPr>
          <w:rFonts w:ascii="Tahoma" w:hAnsi="Tahoma"/>
        </w:rPr>
      </w:r>
      <w:r>
        <w:rPr>
          <w:rFonts w:ascii="Tahoma" w:hAnsi="Tahoma"/>
        </w:rPr>
      </w:r>
    </w:p>
    <w:p>
      <w:pPr>
        <w:pBdr/>
        <w:spacing/>
        <w:ind/>
        <w:rPr/>
      </w:pPr>
      <w:r>
        <w:t xml:space="preserve">Documento de Regras de Negócio</w:t>
      </w:r>
      <w:r/>
    </w:p>
    <w:p>
      <w:pPr>
        <w:pStyle w:val="868"/>
        <w:pBdr/>
        <w:spacing/>
        <w:ind/>
        <w:rPr/>
      </w:pPr>
      <w:r/>
      <w:r/>
    </w:p>
    <w:p>
      <w:pPr>
        <w:pStyle w:val="868"/>
        <w:pBdr/>
        <w:spacing/>
        <w:ind/>
        <w:rPr/>
      </w:pPr>
      <w:r/>
      <w:r/>
    </w:p>
    <w:p>
      <w:pPr>
        <w:pStyle w:val="868"/>
        <w:pBdr/>
        <w:spacing/>
        <w:ind/>
        <w:rPr/>
      </w:pPr>
      <w:r/>
      <w:r/>
    </w:p>
    <w:p>
      <w:pPr>
        <w:pStyle w:val="868"/>
        <w:pBdr/>
        <w:spacing/>
        <w:ind/>
        <w:rPr/>
      </w:pPr>
      <w:r/>
      <w:r/>
    </w:p>
    <w:p>
      <w:pPr>
        <w:pStyle w:val="888"/>
        <w:pBdr/>
        <w:spacing/>
        <w:ind/>
        <w:rPr>
          <w:rFonts w:ascii="Tahoma" w:hAnsi="Tahoma"/>
        </w:rPr>
      </w:pPr>
      <w:r>
        <w:rPr>
          <w:rFonts w:ascii="Tahoma" w:hAnsi="Tahoma"/>
        </w:rPr>
      </w:r>
      <w:r>
        <w:rPr>
          <w:rFonts w:ascii="Tahoma" w:hAnsi="Tahoma"/>
        </w:rPr>
      </w:r>
    </w:p>
    <w:p>
      <w:pPr>
        <w:pStyle w:val="868"/>
        <w:pBdr/>
        <w:spacing/>
        <w:ind/>
        <w:jc w:val="center"/>
        <w:rPr/>
      </w:pPr>
      <w:r/>
      <w:r/>
    </w:p>
    <w:p>
      <w:pPr>
        <w:pStyle w:val="868"/>
        <w:pBdr/>
        <w:spacing/>
        <w:ind/>
        <w:jc w:val="center"/>
        <w:rPr/>
      </w:pPr>
      <w:r/>
      <w:r/>
    </w:p>
    <w:p>
      <w:pPr>
        <w:pBdr/>
        <w:spacing/>
        <w:ind/>
        <w:rPr/>
      </w:pPr>
      <w:r>
        <w:t xml:space="preserve">Versão 1.0</w:t>
      </w:r>
      <w:r/>
    </w:p>
    <w:p>
      <w:pPr>
        <w:pStyle w:val="884"/>
        <w:pBdr/>
        <w:spacing/>
        <w:ind/>
        <w:rPr/>
      </w:pPr>
      <w:r/>
      <w:r/>
    </w:p>
    <w:p>
      <w:pPr>
        <w:pStyle w:val="888"/>
        <w:pBdr/>
        <w:spacing/>
        <w:ind/>
        <w:jc w:val="right"/>
        <w:rPr>
          <w:rFonts w:ascii="Tahoma" w:hAnsi="Tahoma"/>
          <w:sz w:val="24"/>
        </w:rPr>
      </w:pPr>
      <w:r>
        <w:rPr>
          <w:rFonts w:ascii="Tahoma" w:hAnsi="Tahoma"/>
          <w:sz w:val="24"/>
        </w:rPr>
        <w:t xml:space="preserve">Histórico de Revisão</w:t>
      </w:r>
      <w:r>
        <w:rPr>
          <w:rFonts w:ascii="Tahoma" w:hAnsi="Tahoma"/>
          <w:sz w:val="24"/>
        </w:rPr>
      </w:r>
    </w:p>
    <w:tbl>
      <w:tblPr>
        <w:tblInd w:w="0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1170"/>
        <w:gridCol w:w="4860"/>
        <w:gridCol w:w="1746"/>
      </w:tblGrid>
      <w:tr>
        <w:trPr/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728" w:type="dxa"/>
            <w:vAlign w:val="top"/>
            <w:textDirection w:val="lrTb"/>
          </w:tcPr>
          <w:p>
            <w:pPr>
              <w:pStyle w:val="911"/>
              <w:pBdr/>
              <w:spacing/>
              <w:ind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 xml:space="preserve">Data</w:t>
            </w:r>
            <w:r>
              <w:rPr>
                <w:rFonts w:ascii="Tahoma" w:hAnsi="Tahoma"/>
                <w:b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170" w:type="dxa"/>
            <w:vAlign w:val="top"/>
            <w:textDirection w:val="lrTb"/>
          </w:tcPr>
          <w:p>
            <w:pPr>
              <w:pStyle w:val="911"/>
              <w:pBdr/>
              <w:spacing/>
              <w:ind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 xml:space="preserve">Versão</w:t>
            </w:r>
            <w:r>
              <w:rPr>
                <w:rFonts w:ascii="Tahoma" w:hAnsi="Tahoma"/>
                <w:b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4860" w:type="dxa"/>
            <w:vAlign w:val="top"/>
            <w:textDirection w:val="lrTb"/>
          </w:tcPr>
          <w:p>
            <w:pPr>
              <w:pStyle w:val="911"/>
              <w:pBdr/>
              <w:spacing/>
              <w:ind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 xml:space="preserve">Descrição</w:t>
            </w:r>
            <w:r>
              <w:rPr>
                <w:rFonts w:ascii="Tahoma" w:hAnsi="Tahoma"/>
                <w:b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746" w:type="dxa"/>
            <w:vAlign w:val="top"/>
            <w:textDirection w:val="lrTb"/>
          </w:tcPr>
          <w:p>
            <w:pPr>
              <w:pStyle w:val="911"/>
              <w:pBdr/>
              <w:spacing/>
              <w:ind/>
              <w:jc w:val="center"/>
              <w:rPr>
                <w:rFonts w:ascii="Tahoma" w:hAnsi="Tahoma"/>
                <w:b/>
                <w:lang w:val="es-ES_tradnl"/>
              </w:rPr>
            </w:pPr>
            <w:r>
              <w:rPr>
                <w:rFonts w:ascii="Tahoma" w:hAnsi="Tahoma"/>
                <w:b/>
                <w:lang w:val="es-ES_tradnl"/>
              </w:rPr>
              <w:t xml:space="preserve">Autor</w:t>
            </w:r>
            <w:r>
              <w:rPr>
                <w:rFonts w:ascii="Tahoma" w:hAnsi="Tahoma"/>
                <w:b/>
                <w:lang w:val="es-ES_tradnl"/>
              </w:rPr>
            </w:r>
          </w:p>
        </w:tc>
      </w:tr>
      <w:tr>
        <w:trPr/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728" w:type="dxa"/>
            <w:vAlign w:val="top"/>
            <w:textDirection w:val="lrTb"/>
          </w:tcPr>
          <w:p>
            <w:pPr>
              <w:pBdr/>
              <w:spacing/>
              <w:ind/>
              <w:rPr/>
            </w:pPr>
            <w:r>
              <w:t xml:space="preserve">13/06/2026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170" w:type="dxa"/>
            <w:vAlign w:val="top"/>
            <w:textDirection w:val="lrTb"/>
          </w:tcPr>
          <w:p>
            <w:pPr>
              <w:pBdr/>
              <w:spacing/>
              <w:ind/>
              <w:rPr/>
            </w:pPr>
            <w:r>
              <w:t xml:space="preserve">1.0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4860" w:type="dxa"/>
            <w:vAlign w:val="top"/>
            <w:textDirection w:val="lrTb"/>
          </w:tcPr>
          <w:p>
            <w:pPr>
              <w:pBdr/>
              <w:spacing/>
              <w:ind/>
              <w:rPr/>
            </w:pPr>
            <w:r>
              <w:t xml:space="preserve">Revisão textual e formalização do documento de regras de negócio do sistema Mione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746" w:type="dxa"/>
            <w:vAlign w:val="top"/>
            <w:textDirection w:val="lrTb"/>
          </w:tcPr>
          <w:p>
            <w:pPr>
              <w:pBdr/>
              <w:spacing/>
              <w:ind/>
              <w:rPr/>
            </w:pPr>
            <w:r>
              <w:t xml:space="preserve">Kerlla Luz</w:t>
            </w:r>
            <w:r/>
          </w:p>
        </w:tc>
      </w:tr>
      <w:tr>
        <w:trPr/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728" w:type="dxa"/>
            <w:vAlign w:val="top"/>
            <w:textDirection w:val="lrTb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170" w:type="dxa"/>
            <w:vAlign w:val="top"/>
            <w:textDirection w:val="lrTb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4860" w:type="dxa"/>
            <w:vAlign w:val="top"/>
            <w:textDirection w:val="lrTb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746" w:type="dxa"/>
            <w:vAlign w:val="top"/>
            <w:textDirection w:val="lrTb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728" w:type="dxa"/>
            <w:vAlign w:val="top"/>
            <w:textDirection w:val="lrTb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170" w:type="dxa"/>
            <w:vAlign w:val="top"/>
            <w:textDirection w:val="lrTb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4860" w:type="dxa"/>
            <w:vAlign w:val="top"/>
            <w:textDirection w:val="lrTb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746" w:type="dxa"/>
            <w:vAlign w:val="top"/>
            <w:textDirection w:val="lrTb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Style w:val="868"/>
        <w:pBdr/>
        <w:spacing/>
        <w:ind/>
        <w:jc w:val="center"/>
        <w:rPr/>
        <w:sectPr>
          <w:headerReference w:type="even" r:id="rId9"/>
          <w:footnotePr/>
          <w:endnotePr>
            <w:numFmt w:val="decimal"/>
          </w:endnotePr>
          <w:type w:val="nextPage"/>
          <w:pgSz w:h="16834" w:orient="portrait" w:w="11909"/>
          <w:pgMar w:top="864" w:right="1440" w:bottom="864" w:left="1440" w:header="720" w:footer="864" w:gutter="0"/>
          <w:cols w:num="1" w:sep="0" w:space="720" w:equalWidth="1"/>
        </w:sectPr>
      </w:pPr>
      <w:r/>
      <w:r/>
    </w:p>
    <w:p>
      <w:pPr>
        <w:pStyle w:val="906"/>
        <w:pBdr/>
        <w:spacing/>
        <w:ind w:right="-427"/>
        <w:rPr/>
      </w:pPr>
      <w:r>
        <w:t xml:space="preserve">Sumário</w:t>
      </w:r>
      <w:r/>
    </w:p>
    <w:p>
      <w:pPr>
        <w:pStyle w:val="868"/>
        <w:pBdr/>
        <w:spacing/>
        <w:ind/>
        <w:rPr/>
      </w:pPr>
      <w:r>
        <w:rPr>
          <w:b/>
          <w:caps/>
          <w:sz w:val="24"/>
        </w:rPr>
        <w:fldChar w:fldCharType="end"/>
      </w:r>
      <w:r/>
    </w:p>
    <w:p>
      <w:pPr>
        <w:pStyle w:val="868"/>
        <w:pBdr/>
        <w:spacing/>
        <w:ind/>
        <w:rPr/>
        <w:sectPr>
          <w:headerReference w:type="default" r:id="rId10"/>
          <w:footerReference w:type="default" r:id="rId12"/>
          <w:footnotePr/>
          <w:endnotePr>
            <w:numFmt w:val="decimal"/>
          </w:endnotePr>
          <w:type w:val="nextPage"/>
          <w:pgSz w:h="16838" w:orient="portrait" w:w="11906"/>
          <w:pgMar w:top="1134" w:right="1701" w:bottom="2041" w:left="1134" w:header="680" w:footer="680" w:gutter="567"/>
          <w:cols w:num="1" w:sep="0" w:space="720" w:equalWidth="1"/>
        </w:sectPr>
      </w:pPr>
      <w:r/>
      <w:r/>
    </w:p>
    <w:p>
      <w:pPr>
        <w:pStyle w:val="869"/>
        <w:pBdr/>
        <w:tabs>
          <w:tab w:val="clear" w:leader="none" w:pos="360"/>
        </w:tabs>
        <w:spacing w:after="480" w:before="0"/>
        <w:ind/>
        <w:jc w:val="right"/>
        <w:rPr/>
      </w:pPr>
      <w:r/>
      <w:bookmarkStart w:id="2" w:name="_Toc467473439"/>
      <w:r/>
      <w:bookmarkStart w:id="3" w:name="_Toc467473971"/>
      <w:r/>
      <w:bookmarkStart w:id="4" w:name="_Toc467477710"/>
      <w:r/>
      <w:bookmarkStart w:id="5" w:name="_Toc467494864"/>
      <w:r/>
      <w:bookmarkStart w:id="6" w:name="_Toc467495234"/>
      <w:r/>
      <w:bookmarkStart w:id="7" w:name="_Toc468086040"/>
      <w:r>
        <w:t xml:space="preserve">Introdução</w:t>
      </w:r>
      <w:bookmarkEnd w:id="2"/>
      <w:r/>
      <w:bookmarkEnd w:id="3"/>
      <w:r/>
      <w:bookmarkEnd w:id="4"/>
      <w:r/>
      <w:bookmarkEnd w:id="5"/>
      <w:r/>
      <w:bookmarkEnd w:id="6"/>
      <w:r/>
      <w:bookmarkEnd w:id="7"/>
      <w:r/>
      <w:r/>
    </w:p>
    <w:p>
      <w:pPr>
        <w:pBdr/>
        <w:spacing/>
        <w:ind/>
        <w:rPr/>
      </w:pPr>
      <w:r>
        <w:t xml:space="preserve">Este documento apresenta as regras de negócio do sistem</w:t>
      </w:r>
      <w:r>
        <w:t xml:space="preserve">a Mione, estabelecendo as diretrizes funcionais, restrições operacionais e critérios de comportamento aplicáveis aos processos de autenticação, gestão de usuários, disciplinas, disponibilidades, horários e atendimentos de monitoria.</w:t>
      </w:r>
      <w:r/>
    </w:p>
    <w:p>
      <w:pPr>
        <w:pBdr/>
        <w:spacing/>
        <w:ind/>
        <w:rPr/>
      </w:pPr>
      <w:r>
        <w:t xml:space="preserve">Seu conteúdo destina-se ao apoio das atividades de análise de requisitos, desenvolvimento, testes, homologação e manutenção evolutiva, devendo ser utilizado como referência formal para interpretação do comportamento esperado do sistema.</w:t>
      </w:r>
      <w:r/>
    </w:p>
    <w:p>
      <w:pPr>
        <w:pStyle w:val="870"/>
        <w:pBdr/>
        <w:shd w:val="pct20" w:color="auto" w:fill="auto"/>
        <w:tabs>
          <w:tab w:val="clear" w:leader="none" w:pos="360"/>
        </w:tabs>
        <w:spacing w:after="120"/>
        <w:ind/>
        <w:rPr/>
      </w:pPr>
      <w:r/>
      <w:bookmarkStart w:id="8" w:name="_Toc467473441"/>
      <w:r/>
      <w:bookmarkStart w:id="9" w:name="_Toc467473973"/>
      <w:r/>
      <w:bookmarkStart w:id="10" w:name="_Toc467477712"/>
      <w:r/>
      <w:bookmarkStart w:id="11" w:name="_Toc467494866"/>
      <w:r/>
      <w:bookmarkStart w:id="12" w:name="_Toc467495236"/>
      <w:r/>
      <w:bookmarkStart w:id="13" w:name="_Toc468086042"/>
      <w:r/>
      <w:bookmarkStart w:id="14" w:name="_Toc427311293"/>
      <w:r>
        <w:t xml:space="preserve">Convenções, termos e abreviações</w:t>
      </w:r>
      <w:bookmarkEnd w:id="8"/>
      <w:r/>
      <w:bookmarkEnd w:id="9"/>
      <w:r/>
      <w:bookmarkEnd w:id="10"/>
      <w:r/>
      <w:bookmarkEnd w:id="11"/>
      <w:r/>
      <w:bookmarkEnd w:id="12"/>
      <w:r/>
      <w:bookmarkEnd w:id="13"/>
      <w:r/>
      <w:bookmarkEnd w:id="14"/>
      <w:r/>
      <w:r/>
    </w:p>
    <w:p>
      <w:pPr>
        <w:pBdr/>
        <w:spacing/>
        <w:ind/>
        <w:rPr/>
      </w:pPr>
      <w:r>
        <w:t xml:space="preserve">Perfil ativo: papel sel</w:t>
      </w:r>
      <w:r>
        <w:t xml:space="preserve">ecionado pelo usuário para utilização da sessão autenticada. Horário pontual: slot de monitoria criado para data e horário específicos. Disponibilidade recorrente: regra semanal destinada à geração programada de slots futuros. Período letivo ativo: semestr</w:t>
      </w:r>
      <w:r>
        <w:t xml:space="preserve">e vigente adotado como referência para criação de horários e disponibilidades. Token de cadastro: vínculo temporário utilizado para cadastro público de aluno ou monitor. Token de troca de senha: vínculo temporário utilizado para redefinição de credenciais.</w:t>
      </w:r>
      <w:r/>
    </w:p>
    <w:p>
      <w:pPr>
        <w:pStyle w:val="870"/>
        <w:pBdr/>
        <w:shd w:val="pct20" w:color="auto" w:fill="auto"/>
        <w:tabs>
          <w:tab w:val="clear" w:leader="none" w:pos="360"/>
        </w:tabs>
        <w:spacing w:after="120"/>
        <w:ind/>
        <w:rPr/>
      </w:pPr>
      <w:r/>
      <w:bookmarkStart w:id="15" w:name="_Ref471394537"/>
      <w:r/>
      <w:bookmarkStart w:id="16" w:name="_Hlt467473290"/>
      <w:r/>
      <w:bookmarkStart w:id="17" w:name="_Toc467473442"/>
      <w:r/>
      <w:bookmarkStart w:id="18" w:name="_Toc467473974"/>
      <w:r/>
      <w:bookmarkStart w:id="19" w:name="_Toc467477713"/>
      <w:r/>
      <w:bookmarkStart w:id="20" w:name="_Toc467494867"/>
      <w:r/>
      <w:bookmarkStart w:id="21" w:name="_Toc467495237"/>
      <w:r/>
      <w:bookmarkStart w:id="22" w:name="_Toc468086045"/>
      <w:r/>
      <w:bookmarkStart w:id="23" w:name="_Toc427311294"/>
      <w:r/>
      <w:bookmarkEnd w:id="15"/>
      <w:r>
        <w:t xml:space="preserve">Referências</w:t>
      </w:r>
      <w:bookmarkEnd w:id="16"/>
      <w:r/>
      <w:bookmarkEnd w:id="17"/>
      <w:r/>
      <w:bookmarkEnd w:id="18"/>
      <w:r/>
      <w:bookmarkEnd w:id="19"/>
      <w:r/>
      <w:bookmarkEnd w:id="20"/>
      <w:r/>
      <w:bookmarkEnd w:id="21"/>
      <w:r/>
      <w:bookmarkEnd w:id="22"/>
      <w:r/>
      <w:bookmarkEnd w:id="23"/>
      <w:r/>
      <w:r/>
    </w:p>
    <w:p>
      <w:pPr>
        <w:pBdr/>
        <w:spacing/>
        <w:ind/>
        <w:rPr/>
      </w:pPr>
      <w:r>
        <w:t xml:space="preserve">Os documentos de requisitos, visão, glossário, especificação técnica e casos de uso complementam a interpretação deste documento e deverão ser consultados sempre que houver necessidade de detalhamento adicional ou esclarecimento de contexto funcional.</w:t>
      </w:r>
      <w:r/>
    </w:p>
    <w:p>
      <w:pPr>
        <w:pBdr/>
        <w:spacing/>
        <w:ind/>
        <w:rPr/>
      </w:pPr>
      <w:r>
        <w:t xml:space="preserve">Documentos relacionados ao sistema Mione e mencionados nas seções subsequentes:</w:t>
      </w:r>
      <w:r/>
    </w:p>
    <w:tbl>
      <w:tblPr>
        <w:tblInd w:w="0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Look w:val="01E0" w:firstRow="1" w:lastRow="1" w:firstColumn="1" w:lastColumn="1" w:noHBand="0" w:noVBand="0"/>
      </w:tblPr>
      <w:tblGrid>
        <w:gridCol w:w="2463"/>
        <w:gridCol w:w="1245"/>
        <w:gridCol w:w="900"/>
        <w:gridCol w:w="5246"/>
      </w:tblGrid>
      <w:tr>
        <w:trPr/>
        <w:tc>
          <w:tcPr>
            <w:shd w:val="clear" w:color="auto" w:fill="d9d9d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463" w:type="dxa"/>
            <w:vAlign w:val="top"/>
            <w:textDirection w:val="lrTb"/>
          </w:tcPr>
          <w:p>
            <w:pPr>
              <w:pStyle w:val="904"/>
              <w:pBdr/>
              <w:spacing/>
              <w:ind w:left="0"/>
              <w:jc w:val="center"/>
              <w:rPr>
                <w:b/>
              </w:rPr>
            </w:pPr>
            <w:r>
              <w:rPr>
                <w:b/>
              </w:rPr>
              <w:t xml:space="preserve">Documento</w:t>
            </w:r>
            <w:r>
              <w:rPr>
                <w:b/>
              </w:rPr>
            </w:r>
          </w:p>
        </w:tc>
        <w:tc>
          <w:tcPr>
            <w:shd w:val="clear" w:color="auto" w:fill="d9d9d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45" w:type="dxa"/>
            <w:vAlign w:val="top"/>
            <w:textDirection w:val="lrTb"/>
          </w:tcPr>
          <w:p>
            <w:pPr>
              <w:pStyle w:val="904"/>
              <w:pBdr/>
              <w:spacing/>
              <w:ind w:left="0"/>
              <w:jc w:val="center"/>
              <w:rPr>
                <w:b/>
              </w:rPr>
            </w:pPr>
            <w:r>
              <w:rPr>
                <w:b/>
              </w:rPr>
              <w:t xml:space="preserve">Data</w:t>
            </w:r>
            <w:r>
              <w:rPr>
                <w:b/>
              </w:rPr>
            </w:r>
          </w:p>
        </w:tc>
        <w:tc>
          <w:tcPr>
            <w:shd w:val="clear" w:color="auto" w:fill="d9d9d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00" w:type="dxa"/>
            <w:vAlign w:val="top"/>
            <w:textDirection w:val="lrTb"/>
          </w:tcPr>
          <w:p>
            <w:pPr>
              <w:pStyle w:val="904"/>
              <w:pBdr/>
              <w:spacing/>
              <w:ind w:left="0"/>
              <w:jc w:val="center"/>
              <w:rPr>
                <w:b/>
              </w:rPr>
            </w:pPr>
            <w:r>
              <w:rPr>
                <w:b/>
              </w:rPr>
              <w:t xml:space="preserve">Versão</w:t>
            </w:r>
            <w:r>
              <w:rPr>
                <w:b/>
              </w:rPr>
            </w:r>
          </w:p>
        </w:tc>
        <w:tc>
          <w:tcPr>
            <w:shd w:val="clear" w:color="auto" w:fill="d9d9d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246" w:type="dxa"/>
            <w:vAlign w:val="top"/>
            <w:textDirection w:val="lrTb"/>
          </w:tcPr>
          <w:p>
            <w:pPr>
              <w:pStyle w:val="904"/>
              <w:pBdr/>
              <w:spacing/>
              <w:ind w:left="0"/>
              <w:jc w:val="center"/>
              <w:rPr>
                <w:b/>
              </w:rPr>
            </w:pPr>
            <w:r>
              <w:rPr>
                <w:b/>
              </w:rPr>
              <w:t xml:space="preserve">Local</w:t>
            </w:r>
            <w:r>
              <w:rPr>
                <w:b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463" w:type="dxa"/>
            <w:vAlign w:val="top"/>
            <w:textDirection w:val="lrTb"/>
          </w:tcPr>
          <w:p>
            <w:pPr>
              <w:pBdr/>
              <w:spacing/>
              <w:ind/>
              <w:rPr/>
            </w:pPr>
            <w:r>
              <w:t xml:space="preserve">Documento de Requisitos.doc</w:t>
            </w:r>
            <w:r/>
          </w:p>
          <w:p>
            <w:pPr>
              <w:pBdr/>
              <w:spacing/>
              <w:ind/>
              <w:rPr/>
            </w:pPr>
            <w:r>
              <w:t xml:space="preserve">Documento de Visão.doc</w:t>
            </w:r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45" w:type="dxa"/>
            <w:vAlign w:val="top"/>
            <w:textDirection w:val="lrTb"/>
          </w:tcPr>
          <w:p>
            <w:pPr>
              <w:pBdr/>
              <w:spacing/>
              <w:ind/>
              <w:rPr/>
            </w:pPr>
            <w:r>
              <w:t xml:space="preserve">13/06/2026</w:t>
            </w:r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00" w:type="dxa"/>
            <w:vAlign w:val="top"/>
            <w:textDirection w:val="lrTb"/>
          </w:tcPr>
          <w:p>
            <w:pPr>
              <w:pBdr/>
              <w:spacing/>
              <w:ind/>
              <w:rPr/>
            </w:pPr>
            <w:r>
              <w:t xml:space="preserve">Em revisão</w:t>
            </w:r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246" w:type="dxa"/>
            <w:vAlign w:val="top"/>
            <w:textDirection w:val="lrTb"/>
          </w:tcPr>
          <w:p>
            <w:pPr>
              <w:pBdr/>
              <w:spacing/>
              <w:ind/>
              <w:rPr/>
            </w:pPr>
            <w:r>
              <w:t xml:space="preserve">Pasta doc</w:t>
            </w:r>
            <w:r/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463" w:type="dxa"/>
            <w:vAlign w:val="top"/>
            <w:textDirection w:val="lrTb"/>
          </w:tcPr>
          <w:p>
            <w:pPr>
              <w:pBdr/>
              <w:spacing/>
              <w:ind/>
              <w:rPr/>
            </w:pPr>
            <w:r>
              <w:t xml:space="preserve">Documento de Glossário.doc</w:t>
            </w:r>
            <w:r/>
          </w:p>
          <w:p>
            <w:pPr>
              <w:pBdr/>
              <w:spacing/>
              <w:ind/>
              <w:rPr/>
            </w:pPr>
            <w:r>
              <w:t xml:space="preserve">Especificação Técnica.doc</w:t>
            </w:r>
            <w:r/>
          </w:p>
          <w:p>
            <w:pPr>
              <w:pBdr/>
              <w:spacing/>
              <w:ind/>
              <w:rPr/>
            </w:pPr>
            <w:r>
              <w:t xml:space="preserve">Especificação de Caso de Uso.doc</w:t>
            </w:r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45" w:type="dxa"/>
            <w:vAlign w:val="top"/>
            <w:textDirection w:val="lrTb"/>
          </w:tcPr>
          <w:p>
            <w:pPr>
              <w:pBdr/>
              <w:spacing/>
              <w:ind/>
              <w:rPr/>
            </w:pPr>
            <w:r>
              <w:t xml:space="preserve">13/06/2026</w:t>
            </w:r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00" w:type="dxa"/>
            <w:vAlign w:val="top"/>
            <w:textDirection w:val="lrTb"/>
          </w:tcPr>
          <w:p>
            <w:pPr>
              <w:pBdr/>
              <w:spacing/>
              <w:ind/>
              <w:rPr/>
            </w:pPr>
            <w:r>
              <w:t xml:space="preserve">Em revisão</w:t>
            </w:r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246" w:type="dxa"/>
            <w:vAlign w:val="top"/>
            <w:textDirection w:val="lrTb"/>
          </w:tcPr>
          <w:p>
            <w:pPr>
              <w:pBdr/>
              <w:spacing/>
              <w:ind/>
              <w:rPr/>
            </w:pPr>
            <w:r>
              <w:t xml:space="preserve">Pasta doc</w:t>
            </w:r>
            <w:r/>
          </w:p>
        </w:tc>
      </w:tr>
    </w:tbl>
    <w:p>
      <w:pPr>
        <w:pStyle w:val="904"/>
        <w:pBdr/>
        <w:spacing/>
        <w:ind/>
        <w:rPr/>
      </w:pPr>
      <w:r>
        <w:br w:type="page" w:clear="all"/>
      </w:r>
      <w:r/>
    </w:p>
    <w:p>
      <w:pPr>
        <w:pStyle w:val="905"/>
        <w:framePr w:hAnchor="page" w:hSpace="180" w:vAnchor="text" w:wrap="around" w:x="9937" w:y="1"/>
        <w:pBdr/>
        <w:spacing/>
        <w:ind/>
        <w:rPr>
          <w:sz w:val="24"/>
        </w:rPr>
      </w:pPr>
      <w:r/>
      <w:bookmarkStart w:id="24" w:name="_Toc467473443"/>
      <w:r/>
      <w:bookmarkStart w:id="25" w:name="_Toc467473975"/>
      <w:r/>
      <w:bookmarkStart w:id="26" w:name="_Toc467477714"/>
      <w:r/>
      <w:bookmarkStart w:id="27" w:name="_Toc467494868"/>
      <w:r/>
      <w:bookmarkStart w:id="28" w:name="_Toc467495238"/>
      <w:r/>
      <w:bookmarkStart w:id="29" w:name="_Toc468086046"/>
      <w:r>
        <w:rPr>
          <w:sz w:val="24"/>
        </w:rPr>
      </w:r>
      <w:r>
        <w:rPr>
          <w:sz w:val="24"/>
        </w:rPr>
      </w:r>
    </w:p>
    <w:p>
      <w:pPr>
        <w:pStyle w:val="904"/>
        <w:pBdr/>
        <w:spacing w:after="0" w:before="0"/>
        <w:ind/>
        <w:jc w:val="right"/>
        <w:rPr/>
      </w:pPr>
      <w:r>
        <w:rPr>
          <w:rFonts w:ascii="Arial" w:hAnsi="Arial"/>
          <w:b/>
          <w:sz w:val="24"/>
        </w:rPr>
        <w:t xml:space="preserve">Capítulo</w:t>
      </w:r>
      <w:r/>
    </w:p>
    <w:p>
      <w:pPr>
        <w:pStyle w:val="869"/>
        <w:pBdr/>
        <w:tabs>
          <w:tab w:val="clear" w:leader="none" w:pos="360"/>
        </w:tabs>
        <w:spacing w:after="480" w:before="0"/>
        <w:ind/>
        <w:jc w:val="right"/>
        <w:rPr/>
      </w:pPr>
      <w:r/>
      <w:bookmarkEnd w:id="24"/>
      <w:r/>
      <w:bookmarkEnd w:id="25"/>
      <w:r/>
      <w:bookmarkEnd w:id="26"/>
      <w:r/>
      <w:bookmarkEnd w:id="27"/>
      <w:r/>
      <w:bookmarkEnd w:id="28"/>
      <w:r/>
      <w:bookmarkEnd w:id="29"/>
      <w:r>
        <w:t xml:space="preserve">REGRAS DE NEGÓCIOS</w:t>
      </w:r>
      <w:r/>
    </w:p>
    <w:p>
      <w:pPr>
        <w:pStyle w:val="869"/>
        <w:numPr>
          <w:ilvl w:val="0"/>
          <w:numId w:val="0"/>
        </w:numPr>
        <w:pBdr/>
        <w:spacing/>
        <w:ind/>
        <w:rPr/>
      </w:pPr>
      <w:r/>
      <w:bookmarkStart w:id="30" w:name="_Toc264624097"/>
      <w:r>
        <w:t xml:space="preserve">Definições</w:t>
      </w:r>
      <w:bookmarkEnd w:id="30"/>
      <w:r/>
      <w:r/>
    </w:p>
    <w:p>
      <w:pPr>
        <w:pBdr/>
        <w:spacing/>
        <w:ind/>
        <w:rPr/>
      </w:pPr>
      <w:r>
        <w:t xml:space="preserve">As regras de negócio aqui de</w:t>
      </w:r>
      <w:r>
        <w:t xml:space="preserve">scritas estabelecem as obrigações funcionais do sistema, independentemente da solução técnica empregada para sua implementação. As identificações RN[XXX] são utilizadas para assegurar rastreabilidade entre requisitos, desenvolvimento, testes e homologação.</w:t>
      </w:r>
      <w:r/>
    </w:p>
    <w:p>
      <w:pPr>
        <w:pBdr/>
        <w:spacing/>
        <w:ind/>
        <w:rPr/>
      </w:pPr>
      <w:r>
        <w:t xml:space="preserve">As regras foram agrupadas por domínio funcional, com o objetivo de promover maior clareza, consistência documental e facilidade de manutenção.</w:t>
      </w:r>
      <w:r/>
    </w:p>
    <w:p>
      <w:pPr>
        <w:pStyle w:val="868"/>
        <w:pBdr/>
        <w:spacing/>
        <w:ind/>
        <w:rPr>
          <w:lang w:val="pt-PT"/>
        </w:rPr>
      </w:pPr>
      <w:r>
        <w:t xml:space="preserve">2.1. Autenticação, Perfis e Gestão de Usuários</w:t>
      </w:r>
      <w:r>
        <w:rPr>
          <w:lang w:val="pt-PT"/>
        </w:rPr>
      </w:r>
    </w:p>
    <w:p>
      <w:pPr>
        <w:pStyle w:val="868"/>
        <w:pBdr/>
        <w:spacing/>
        <w:ind/>
        <w:rPr>
          <w:lang w:val="pt-PT"/>
        </w:rPr>
      </w:pPr>
      <w:r>
        <w:t xml:space="preserve">RN[2.1.1]. O acesso ao sistema deverá ocorrer exclusivamente mediante autenticação por email e senha válidos, mantendo-se sessão autenticada e observando-se as restrições de acesso impostas pelo perfil ativo do usuário.</w:t>
      </w:r>
      <w:r>
        <w:rPr>
          <w:lang w:val="pt-PT"/>
        </w:rPr>
      </w:r>
    </w:p>
    <w:p>
      <w:pPr>
        <w:pStyle w:val="868"/>
        <w:pBdr/>
        <w:spacing/>
        <w:ind/>
        <w:rPr>
          <w:lang w:val="pt-PT"/>
        </w:rPr>
      </w:pPr>
      <w:r>
        <w:t xml:space="preserve">RN[2.1.2]. Quando um mesmo usuário possuir mais de um perfil de acesso, o sistema deverá permitir a seleção e a alternância do perfil ativo sem exigência de novo cadastro.</w:t>
      </w:r>
      <w:r>
        <w:rPr>
          <w:lang w:val="pt-PT"/>
        </w:rPr>
      </w:r>
    </w:p>
    <w:p>
      <w:pPr>
        <w:pStyle w:val="868"/>
        <w:pBdr/>
        <w:spacing/>
        <w:ind/>
        <w:rPr>
          <w:lang w:val="pt-PT"/>
        </w:rPr>
      </w:pPr>
      <w:r>
        <w:t xml:space="preserve">RN[2.1.3]. As funcionalidades administrativas dev</w:t>
      </w:r>
      <w:r>
        <w:t xml:space="preserve">erão ser protegidas por mecanismos de autorização compatíveis com o perfil ativo. O coordenador deverá gerenciar alunos, monitores e disciplinas. O administrador deverá possuir os mesmos poderes e, adicionalmente, gerenciar coordenadores e administradores.</w:t>
      </w:r>
      <w:r>
        <w:rPr>
          <w:lang w:val="pt-PT"/>
        </w:rPr>
      </w:r>
    </w:p>
    <w:p>
      <w:pPr>
        <w:pStyle w:val="868"/>
        <w:pBdr/>
        <w:spacing/>
        <w:ind/>
        <w:rPr>
          <w:lang w:val="pt-PT"/>
        </w:rPr>
      </w:pPr>
      <w:r>
        <w:t xml:space="preserve">RN[2.1.4]. Sempre que um token público de cadastro ou redefinição de senha estiver inválido, expirado ou incompatível com o fluxo solicitado, o formulário correspondente não deverá ser exibido, devendo o sistema apresentar mensagem controlada ao usuário.</w:t>
      </w:r>
      <w:r>
        <w:rPr>
          <w:lang w:val="pt-PT"/>
        </w:rPr>
      </w:r>
    </w:p>
    <w:p>
      <w:pPr>
        <w:pBdr/>
        <w:spacing/>
        <w:ind/>
        <w:rPr/>
      </w:pPr>
      <w:r>
        <w:t xml:space="preserve">2.2. Cadastro, Monitoria e Atendimentos</w:t>
      </w:r>
      <w:r/>
    </w:p>
    <w:p>
      <w:pPr>
        <w:pBdr/>
        <w:spacing/>
        <w:ind/>
        <w:rPr/>
      </w:pPr>
      <w:r>
        <w:t xml:space="preserve">RN[2.2.1]. O coordenador e o administrador deverão poder cadastrar usuários diretamente pela interface de gestão, ativar ou desativar perfis e gerar links públicos de cadastro para os perfis compatíveis com seu nível de acesso.</w:t>
      </w:r>
      <w:r/>
    </w:p>
    <w:p>
      <w:pPr>
        <w:pStyle w:val="896"/>
        <w:pBdr/>
        <w:spacing w:after="0" w:afterAutospacing="0" w:before="0" w:beforeAutospacing="0"/>
        <w:ind/>
        <w:rPr/>
      </w:pPr>
      <w:r>
        <w:t xml:space="preserve">RN[2.2.2]. Os processos de cadastro e atualização de usuários deverão exigir nome, email válido e único, telefone e, quando aplicável, senha compatível com os critérios mínimos de segurança definidos pelo sistema.</w:t>
      </w:r>
      <w:r/>
    </w:p>
    <w:p>
      <w:pPr>
        <w:pBdr/>
        <w:spacing/>
        <w:ind/>
        <w:rPr/>
      </w:pPr>
      <w:r>
        <w:t xml:space="preserve">RN[2.2.3]. O usuário autenticado deverá poder atualizar, em Meu Perfil, seus dados pessoais de nome, email e telefone, respeitando-se as validações de formato e unicidade do email.</w:t>
      </w:r>
      <w:r/>
    </w:p>
    <w:p>
      <w:pPr>
        <w:pBdr/>
        <w:spacing/>
        <w:ind/>
        <w:rPr/>
      </w:pPr>
      <w:r>
        <w:t xml:space="preserve">RN[2.2.4]. Alunos e monitores cadastrados por meio de link público deverão ser criados inicialmente com perfil inativo, dependendo de ativação posterior pela gestão responsável.</w:t>
      </w:r>
      <w:r/>
    </w:p>
    <w:p>
      <w:pPr>
        <w:pBdr/>
        <w:spacing/>
        <w:ind/>
        <w:rPr/>
      </w:pPr>
      <w:r>
        <w:t xml:space="preserve">RN[2.2.5]. O sistema não deverá permitir o vínculo duplicado de um mesmo perfil a um usuário, nem a desativação de perfil que já se encontre inativo.</w:t>
      </w:r>
      <w:r/>
    </w:p>
    <w:p>
      <w:pPr>
        <w:pBdr/>
        <w:spacing/>
        <w:ind/>
        <w:rPr/>
      </w:pPr>
      <w:r>
        <w:t xml:space="preserve">RN[2.2.6]. O sistema deverá gerar links temporários de cadastro para aluno e monitor, sendo cada token válido apenas para o tipo correspondente e obrigatoriamente validado antes da exibição do formulário.</w:t>
      </w:r>
      <w:r/>
    </w:p>
    <w:p>
      <w:pPr>
        <w:pBdr/>
        <w:spacing/>
        <w:ind/>
        <w:rPr/>
      </w:pPr>
      <w:r>
        <w:t xml:space="preserve">RN[2.2.7]. O processo de recuperação de senha deverá utilizar link temporário e resposta genérica, sem confirmação explícita da existência do email informado na base de dados.</w:t>
      </w:r>
      <w:r/>
    </w:p>
    <w:p>
      <w:pPr>
        <w:pBdr/>
        <w:spacing/>
        <w:ind/>
        <w:rPr/>
      </w:pPr>
      <w:r>
        <w:t xml:space="preserve">RN[2.2.8]. A nova senha definida por meio de token de recuperação deverá atender ao tamanho mínimo estabelecido e somente poderá ser aceita quando o token for válido, não expirado e compatível com o fluxo.</w:t>
      </w:r>
      <w:r/>
    </w:p>
    <w:p>
      <w:pPr>
        <w:pBdr/>
        <w:spacing/>
        <w:ind/>
        <w:rPr/>
      </w:pPr>
      <w:r>
        <w:t xml:space="preserve">RN[2.2.9]. O cadastro de disciplina deverá ocorrer a partir do nome informado, cabendo ao backend a geração automática do respectivo código. A edição da disciplina deverá permitir alteração apenas do nome, preservando-se o código já atribuído.</w:t>
      </w:r>
      <w:r/>
    </w:p>
    <w:p>
      <w:pPr>
        <w:pBdr/>
        <w:spacing/>
        <w:ind/>
        <w:rPr/>
      </w:pPr>
      <w:r>
        <w:t xml:space="preserve">RN[2.2.10]. Não deverão existir dois períodos letivos com a mesma combinação de ano e semestre, e a criação de horários de monitoria somente poderá ocorrer quando houver período letivo ativo.</w:t>
      </w:r>
      <w:r/>
    </w:p>
    <w:p>
      <w:pPr>
        <w:pBdr/>
        <w:spacing/>
        <w:ind/>
        <w:rPr/>
      </w:pPr>
      <w:r>
        <w:t xml:space="preserve">RN[</w:t>
      </w:r>
      <w:r>
        <w:t xml:space="preserve">2.2.11]. O monitor deverá poder criar horário pontual mediante informação de disciplina, data, hora inicial e hora final, bem como criar disponibilidade recorrente mediante informação de disciplina, dia da semana, hora inicial, hora final e período letivo.</w:t>
      </w:r>
      <w:r/>
    </w:p>
    <w:p>
      <w:pPr>
        <w:pBdr/>
        <w:spacing/>
        <w:ind/>
        <w:rPr/>
      </w:pPr>
      <w:r>
        <w:t xml:space="preserve">RN[2.2.12]. O horário pontual deverá possuir início e fim válidos, com início obrigatoriamente anterior ao fim, não podendo ser criado para momento pretérito nem exceder duas horas de duração.</w:t>
      </w:r>
      <w:r/>
    </w:p>
    <w:p>
      <w:pPr>
        <w:pBdr/>
        <w:spacing/>
        <w:ind/>
        <w:rPr/>
      </w:pPr>
      <w:r>
        <w:t xml:space="preserve">RN[2.2.13]. O sistema não deverá permitir conflitos de agenda para o monitor entre horários pontuais e disponibilidades recorrentes aplicáveis.</w:t>
      </w:r>
      <w:r/>
    </w:p>
    <w:p>
      <w:pPr>
        <w:pBdr/>
        <w:spacing/>
        <w:ind/>
        <w:rPr/>
      </w:pPr>
      <w:r>
        <w:t xml:space="preserve">RN[2.2.14]. Disponibilidades recorrentes ativas deverão gerar slots futuros de forma automática, observando o período letivo, a janela de geração configurada e os mecanismos de prevenção de duplicidade.</w:t>
      </w:r>
      <w:r/>
    </w:p>
    <w:p>
      <w:pPr>
        <w:pBdr/>
        <w:spacing/>
        <w:ind/>
        <w:rPr/>
      </w:pPr>
      <w:r>
        <w:t xml:space="preserve">RN[2.2.15]. O monitor deverá poder bloquear manualmente um horário individual disponível e liberar horário previamente bloqueado, desde que o slot pertença à sua própria agenda.</w:t>
      </w:r>
      <w:r/>
    </w:p>
    <w:p>
      <w:pPr>
        <w:pBdr/>
        <w:spacing/>
        <w:ind/>
        <w:rPr/>
      </w:pPr>
      <w:r>
        <w:t xml:space="preserve">RN[2.2.16]. A desativação de uma disponibilidade recorrente deverá interromper a geração futura de novos slots, enquanto sua reativação deverá restabelecer a regra correspondente.</w:t>
      </w:r>
      <w:r/>
    </w:p>
    <w:p>
      <w:pPr>
        <w:pBdr/>
        <w:spacing/>
        <w:ind/>
        <w:rPr/>
      </w:pPr>
      <w:r>
        <w:t xml:space="preserve">RN[2.2.17]. Somente horários disponíveis poderão ser agendados por alunos. Não deverá ser permitido agendar horário já ocorrido, duplicar atendimento no mesmo slot ou criar conflito entre atendimentos de um mesmo aluno.</w:t>
      </w:r>
      <w:r/>
    </w:p>
    <w:p>
      <w:pPr>
        <w:pBdr/>
        <w:spacing/>
        <w:ind/>
        <w:rPr/>
      </w:pPr>
      <w:r>
        <w:t xml:space="preserve">RN[2.2.18]. O monitor não deverá poder realizar agendamento, na condição de aluno, em horário pertencente à própria agenda de monitoria.</w:t>
      </w:r>
      <w:r/>
    </w:p>
    <w:p>
      <w:pPr>
        <w:pBdr/>
        <w:spacing/>
        <w:ind/>
        <w:rPr/>
      </w:pPr>
      <w:r>
        <w:t xml:space="preserve">RN[2.2.19]. Após a conclusão de um agendamento, o slot correspondente deverá deixar de estar disponível e passar ao estado reservado.</w:t>
      </w:r>
      <w:r/>
    </w:p>
    <w:p>
      <w:pPr>
        <w:pBdr/>
        <w:spacing/>
        <w:ind/>
        <w:rPr/>
      </w:pPr>
      <w:r>
        <w:t xml:space="preserve">RN[2.2.20]. O cancelamento realizado pelo aluno ou pelo monitor deverá atualizar o status do atendimento e tornar novamente disponível o slot correspondente, quando aplicável.</w:t>
      </w:r>
      <w:r/>
    </w:p>
    <w:p>
      <w:pPr>
        <w:pBdr/>
        <w:spacing/>
        <w:ind/>
        <w:rPr/>
      </w:pPr>
      <w:r>
        <w:t xml:space="preserve">RN[2.2.21]. O monitor somente deverá poder cancelar atendimentos vinculados à sua própria agenda e consultar os atendimentos reservados em seus slots, inclusive com visualização de aluno, disciplina, horário, observação e status.</w:t>
      </w:r>
      <w:r/>
    </w:p>
    <w:p>
      <w:pPr>
        <w:pBdr/>
        <w:spacing/>
        <w:ind/>
        <w:rPr/>
      </w:pPr>
      <w:r>
        <w:t xml:space="preserve">RN[2.2.22]. O sistema deverá manter histórico de atendimentos por aluno, por monitor e por disciplina, bem como suportar o registro de realização e de ausências.</w:t>
      </w:r>
      <w:r/>
    </w:p>
    <w:p>
      <w:pPr>
        <w:pBdr/>
        <w:spacing/>
        <w:ind/>
        <w:rPr/>
      </w:pPr>
      <w:r>
        <w:t xml:space="preserve">RN[2.2.23]. O sistema deverá enviar emails relativos à recuperação de senha, à notificação de novo agendamento ao monitor e às mensagens de boas-vindas previstas nos fluxos específicos de cadastro.</w:t>
      </w:r>
      <w:r/>
    </w:p>
    <w:p>
      <w:pPr>
        <w:pBdr/>
        <w:spacing/>
        <w:ind/>
        <w:rPr/>
      </w:pPr>
      <w:r>
        <w:t xml:space="preserve">RN[2.2.24]. O coordenador deverá gerenciar alunos, monitores e disciplinas. O administrador deverá possuir as mesmas atribuições e, adicionalmente, gerenciar coordenadores e administradores.</w:t>
      </w:r>
      <w:r/>
    </w:p>
    <w:p>
      <w:pPr>
        <w:pBdr/>
        <w:spacing/>
        <w:ind/>
        <w:rPr/>
      </w:pPr>
      <w:r>
        <w:t xml:space="preserve">RN[2.2.25]. A ativação e a desativação de acesso deverão ocorrer por perfil, permitindo que um mesmo usuário mantenha diferentes perfis em estados distintos dentro do sistema.</w:t>
      </w:r>
      <w:r/>
    </w:p>
    <w:p>
      <w:pPr>
        <w:pStyle w:val="869"/>
        <w:pBdr/>
        <w:tabs>
          <w:tab w:val="num" w:leader="none" w:pos="567"/>
        </w:tabs>
        <w:spacing w:before="360"/>
        <w:ind/>
        <w:rPr/>
      </w:pPr>
      <w:r>
        <w:t xml:space="preserve">APROVAÇÃO</w:t>
      </w:r>
      <w:r/>
    </w:p>
    <w:p>
      <w:pPr>
        <w:pBdr/>
        <w:spacing/>
        <w:ind/>
        <w:rPr/>
      </w:pPr>
      <w:r>
        <w:t xml:space="preserve">Estou ciente e de acordo com as informações passadas por mim para composição deste documento e com o conteúdo deste.</w:t>
      </w:r>
      <w:r/>
    </w:p>
    <w:p>
      <w:pPr>
        <w:pStyle w:val="868"/>
        <w:pBdr/>
        <w:spacing/>
        <w:ind/>
        <w:rPr/>
      </w:pPr>
      <w:r/>
      <w:r/>
    </w:p>
    <w:tbl>
      <w:tblPr>
        <w:tblInd w:w="637" w:type="dxa"/>
        <w:tblW w:w="8793" w:type="dxa"/>
        <w:tblCellMar>
          <w:left w:w="70" w:type="dxa"/>
          <w:top w:w="0" w:type="dxa"/>
          <w:right w:w="70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4395"/>
        <w:gridCol w:w="4398"/>
      </w:tblGrid>
      <w:tr>
        <w:trPr/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395" w:type="dxa"/>
            <w:vAlign w:val="top"/>
            <w:textDirection w:val="lrTb"/>
          </w:tcPr>
          <w:p>
            <w:pPr>
              <w:pBdr/>
              <w:spacing/>
              <w:ind/>
              <w:rPr/>
            </w:pPr>
            <w:r>
              <w:t xml:space="preserve">Data :  13/06/2026</w:t>
            </w:r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4398" w:type="dxa"/>
            <w:vAlign w:val="top"/>
            <w:textDirection w:val="lrTb"/>
          </w:tcPr>
          <w:p>
            <w:pPr>
              <w:pBdr/>
              <w:spacing/>
              <w:ind/>
              <w:rPr/>
            </w:pPr>
            <w:r>
              <w:t xml:space="preserve">Data :  13/06/2026</w:t>
            </w:r>
            <w:r/>
          </w:p>
        </w:tc>
      </w:tr>
      <w:tr>
        <w:trPr/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4395" w:type="dxa"/>
            <w:vAlign w:val="top"/>
            <w:textDirection w:val="lrTb"/>
          </w:tcPr>
          <w:p>
            <w:pPr>
              <w:pBdr/>
              <w:spacing/>
              <w:ind/>
              <w:rPr/>
            </w:pPr>
            <w:r>
              <w:t xml:space="preserve">RESPONSÁVEL</w:t>
            </w:r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4398" w:type="dxa"/>
            <w:vAlign w:val="top"/>
            <w:textDirection w:val="lrTb"/>
          </w:tcPr>
          <w:p>
            <w:pPr>
              <w:pBdr/>
              <w:spacing/>
              <w:ind/>
              <w:rPr/>
            </w:pPr>
            <w:r>
              <w:t xml:space="preserve">SOLICITANTE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395" w:type="dxa"/>
            <w:vAlign w:val="top"/>
            <w:textDirection w:val="lrTb"/>
          </w:tcPr>
          <w:p>
            <w:pPr>
              <w:pBdr/>
              <w:spacing/>
              <w:ind/>
              <w:rPr/>
            </w:pPr>
            <w:r>
              <w:t xml:space="preserve">_____________________________________________</w:t>
            </w:r>
            <w:r/>
          </w:p>
          <w:p>
            <w:pPr>
              <w:pBdr/>
              <w:spacing/>
              <w:ind/>
              <w:rPr/>
            </w:pPr>
            <w:r>
              <w:t xml:space="preserve">Kerlla Luz</w:t>
            </w:r>
            <w:r/>
          </w:p>
          <w:p>
            <w:pPr>
              <w:pBdr/>
              <w:spacing/>
              <w:ind/>
              <w:rPr/>
            </w:pPr>
            <w:r>
              <w:t xml:space="preserve">Analista de Requisitos</w:t>
            </w:r>
            <w:r/>
          </w:p>
          <w:p>
            <w:pPr>
              <w:pBdr/>
              <w:spacing/>
              <w:ind/>
              <w:rPr/>
            </w:pPr>
            <w:r>
              <w:t xml:space="preserve">Labtech - UDF</w:t>
            </w:r>
            <w:r/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4398" w:type="dxa"/>
            <w:vAlign w:val="top"/>
            <w:textDirection w:val="lrTb"/>
          </w:tcPr>
          <w:p>
            <w:pPr>
              <w:pBdr/>
              <w:spacing/>
              <w:ind/>
              <w:rPr/>
            </w:pPr>
            <w:r>
              <w:t xml:space="preserve">_______________________________________________</w:t>
            </w:r>
            <w:r/>
          </w:p>
          <w:p>
            <w:pPr>
              <w:pBdr/>
              <w:spacing/>
              <w:ind/>
              <w:rPr/>
            </w:pPr>
            <w:r>
              <w:t xml:space="preserve">Kerlla Luz</w:t>
            </w:r>
            <w:r/>
          </w:p>
          <w:p>
            <w:pPr>
              <w:pBdr/>
              <w:spacing/>
              <w:ind/>
              <w:rPr/>
            </w:pPr>
            <w:r>
              <w:t xml:space="preserve">Solicitante</w:t>
            </w:r>
            <w:r/>
          </w:p>
          <w:p>
            <w:pPr>
              <w:pBdr/>
              <w:spacing/>
              <w:ind/>
              <w:rPr/>
            </w:pPr>
            <w:r>
              <w:t xml:space="preserve">Labtech - UDF</w:t>
            </w:r>
            <w:r/>
          </w:p>
        </w:tc>
      </w:tr>
    </w:tbl>
    <w:p>
      <w:pPr>
        <w:pStyle w:val="868"/>
        <w:pBdr/>
        <w:spacing/>
        <w:ind/>
        <w:jc w:val="center"/>
        <w:rPr/>
      </w:pPr>
      <w:r/>
      <w:r/>
    </w:p>
    <w:p>
      <w:pPr>
        <w:pStyle w:val="868"/>
        <w:pBdr/>
        <w:spacing/>
        <w:ind/>
        <w:rPr/>
      </w:pPr>
      <w:r/>
      <w:r/>
    </w:p>
    <w:p>
      <w:pPr>
        <w:pStyle w:val="868"/>
        <w:pBdr/>
        <w:spacing/>
        <w:ind/>
        <w:rPr/>
      </w:pPr>
      <w:r/>
      <w:r/>
    </w:p>
    <w:p>
      <w:pPr>
        <w:pStyle w:val="868"/>
        <w:pBdr/>
        <w:spacing/>
        <w:ind/>
        <w:rPr/>
      </w:pPr>
      <w:r/>
      <w:r/>
    </w:p>
    <w:sectPr>
      <w:headerReference w:type="default" r:id="rId11"/>
      <w:footerReference w:type="default" r:id="rId13"/>
      <w:footnotePr/>
      <w:endnotePr>
        <w:numFmt w:val="decimal"/>
      </w:endnotePr>
      <w:type w:val="nextPage"/>
      <w:pgSz w:h="16840" w:orient="portrait" w:w="11907"/>
      <w:pgMar w:top="851" w:right="851" w:bottom="851" w:left="1418" w:header="851" w:footer="851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Lucida Grande">
    <w:panose1 w:val="05040102010807070707"/>
  </w:font>
  <w:font w:name="Tahoma">
    <w:panose1 w:val="020B0502040504020204"/>
  </w:font>
  <w:font w:name="MS Mincho">
    <w:panose1 w:val="02020503050405090304"/>
  </w:font>
  <w:font w:name="Times New Roman">
    <w:panose1 w:val="02020603050405020304"/>
  </w:font>
  <w:font w:name="Arial Unicode MS">
    <w:panose1 w:val="020B060402020202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Ind w:w="0" w:type="dxa"/>
      <w:tblW w:w="0" w:type="auto"/>
      <w:tblCellMar>
        <w:left w:w="108" w:type="dxa"/>
        <w:top w:w="0" w:type="dxa"/>
        <w:right w:w="108" w:type="dxa"/>
        <w:bottom w:w="0" w:type="dxa"/>
      </w:tblCellMar>
      <w:tblBorders>
        <w:top w:val="single" w:color="auto" w:sz="4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Look w:val="04A0" w:firstRow="1" w:lastRow="0" w:firstColumn="1" w:lastColumn="0" w:noHBand="0" w:noVBand="1"/>
    </w:tblPr>
    <w:tblGrid>
      <w:gridCol w:w="6487"/>
      <w:gridCol w:w="2799"/>
    </w:tblGrid>
    <w:tr>
      <w:trPr/>
      <w:tc>
        <w:tcPr>
          <w:tcBorders>
            <w:top w:val="single" w:color="auto" w:sz="4" w:space="0"/>
          </w:tcBorders>
          <w:tcW w:w="6487" w:type="dxa"/>
          <w:vAlign w:val="top"/>
          <w:textDirection w:val="lrTb"/>
        </w:tcPr>
        <w:p>
          <w:pPr>
            <w:pStyle w:val="887"/>
            <w:pBdr/>
            <w:spacing/>
            <w:ind/>
            <w:rPr/>
          </w:pPr>
          <w:r>
            <w:t xml:space="preserve">Documento de Regras de Negócios</w:t>
          </w:r>
          <w:r/>
        </w:p>
      </w:tc>
      <w:tc>
        <w:tcPr>
          <w:tcBorders>
            <w:top w:val="single" w:color="auto" w:sz="4" w:space="0"/>
          </w:tcBorders>
          <w:tcW w:w="2799" w:type="dxa"/>
          <w:vAlign w:val="top"/>
          <w:textDirection w:val="lrTb"/>
        </w:tcPr>
        <w:p>
          <w:pPr>
            <w:pStyle w:val="887"/>
            <w:pBdr/>
            <w:spacing/>
            <w:ind/>
            <w:jc w:val="right"/>
            <w:rPr/>
          </w:pPr>
          <w:r/>
          <w:bookmarkStart w:id="43" w:name="_Ref471361557"/>
          <w:r/>
          <w:r/>
        </w:p>
      </w:tc>
    </w:tr>
  </w:tbl>
  <w:p>
    <w:pPr>
      <w:pStyle w:val="887"/>
      <w:pBdr/>
      <w:spacing/>
      <w:ind/>
      <w:rPr/>
    </w:pPr>
    <w:r/>
    <w:bookmarkEnd w:id="43"/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87"/>
      <w:pBdr/>
      <w:tabs>
        <w:tab w:val="left" w:leader="none" w:pos="2475"/>
        <w:tab w:val="clear" w:leader="none" w:pos="4320"/>
        <w:tab w:val="clear" w:leader="none" w:pos="8640"/>
      </w:tabs>
      <w:spacing/>
      <w:ind/>
      <w:rPr/>
    </w:pPr>
    <w:r/>
    <w:r/>
  </w:p>
  <w:tbl>
    <w:tblPr>
      <w:tblInd w:w="70" w:type="dxa"/>
      <w:tblW w:w="9710" w:type="dxa"/>
      <w:tblCellMar>
        <w:left w:w="70" w:type="dxa"/>
        <w:top w:w="0" w:type="dxa"/>
        <w:right w:w="70" w:type="dxa"/>
        <w:bottom w:w="0" w:type="dxa"/>
      </w:tblCellMar>
      <w:tblBorders>
        <w:top w:val="single" w:color="auto" w:sz="12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Look w:val="04A0" w:firstRow="1" w:lastRow="0" w:firstColumn="1" w:lastColumn="0" w:noHBand="0" w:noVBand="1"/>
    </w:tblPr>
    <w:tblGrid>
      <w:gridCol w:w="6300"/>
      <w:gridCol w:w="1705"/>
      <w:gridCol w:w="1705"/>
    </w:tblGrid>
    <w:tr>
      <w:trPr>
        <w:cantSplit/>
      </w:trPr>
      <w:tc>
        <w:tcPr>
          <w:tcBorders>
            <w:top w:val="single" w:color="auto" w:sz="12" w:space="0"/>
          </w:tcBorders>
          <w:tcW w:w="6300" w:type="dxa"/>
          <w:vAlign w:val="top"/>
          <w:textDirection w:val="lrTb"/>
        </w:tcPr>
        <w:p>
          <w:pPr>
            <w:pStyle w:val="887"/>
            <w:pBdr/>
            <w:spacing/>
            <w:ind/>
            <w:jc w:val="left"/>
            <w:rPr/>
          </w:pPr>
          <w:r>
            <w:fldChar w:fldCharType="begin"/>
          </w:r>
          <w:r>
            <w:instrText xml:space="preserve">DOCPROPERTY MANAGER</w:instrText>
          </w:r>
          <w:r>
            <w:fldChar w:fldCharType="separate"/>
          </w:r>
          <w:r>
            <w:t xml:space="preserve">&lt;Mione&gt; - &lt;Mione&gt;</w:t>
          </w:r>
          <w:r>
            <w:fldChar w:fldCharType="end"/>
          </w:r>
          <w:r/>
        </w:p>
      </w:tc>
      <w:tc>
        <w:tcPr>
          <w:tcBorders>
            <w:top w:val="single" w:color="auto" w:sz="12" w:space="0"/>
          </w:tcBorders>
          <w:tcW w:w="1705" w:type="dxa"/>
          <w:vAlign w:val="center"/>
          <w:textDirection w:val="lrTb"/>
        </w:tcPr>
        <w:p>
          <w:pPr>
            <w:pStyle w:val="887"/>
            <w:pBdr/>
            <w:spacing/>
            <w:ind/>
            <w:jc w:val="center"/>
            <w:rPr>
              <w:lang w:val="pt-PT"/>
            </w:rPr>
          </w:pPr>
          <w:r>
            <w:rPr>
              <w:lang w:val="pt-PT"/>
            </w:rPr>
            <w:fldChar w:fldCharType="begin"/>
          </w:r>
          <w:r>
            <w:rPr>
              <w:lang w:val="pt-PT"/>
            </w:rPr>
            <w:instrText xml:space="preserve"> DOCPROPERTY  Subject  \* MERGEFORMAT </w:instrText>
          </w:r>
          <w:r>
            <w:rPr>
              <w:lang w:val="pt-PT"/>
            </w:rPr>
            <w:fldChar w:fldCharType="separate"/>
          </w:r>
          <w:r>
            <w:rPr>
              <w:lang w:val="pt-PT"/>
            </w:rPr>
            <w:t xml:space="preserve">Versão &lt;</w:t>
          </w:r>
          <w:r>
            <w:rPr>
              <w:lang w:val="pt-BR"/>
            </w:rPr>
            <w:t xml:space="preserve">1.0</w:t>
          </w:r>
          <w:r>
            <w:rPr>
              <w:lang w:val="pt-PT"/>
            </w:rPr>
            <w:t xml:space="preserve">&gt;</w:t>
          </w:r>
          <w:r>
            <w:rPr>
              <w:lang w:val="pt-PT"/>
            </w:rPr>
          </w:r>
          <w:r>
            <w:rPr>
              <w:lang w:val="pt-PT"/>
            </w:rPr>
          </w:r>
          <w:r>
            <w:rPr>
              <w:lang w:val="pt-PT"/>
            </w:rPr>
            <w:fldChar w:fldCharType="end"/>
          </w:r>
          <w:r>
            <w:rPr>
              <w:lang w:val="pt-PT"/>
            </w:rPr>
          </w:r>
          <w:r/>
          <w:r>
            <w:rPr>
              <w:lang w:val="pt-PT"/>
            </w:rPr>
          </w:r>
        </w:p>
      </w:tc>
      <w:tc>
        <w:tcPr>
          <w:tcBorders>
            <w:top w:val="single" w:color="auto" w:sz="12" w:space="0"/>
          </w:tcBorders>
          <w:tcW w:w="1705" w:type="dxa"/>
          <w:vAlign w:val="center"/>
          <w:textDirection w:val="lrTb"/>
        </w:tcPr>
        <w:p>
          <w:pPr>
            <w:pStyle w:val="887"/>
            <w:pBdr/>
            <w:spacing/>
            <w:ind/>
            <w:jc w:val="right"/>
            <w:rPr/>
          </w:pPr>
          <w:r>
            <w:rPr>
              <w:lang w:val="pt-PT"/>
            </w:rPr>
            <w:t xml:space="preserve">Pág.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 xml:space="preserve">5</w:t>
          </w:r>
          <w:r>
            <w:fldChar w:fldCharType="end"/>
          </w:r>
          <w:r>
            <w:t xml:space="preserve"> de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>
            <w:t xml:space="preserve">5</w:t>
          </w:r>
          <w:r>
            <w:fldChar w:fldCharType="end"/>
          </w:r>
          <w:r/>
        </w:p>
      </w:tc>
    </w:tr>
  </w:tbl>
  <w:p>
    <w:pPr>
      <w:pStyle w:val="868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84"/>
      <w:framePr w:hAnchor="margin" w:vAnchor="text" w:wrap="around" w:xAlign="right" w:y="1"/>
      <w:pBdr/>
      <w:spacing/>
      <w:ind/>
      <w:rPr>
        <w:rStyle w:val="907"/>
      </w:rPr>
    </w:pPr>
    <w:r>
      <w:rPr>
        <w:rStyle w:val="907"/>
      </w:rPr>
      <w:fldChar w:fldCharType="begin"/>
    </w:r>
    <w:r>
      <w:rPr>
        <w:rStyle w:val="907"/>
      </w:rPr>
      <w:instrText xml:space="preserve">PAGE  </w:instrText>
    </w:r>
    <w:r>
      <w:rPr>
        <w:rStyle w:val="907"/>
      </w:rPr>
      <w:fldChar w:fldCharType="end"/>
    </w:r>
    <w:r>
      <w:rPr>
        <w:rStyle w:val="907"/>
      </w:rPr>
    </w:r>
    <w:r>
      <w:rPr>
        <w:rStyle w:val="907"/>
      </w:rPr>
    </w:r>
  </w:p>
  <w:p>
    <w:pPr>
      <w:pStyle w:val="884"/>
      <w:pBdr/>
      <w:spacing/>
      <w:ind w:right="360"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84"/>
      <w:pBdr/>
      <w:spacing/>
      <w:ind/>
      <w:rPr>
        <w:rStyle w:val="907"/>
      </w:rPr>
    </w:pPr>
    <w:r>
      <w:rPr>
        <w:rStyle w:val="907"/>
      </w:rPr>
      <w:t xml:space="preserve">Documento de </w:t>
    </w:r>
    <w:r>
      <w:rPr>
        <w:rStyle w:val="907"/>
      </w:rPr>
      <w:t xml:space="preserve">Regras de Negócio do Sistema</w:t>
    </w:r>
    <w:r>
      <w:rPr>
        <w:rStyle w:val="907"/>
      </w:rPr>
    </w:r>
    <w:r>
      <w:rPr>
        <w:rStyle w:val="907"/>
      </w:rPr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Ind w:w="0" w:type="dxa"/>
      <w:tblW w:w="9889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auto" w:sz="12" w:space="0"/>
        <w:left w:val="single" w:color="auto" w:sz="12" w:space="0"/>
        <w:bottom w:val="single" w:color="auto" w:sz="12" w:space="0"/>
        <w:right w:val="single" w:color="auto" w:sz="12" w:space="0"/>
        <w:insideH w:val="single" w:color="auto" w:sz="4" w:space="0"/>
        <w:insideV w:val="single" w:color="auto" w:sz="4" w:space="0"/>
      </w:tblBorders>
      <w:tblLayout w:type="fixed"/>
      <w:tblLook w:val="04A0" w:firstRow="1" w:lastRow="0" w:firstColumn="1" w:lastColumn="0" w:noHBand="0" w:noVBand="1"/>
    </w:tblPr>
    <w:tblGrid>
      <w:gridCol w:w="2518"/>
      <w:gridCol w:w="7371"/>
    </w:tblGrid>
    <w:tr>
      <w:trPr>
        <w:cantSplit/>
        <w:trHeight w:val="330"/>
      </w:trPr>
      <w:tc>
        <w:tcPr>
          <w:tc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</w:tcBorders>
          <w:tcW w:w="2518" w:type="dxa"/>
          <w:vAlign w:val="center"/>
          <w:textDirection w:val="lrTb"/>
        </w:tcPr>
        <w:p>
          <w:pPr>
            <w:pStyle w:val="868"/>
            <w:pBdr/>
            <w:spacing/>
            <w:ind/>
            <w:jc w:val="center"/>
            <w:rPr>
              <w:b/>
              <w:bCs/>
              <w:lang w:val="pt-PT"/>
            </w:rPr>
          </w:pPr>
          <w:r>
            <w:rPr>
              <w:b/>
              <w:bCs/>
              <w:lang w:val="pt-PT"/>
            </w:rPr>
          </w:r>
          <w:r>
            <w:rPr>
              <w:b/>
              <w:bCs/>
              <w:lang w:val="pt-PT"/>
            </w:rPr>
          </w:r>
        </w:p>
      </w:tc>
      <w:tc>
        <w:tcPr>
          <w:tc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</w:tcBorders>
          <w:tcW w:w="7371" w:type="dxa"/>
          <w:vAlign w:val="center"/>
          <w:textDirection w:val="lrTb"/>
        </w:tcPr>
        <w:p>
          <w:pPr>
            <w:pStyle w:val="868"/>
            <w:pBdr/>
            <w:spacing/>
            <w:ind/>
            <w:jc w:val="center"/>
            <w:rPr>
              <w:b/>
            </w:rPr>
          </w:pPr>
          <w:r>
            <w:rPr>
              <w:b/>
              <w:bCs/>
              <w:lang w:val="pt-PT"/>
            </w:rPr>
            <w:fldChar w:fldCharType="begin"/>
          </w:r>
          <w:r>
            <w:rPr>
              <w:b/>
              <w:bCs/>
              <w:lang w:val="pt-PT"/>
            </w:rPr>
            <w:instrText xml:space="preserve"> DOCPROPERTY  Title  \* MERGEFORMAT </w:instrText>
          </w:r>
          <w:r>
            <w:rPr>
              <w:b/>
              <w:bCs/>
              <w:lang w:val="pt-PT"/>
            </w:rPr>
            <w:fldChar w:fldCharType="separate"/>
          </w:r>
          <w:r>
            <w:rPr>
              <w:b/>
              <w:bCs/>
              <w:lang w:val="pt-PT"/>
            </w:rPr>
            <w:t xml:space="preserve">Regras de Negócio</w:t>
          </w:r>
          <w:r>
            <w:rPr>
              <w:b/>
              <w:bCs/>
              <w:lang w:val="pt-PT"/>
            </w:rPr>
            <w:fldChar w:fldCharType="end"/>
          </w:r>
          <w:r>
            <w:rPr>
              <w:b/>
            </w:rPr>
          </w:r>
          <w:r>
            <w:rPr>
              <w:b/>
            </w:rPr>
          </w:r>
        </w:p>
      </w:tc>
    </w:tr>
  </w:tbl>
  <w:p>
    <w:pPr>
      <w:pStyle w:val="868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3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10"/>
      <w:rPr>
        <w:rFonts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1DE5217B"/>
    <w:lvl w:ilvl="0">
      <w:isLgl w:val="false"/>
      <w:lvlJc w:val="left"/>
      <w:lvlText w:val=""/>
      <w:numFmt w:val="bullet"/>
      <w:pPr>
        <w:pBdr/>
        <w:tabs>
          <w:tab w:val="num" w:leader="none" w:pos="2505"/>
        </w:tabs>
        <w:spacing/>
        <w:ind w:hanging="360" w:left="2505"/>
      </w:pPr>
      <w:rPr>
        <w:rFonts w:ascii="Symbol" w:hAnsi="Symbol"/>
        <w:sz w:val="16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2145"/>
        </w:tabs>
        <w:spacing/>
        <w:ind w:hanging="360" w:left="2145"/>
      </w:pPr>
      <w:rPr>
        <w:rFonts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865"/>
        </w:tabs>
        <w:spacing/>
        <w:ind w:hanging="360" w:left="2865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3585"/>
        </w:tabs>
        <w:spacing/>
        <w:ind w:hanging="360" w:left="3585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4305"/>
        </w:tabs>
        <w:spacing/>
        <w:ind w:hanging="360" w:left="4305"/>
      </w:pPr>
      <w:rPr>
        <w:rFonts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5025"/>
        </w:tabs>
        <w:spacing/>
        <w:ind w:hanging="360" w:left="5025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745"/>
        </w:tabs>
        <w:spacing/>
        <w:ind w:hanging="360" w:left="5745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6465"/>
        </w:tabs>
        <w:spacing/>
        <w:ind w:hanging="360" w:left="6465"/>
      </w:pPr>
      <w:rPr>
        <w:rFonts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7185"/>
        </w:tabs>
        <w:spacing/>
        <w:ind w:hanging="360" w:left="7185"/>
      </w:pPr>
      <w:rPr>
        <w:rFonts w:ascii="Wingdings" w:hAnsi="Wingdings"/>
      </w:rPr>
      <w:start w:val="1"/>
      <w:suff w:val="tab"/>
    </w:lvl>
  </w:abstractNum>
  <w:abstractNum w:abstractNumId="3">
    <w:nsid w:val="3A21441E"/>
    <w:lvl w:ilvl="0">
      <w:isLgl w:val="false"/>
      <w:lvlJc w:val="left"/>
      <w:lvlText w:val="%1)"/>
      <w:numFmt w:val="decimal"/>
      <w:pPr>
        <w:pBdr/>
        <w:tabs>
          <w:tab w:val="num" w:leader="none" w:pos="360"/>
        </w:tabs>
        <w:spacing/>
        <w:ind w:firstLine="0" w:left="0"/>
      </w:pPr>
      <w:pStyle w:val="874"/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/>
      <w:start w:val="1"/>
      <w:suff w:val="tab"/>
    </w:lvl>
  </w:abstractNum>
  <w:abstractNum w:abstractNumId="4">
    <w:nsid w:val="73F37BFE"/>
    <w:lvl w:ilvl="0">
      <w:isLgl w:val="false"/>
      <w:lvlJc w:val="left"/>
      <w:lvlText w:val=""/>
      <w:numFmt w:val="bullet"/>
      <w:pPr>
        <w:pBdr/>
        <w:tabs>
          <w:tab w:val="num" w:leader="none" w:pos="720"/>
        </w:tabs>
        <w:spacing/>
        <w:ind w:hanging="360" w:left="720"/>
      </w:pPr>
      <w:pStyle w:val="886"/>
      <w:rPr>
        <w:rFonts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5">
    <w:nsid w:val="775133A1"/>
    <w:lvl w:ilvl="0">
      <w:isLgl w:val="false"/>
      <w:lvlJc w:val="left"/>
      <w:lvlText w:val="%1."/>
      <w:numFmt w:val="decimal"/>
      <w:pPr>
        <w:pBdr/>
        <w:spacing/>
        <w:ind w:hanging="432" w:left="432"/>
      </w:pPr>
      <w:pStyle w:val="869"/>
      <w:rPr/>
      <w:start w:val="1"/>
      <w:suff w:val="space"/>
    </w:lvl>
    <w:lvl w:ilvl="1">
      <w:isLgl w:val="false"/>
      <w:lvlJc w:val="left"/>
      <w:lvlText w:val="%1.%2."/>
      <w:numFmt w:val="decimal"/>
      <w:pPr>
        <w:pBdr/>
        <w:spacing/>
        <w:ind w:hanging="576" w:left="576"/>
      </w:pPr>
      <w:pStyle w:val="870"/>
      <w:rPr/>
      <w:start w:val="1"/>
      <w:suff w:val="space"/>
    </w:lvl>
    <w:lvl w:ilvl="2">
      <w:isLgl w:val="false"/>
      <w:lvlJc w:val="left"/>
      <w:lvlText w:val="RN[%1.%2.%3]."/>
      <w:numFmt w:val="decimal"/>
      <w:pPr>
        <w:pBdr/>
        <w:spacing/>
        <w:ind w:hanging="720" w:left="1800"/>
      </w:pPr>
      <w:pStyle w:val="871"/>
      <w:rPr/>
      <w:start w:val="1"/>
      <w:suff w:val="space"/>
    </w:lvl>
    <w:lvl w:ilvl="3">
      <w:isLgl w:val="false"/>
      <w:lvlJc w:val="left"/>
      <w:lvlText w:val="%1.%2.%4.%3."/>
      <w:numFmt w:val="decimal"/>
      <w:pPr>
        <w:pBdr/>
        <w:spacing/>
        <w:ind w:hanging="864" w:left="864"/>
      </w:pPr>
      <w:rPr/>
      <w:start w:val="1"/>
      <w:suff w:val="space"/>
    </w:lvl>
    <w:lvl w:ilvl="4">
      <w:isLgl w:val="false"/>
      <w:lvlJc w:val="left"/>
      <w:lvlText w:val="%1.%2.%3.%4.%5"/>
      <w:numFmt w:val="decimal"/>
      <w:pPr>
        <w:pBdr/>
        <w:tabs>
          <w:tab w:val="num" w:leader="none" w:pos="1008"/>
        </w:tabs>
        <w:spacing/>
        <w:ind w:hanging="1008" w:left="1008"/>
      </w:pPr>
      <w:rPr/>
      <w:start w:val="1"/>
      <w:suff w:val="tab"/>
    </w:lvl>
    <w:lvl w:ilvl="5">
      <w:isLgl w:val="false"/>
      <w:lvlJc w:val="left"/>
      <w:lvlText w:val="%1.%2.%3.%4.%5.%6"/>
      <w:numFmt w:val="decimal"/>
      <w:pPr>
        <w:pBdr/>
        <w:tabs>
          <w:tab w:val="num" w:leader="none" w:pos="1152"/>
        </w:tabs>
        <w:spacing/>
        <w:ind w:hanging="1152" w:left="1152"/>
      </w:pPr>
      <w:rPr/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1800"/>
        </w:tabs>
        <w:spacing/>
        <w:ind w:hanging="1296" w:left="1296"/>
      </w:pPr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1800"/>
        </w:tabs>
        <w:spacing/>
        <w:ind w:hanging="1440" w:left="1440"/>
      </w:pPr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2160"/>
        </w:tabs>
        <w:spacing/>
        <w:ind w:hanging="1584" w:left="1584"/>
      </w:pPr>
      <w:rPr/>
      <w:start w:val="1"/>
      <w:suff w:val="tab"/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5"/>
  </w:num>
  <w:num w:numId="5">
    <w:abstractNumId w:val="5"/>
  </w:num>
  <w:num w:numId="6">
    <w:abstractNumId w:val="5"/>
  </w:num>
  <w:num w:numId="7">
    <w:abstractNumId w:val="3"/>
  </w:num>
  <w:num w:numId="8">
    <w:abstractNumId w:val="5"/>
  </w:num>
  <w:num w:numId="9">
    <w:abstractNumId w:val="5"/>
  </w:num>
  <w:num w:numId="10">
    <w:abstractNumId w:val="5"/>
  </w:num>
  <w:num w:numId="11">
    <w:abstractNumId w:val="0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 w:val="true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pt-BR" w:eastAsia="zh-C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868"/>
    <w:next w:val="86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868"/>
    <w:next w:val="86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868"/>
    <w:next w:val="86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868"/>
    <w:next w:val="86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868"/>
    <w:next w:val="86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868"/>
    <w:next w:val="86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868"/>
    <w:next w:val="86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868"/>
    <w:next w:val="86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868"/>
    <w:next w:val="86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868"/>
    <w:next w:val="86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868"/>
    <w:next w:val="86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868"/>
    <w:next w:val="86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86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868"/>
    <w:next w:val="86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86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86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86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868"/>
    <w:next w:val="86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86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86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868"/>
    <w:next w:val="868"/>
    <w:uiPriority w:val="39"/>
    <w:unhideWhenUsed/>
    <w:pPr>
      <w:pBdr/>
      <w:spacing w:after="100"/>
      <w:ind/>
    </w:pPr>
  </w:style>
  <w:style w:type="paragraph" w:styleId="190">
    <w:name w:val="toc 2"/>
    <w:basedOn w:val="868"/>
    <w:next w:val="868"/>
    <w:uiPriority w:val="39"/>
    <w:unhideWhenUsed/>
    <w:pPr>
      <w:pBdr/>
      <w:spacing w:after="100"/>
      <w:ind w:left="220"/>
    </w:pPr>
  </w:style>
  <w:style w:type="paragraph" w:styleId="191">
    <w:name w:val="toc 3"/>
    <w:basedOn w:val="868"/>
    <w:next w:val="868"/>
    <w:uiPriority w:val="39"/>
    <w:unhideWhenUsed/>
    <w:pPr>
      <w:pBdr/>
      <w:spacing w:after="100"/>
      <w:ind w:left="440"/>
    </w:pPr>
  </w:style>
  <w:style w:type="paragraph" w:styleId="192">
    <w:name w:val="toc 4"/>
    <w:basedOn w:val="868"/>
    <w:next w:val="868"/>
    <w:uiPriority w:val="39"/>
    <w:unhideWhenUsed/>
    <w:pPr>
      <w:pBdr/>
      <w:spacing w:after="100"/>
      <w:ind w:left="660"/>
    </w:pPr>
  </w:style>
  <w:style w:type="paragraph" w:styleId="193">
    <w:name w:val="toc 5"/>
    <w:basedOn w:val="868"/>
    <w:next w:val="868"/>
    <w:uiPriority w:val="39"/>
    <w:unhideWhenUsed/>
    <w:pPr>
      <w:pBdr/>
      <w:spacing w:after="100"/>
      <w:ind w:left="880"/>
    </w:pPr>
  </w:style>
  <w:style w:type="paragraph" w:styleId="194">
    <w:name w:val="toc 6"/>
    <w:basedOn w:val="868"/>
    <w:next w:val="868"/>
    <w:uiPriority w:val="39"/>
    <w:unhideWhenUsed/>
    <w:pPr>
      <w:pBdr/>
      <w:spacing w:after="100"/>
      <w:ind w:left="1100"/>
    </w:pPr>
  </w:style>
  <w:style w:type="paragraph" w:styleId="195">
    <w:name w:val="toc 7"/>
    <w:basedOn w:val="868"/>
    <w:next w:val="868"/>
    <w:uiPriority w:val="39"/>
    <w:unhideWhenUsed/>
    <w:pPr>
      <w:pBdr/>
      <w:spacing w:after="100"/>
      <w:ind w:left="1320"/>
    </w:pPr>
  </w:style>
  <w:style w:type="paragraph" w:styleId="196">
    <w:name w:val="toc 8"/>
    <w:basedOn w:val="868"/>
    <w:next w:val="868"/>
    <w:uiPriority w:val="39"/>
    <w:unhideWhenUsed/>
    <w:pPr>
      <w:pBdr/>
      <w:spacing w:after="100"/>
      <w:ind w:left="1540"/>
    </w:pPr>
  </w:style>
  <w:style w:type="paragraph" w:styleId="197">
    <w:name w:val="toc 9"/>
    <w:basedOn w:val="868"/>
    <w:next w:val="86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868"/>
    <w:next w:val="868"/>
    <w:uiPriority w:val="99"/>
    <w:unhideWhenUsed/>
    <w:pPr>
      <w:pBdr/>
      <w:spacing w:after="0" w:afterAutospacing="0"/>
      <w:ind/>
    </w:pPr>
  </w:style>
  <w:style w:type="paragraph" w:styleId="868" w:default="1">
    <w:name w:val="Normal"/>
    <w:next w:val="868"/>
    <w:link w:val="868"/>
    <w:qFormat/>
    <w:pPr>
      <w:pBdr/>
      <w:spacing/>
      <w:ind/>
      <w:jc w:val="both"/>
    </w:pPr>
    <w:rPr>
      <w:rFonts w:ascii="Arial" w:hAnsi="Arial" w:cs="Arial"/>
      <w:color w:val="000000"/>
      <w:lang w:val="pt-BR" w:eastAsia="pt-BR" w:bidi="ar-SA"/>
    </w:rPr>
  </w:style>
  <w:style w:type="paragraph" w:styleId="869">
    <w:name w:val="Título 1"/>
    <w:basedOn w:val="868"/>
    <w:next w:val="868"/>
    <w:link w:val="868"/>
    <w:qFormat/>
    <w:pPr>
      <w:keepNext w:val="true"/>
      <w:numPr>
        <w:ilvl w:val="0"/>
        <w:numId w:val="10"/>
      </w:numPr>
      <w:pBdr/>
      <w:tabs>
        <w:tab w:val="num" w:leader="none" w:pos="360"/>
      </w:tabs>
      <w:spacing w:after="360" w:before="480"/>
      <w:ind w:firstLine="0" w:left="0"/>
      <w:outlineLvl w:val="0"/>
    </w:pPr>
    <w:rPr>
      <w:b/>
      <w:caps/>
      <w:color w:val="000000"/>
      <w:sz w:val="24"/>
      <w:lang w:eastAsia="en-US"/>
    </w:rPr>
  </w:style>
  <w:style w:type="paragraph" w:styleId="870">
    <w:name w:val="Título 2"/>
    <w:basedOn w:val="868"/>
    <w:next w:val="868"/>
    <w:link w:val="868"/>
    <w:qFormat/>
    <w:pPr>
      <w:keepNext w:val="true"/>
      <w:numPr>
        <w:ilvl w:val="1"/>
        <w:numId w:val="10"/>
      </w:numPr>
      <w:pBdr/>
      <w:tabs>
        <w:tab w:val="num" w:leader="none" w:pos="360"/>
      </w:tabs>
      <w:spacing w:after="240" w:before="360"/>
      <w:ind w:firstLine="0" w:left="0"/>
      <w:jc w:val="left"/>
      <w:outlineLvl w:val="1"/>
    </w:pPr>
    <w:rPr>
      <w:rFonts w:cs="Times New Roman"/>
      <w:b/>
      <w:color w:val="000000"/>
      <w:sz w:val="24"/>
      <w:lang w:eastAsia="en-US"/>
    </w:rPr>
  </w:style>
  <w:style w:type="paragraph" w:styleId="871">
    <w:name w:val="Título 3"/>
    <w:basedOn w:val="870"/>
    <w:next w:val="868"/>
    <w:link w:val="868"/>
    <w:qFormat/>
    <w:pPr>
      <w:numPr>
        <w:ilvl w:val="2"/>
        <w:numId w:val="10"/>
      </w:numPr>
      <w:pBdr/>
      <w:tabs>
        <w:tab w:val="num" w:leader="none" w:pos="360"/>
      </w:tabs>
      <w:spacing w:after="120" w:before="240"/>
      <w:ind w:firstLine="0" w:left="0"/>
      <w:outlineLvl w:val="2"/>
    </w:pPr>
    <w:rPr>
      <w:iCs/>
    </w:rPr>
  </w:style>
  <w:style w:type="paragraph" w:styleId="872">
    <w:name w:val="Título 4"/>
    <w:basedOn w:val="868"/>
    <w:next w:val="868"/>
    <w:link w:val="868"/>
    <w:qFormat/>
    <w:pPr>
      <w:keepNext w:val="true"/>
      <w:pBdr/>
      <w:tabs>
        <w:tab w:val="left" w:leader="none" w:pos="360"/>
      </w:tabs>
      <w:spacing w:after="120" w:before="240"/>
      <w:ind/>
      <w:outlineLvl w:val="3"/>
    </w:pPr>
    <w:rPr>
      <w:rFonts w:cs="Times New Roman"/>
      <w:b/>
      <w:color w:val="000000"/>
      <w:sz w:val="24"/>
    </w:rPr>
  </w:style>
  <w:style w:type="paragraph" w:styleId="873">
    <w:name w:val="Título 5"/>
    <w:basedOn w:val="868"/>
    <w:next w:val="868"/>
    <w:link w:val="868"/>
    <w:qFormat/>
    <w:pPr>
      <w:pBdr/>
      <w:spacing w:after="120" w:before="240"/>
      <w:ind/>
      <w:outlineLvl w:val="4"/>
    </w:pPr>
    <w:rPr>
      <w:rFonts w:cs="Times New Roman"/>
      <w:b/>
      <w:color w:val="000000"/>
      <w:lang w:eastAsia="en-US"/>
    </w:rPr>
  </w:style>
  <w:style w:type="paragraph" w:styleId="874">
    <w:name w:val="Título 6"/>
    <w:basedOn w:val="868"/>
    <w:next w:val="868"/>
    <w:link w:val="868"/>
    <w:qFormat/>
    <w:pPr>
      <w:numPr>
        <w:ilvl w:val="0"/>
        <w:numId w:val="7"/>
      </w:numPr>
      <w:pBdr/>
      <w:spacing w:after="120" w:before="240"/>
      <w:ind/>
      <w:outlineLvl w:val="5"/>
    </w:pPr>
    <w:rPr>
      <w:rFonts w:cs="Times New Roman"/>
      <w:b/>
      <w:i/>
      <w:color w:val="000000"/>
      <w:lang w:eastAsia="en-US"/>
    </w:rPr>
  </w:style>
  <w:style w:type="paragraph" w:styleId="875">
    <w:name w:val="Título 7"/>
    <w:basedOn w:val="868"/>
    <w:next w:val="868"/>
    <w:link w:val="868"/>
    <w:qFormat/>
    <w:pPr>
      <w:pBdr/>
      <w:spacing w:after="60" w:before="240"/>
      <w:ind/>
      <w:outlineLvl w:val="6"/>
    </w:pPr>
    <w:rPr>
      <w:rFonts w:cs="Times New Roman"/>
      <w:color w:val="000000"/>
      <w:lang w:eastAsia="en-US"/>
    </w:rPr>
  </w:style>
  <w:style w:type="paragraph" w:styleId="876">
    <w:name w:val="Título 8"/>
    <w:basedOn w:val="868"/>
    <w:next w:val="868"/>
    <w:link w:val="868"/>
    <w:qFormat/>
    <w:pPr>
      <w:pBdr/>
      <w:spacing w:after="60" w:before="240"/>
      <w:ind/>
      <w:outlineLvl w:val="7"/>
    </w:pPr>
    <w:rPr>
      <w:rFonts w:cs="Times New Roman"/>
      <w:i/>
      <w:color w:val="000000"/>
      <w:lang w:eastAsia="en-US"/>
    </w:rPr>
  </w:style>
  <w:style w:type="paragraph" w:styleId="877">
    <w:name w:val="Título 9"/>
    <w:basedOn w:val="868"/>
    <w:next w:val="868"/>
    <w:link w:val="868"/>
    <w:qFormat/>
    <w:pPr>
      <w:pBdr/>
      <w:spacing w:after="60" w:before="240"/>
      <w:ind/>
      <w:outlineLvl w:val="8"/>
    </w:pPr>
    <w:rPr>
      <w:rFonts w:cs="Times New Roman"/>
      <w:i/>
      <w:color w:val="000000"/>
      <w:sz w:val="18"/>
      <w:lang w:eastAsia="en-US"/>
    </w:rPr>
  </w:style>
  <w:style w:type="character" w:styleId="878">
    <w:name w:val="Fonte parág. padrão"/>
    <w:next w:val="878"/>
    <w:link w:val="868"/>
    <w:semiHidden/>
    <w:pPr>
      <w:pBdr/>
      <w:spacing/>
      <w:ind/>
    </w:pPr>
  </w:style>
  <w:style w:type="table" w:styleId="879">
    <w:name w:val="Tabela normal"/>
    <w:next w:val="879"/>
    <w:link w:val="868"/>
    <w:semiHidden/>
    <w:pPr>
      <w:pBdr/>
      <w:spacing/>
      <w:ind/>
    </w:pPr>
    <w:tblPr>
      <w:tblInd w:w="0" w:type="dxa"/>
      <w:tblW w:w="0" w:type="auto"/>
      <w:tblCellMar>
        <w:left w:w="108" w:type="dxa"/>
        <w:top w:w="0" w:type="dxa"/>
        <w:right w:w="108" w:type="dxa"/>
        <w:bottom w:w="0" w:type="dxa"/>
      </w:tblCellMar>
      <w:tblBorders/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0">
    <w:name w:val="Sem lista"/>
    <w:next w:val="880"/>
    <w:link w:val="868"/>
    <w:semiHidden/>
    <w:pPr>
      <w:pBdr/>
      <w:spacing/>
      <w:ind/>
    </w:pPr>
  </w:style>
  <w:style w:type="paragraph" w:styleId="881">
    <w:name w:val="Analítico 1"/>
    <w:basedOn w:val="868"/>
    <w:next w:val="868"/>
    <w:link w:val="868"/>
    <w:uiPriority w:val="39"/>
    <w:pPr>
      <w:pBdr/>
      <w:tabs>
        <w:tab w:val="left" w:leader="none" w:pos="539"/>
        <w:tab w:val="right" w:leader="dot" w:pos="9540"/>
      </w:tabs>
      <w:spacing w:before="120"/>
      <w:ind/>
    </w:pPr>
    <w:rPr>
      <w:rFonts w:cs="Times New Roman"/>
      <w:bCs/>
      <w:caps/>
      <w:color w:val="000000"/>
      <w:szCs w:val="28"/>
      <w:lang w:eastAsia="en-US"/>
    </w:rPr>
  </w:style>
  <w:style w:type="paragraph" w:styleId="882">
    <w:name w:val="Analítico 2"/>
    <w:basedOn w:val="868"/>
    <w:next w:val="868"/>
    <w:link w:val="868"/>
    <w:uiPriority w:val="39"/>
    <w:pPr>
      <w:pBdr/>
      <w:tabs>
        <w:tab w:val="left" w:leader="none" w:pos="540"/>
        <w:tab w:val="left" w:leader="none" w:pos="960"/>
        <w:tab w:val="left" w:leader="none" w:pos="1200"/>
        <w:tab w:val="right" w:leader="dot" w:pos="9540"/>
      </w:tabs>
      <w:spacing w:before="120"/>
      <w:ind w:left="539"/>
    </w:pPr>
    <w:rPr>
      <w:rFonts w:eastAsia="MS Mincho"/>
      <w:bCs/>
      <w:color w:val="000000"/>
      <w:szCs w:val="28"/>
      <w:lang w:eastAsia="en-US"/>
    </w:rPr>
  </w:style>
  <w:style w:type="paragraph" w:styleId="883">
    <w:name w:val="Analítico 3"/>
    <w:basedOn w:val="882"/>
    <w:next w:val="868"/>
    <w:link w:val="868"/>
    <w:uiPriority w:val="39"/>
    <w:pPr>
      <w:pBdr/>
      <w:tabs>
        <w:tab w:val="left" w:leader="none" w:pos="851"/>
      </w:tabs>
      <w:spacing/>
      <w:ind w:left="851"/>
    </w:pPr>
    <w:rPr>
      <w:rFonts w:cs="Times New Roman"/>
    </w:rPr>
  </w:style>
  <w:style w:type="paragraph" w:styleId="884">
    <w:name w:val="Cabeçalho"/>
    <w:basedOn w:val="868"/>
    <w:next w:val="884"/>
    <w:link w:val="868"/>
    <w:pPr>
      <w:pBdr/>
      <w:tabs>
        <w:tab w:val="center" w:leader="none" w:pos="4320"/>
        <w:tab w:val="right" w:leader="none" w:pos="8640"/>
      </w:tabs>
      <w:spacing/>
      <w:ind/>
      <w:jc w:val="center"/>
    </w:pPr>
    <w:rPr>
      <w:b/>
    </w:rPr>
  </w:style>
  <w:style w:type="character" w:styleId="885">
    <w:name w:val="Hyperlink"/>
    <w:next w:val="885"/>
    <w:link w:val="868"/>
    <w:uiPriority w:val="99"/>
    <w:pPr>
      <w:pBdr/>
      <w:spacing/>
      <w:ind/>
    </w:pPr>
    <w:rPr>
      <w:color w:val="0000ff"/>
      <w:u w:val="single"/>
    </w:rPr>
  </w:style>
  <w:style w:type="paragraph" w:styleId="886">
    <w:name w:val="Lista"/>
    <w:basedOn w:val="868"/>
    <w:next w:val="886"/>
    <w:link w:val="868"/>
    <w:pPr>
      <w:numPr>
        <w:ilvl w:val="0"/>
        <w:numId w:val="2"/>
      </w:numPr>
      <w:pBdr/>
      <w:spacing w:after="240" w:before="80"/>
      <w:ind/>
    </w:pPr>
    <w:rPr>
      <w:rFonts w:cs="Times New Roman"/>
      <w:color w:val="000000"/>
      <w:lang w:eastAsia="en-US"/>
    </w:rPr>
  </w:style>
  <w:style w:type="paragraph" w:styleId="887">
    <w:name w:val="Rodapé"/>
    <w:basedOn w:val="868"/>
    <w:next w:val="887"/>
    <w:link w:val="868"/>
    <w:pPr>
      <w:pBdr/>
      <w:tabs>
        <w:tab w:val="center" w:leader="none" w:pos="4320"/>
        <w:tab w:val="right" w:leader="none" w:pos="8640"/>
      </w:tabs>
      <w:spacing/>
      <w:ind/>
    </w:pPr>
  </w:style>
  <w:style w:type="paragraph" w:styleId="888">
    <w:name w:val="Título"/>
    <w:basedOn w:val="868"/>
    <w:next w:val="868"/>
    <w:link w:val="868"/>
    <w:qFormat/>
    <w:pPr>
      <w:pBdr/>
      <w:spacing w:after="360" w:before="480"/>
      <w:ind/>
    </w:pPr>
    <w:rPr>
      <w:rFonts w:cs="Times New Roman"/>
      <w:b/>
      <w:caps/>
      <w:color w:val="000000"/>
      <w:sz w:val="28"/>
      <w:lang w:eastAsia="en-US"/>
    </w:rPr>
  </w:style>
  <w:style w:type="paragraph" w:styleId="889">
    <w:name w:val="Titulo documento"/>
    <w:basedOn w:val="868"/>
    <w:next w:val="868"/>
    <w:link w:val="868"/>
    <w:pPr>
      <w:pBdr/>
      <w:spacing w:after="240"/>
      <w:ind/>
      <w:jc w:val="left"/>
    </w:pPr>
    <w:rPr>
      <w:b/>
      <w:color w:val="999999"/>
      <w:sz w:val="52"/>
    </w:rPr>
  </w:style>
  <w:style w:type="paragraph" w:styleId="890">
    <w:name w:val="BodyText1"/>
    <w:basedOn w:val="868"/>
    <w:next w:val="890"/>
    <w:link w:val="868"/>
    <w:pPr>
      <w:pBdr/>
      <w:spacing w:after="60" w:before="40"/>
      <w:ind/>
    </w:pPr>
    <w:rPr>
      <w:color w:val="000000"/>
    </w:rPr>
  </w:style>
  <w:style w:type="character" w:styleId="891">
    <w:name w:val="Ref. de comentário"/>
    <w:next w:val="891"/>
    <w:link w:val="868"/>
    <w:semiHidden/>
    <w:pPr>
      <w:pBdr/>
      <w:spacing/>
      <w:ind/>
    </w:pPr>
    <w:rPr>
      <w:sz w:val="16"/>
      <w:szCs w:val="16"/>
    </w:rPr>
  </w:style>
  <w:style w:type="paragraph" w:styleId="892">
    <w:name w:val="Texto de comentário"/>
    <w:basedOn w:val="868"/>
    <w:next w:val="892"/>
    <w:link w:val="868"/>
    <w:semiHidden/>
    <w:pPr>
      <w:pBdr/>
      <w:spacing/>
      <w:ind/>
    </w:pPr>
  </w:style>
  <w:style w:type="paragraph" w:styleId="893">
    <w:name w:val="Instrução"/>
    <w:basedOn w:val="868"/>
    <w:next w:val="868"/>
    <w:link w:val="868"/>
    <w:pPr>
      <w:pBdr/>
      <w:spacing/>
      <w:ind/>
      <w:jc w:val="left"/>
    </w:pPr>
    <w:rPr>
      <w:i/>
      <w:color w:val="0000ff"/>
    </w:rPr>
  </w:style>
  <w:style w:type="paragraph" w:styleId="894">
    <w:name w:val="infoblue"/>
    <w:basedOn w:val="868"/>
    <w:next w:val="894"/>
    <w:link w:val="868"/>
    <w:pPr>
      <w:pBdr/>
      <w:spacing w:after="120" w:line="240" w:lineRule="atLeast"/>
      <w:ind/>
      <w:jc w:val="left"/>
    </w:pPr>
    <w:rPr>
      <w:rFonts w:ascii="Times New Roman" w:hAnsi="Times New Roman" w:eastAsia="Arial Unicode MS" w:cs="Times New Roman"/>
      <w:i/>
      <w:iCs/>
      <w:color w:val="0000ff"/>
    </w:rPr>
  </w:style>
  <w:style w:type="paragraph" w:styleId="895">
    <w:name w:val="Corpo de texto"/>
    <w:basedOn w:val="868"/>
    <w:next w:val="895"/>
    <w:link w:val="868"/>
    <w:pPr>
      <w:pBdr/>
      <w:spacing/>
      <w:ind/>
      <w:jc w:val="left"/>
    </w:pPr>
    <w:rPr>
      <w:lang w:val="pt-PT"/>
    </w:rPr>
  </w:style>
  <w:style w:type="paragraph" w:styleId="896">
    <w:name w:val="Normal (Web)"/>
    <w:basedOn w:val="868"/>
    <w:next w:val="896"/>
    <w:link w:val="868"/>
    <w:pPr>
      <w:pBdr/>
      <w:spacing w:after="100" w:afterAutospacing="1" w:before="100" w:beforeAutospacing="1"/>
      <w:ind/>
      <w:jc w:val="left"/>
    </w:pPr>
    <w:rPr>
      <w:rFonts w:ascii="Arial Unicode MS" w:hAnsi="Arial Unicode MS" w:eastAsia="Arial Unicode MS" w:cs="Arial Unicode MS"/>
      <w:color w:val="000000"/>
      <w:sz w:val="24"/>
      <w:szCs w:val="24"/>
    </w:rPr>
  </w:style>
  <w:style w:type="paragraph" w:styleId="897">
    <w:name w:val="Analítico 4"/>
    <w:basedOn w:val="868"/>
    <w:next w:val="868"/>
    <w:link w:val="868"/>
    <w:semiHidden/>
    <w:pPr>
      <w:pBdr/>
      <w:spacing/>
      <w:ind w:left="720"/>
      <w:jc w:val="left"/>
    </w:pPr>
    <w:rPr>
      <w:rFonts w:ascii="Times New Roman" w:hAnsi="Times New Roman" w:cs="Times New Roman"/>
      <w:color w:val="000000"/>
      <w:sz w:val="24"/>
      <w:szCs w:val="24"/>
    </w:rPr>
  </w:style>
  <w:style w:type="paragraph" w:styleId="898">
    <w:name w:val="Analítico 5"/>
    <w:basedOn w:val="868"/>
    <w:next w:val="868"/>
    <w:link w:val="868"/>
    <w:semiHidden/>
    <w:pPr>
      <w:pBdr/>
      <w:spacing/>
      <w:ind w:left="960"/>
      <w:jc w:val="left"/>
    </w:pPr>
    <w:rPr>
      <w:rFonts w:ascii="Times New Roman" w:hAnsi="Times New Roman" w:cs="Times New Roman"/>
      <w:color w:val="000000"/>
      <w:sz w:val="24"/>
      <w:szCs w:val="24"/>
    </w:rPr>
  </w:style>
  <w:style w:type="paragraph" w:styleId="899">
    <w:name w:val="Analítico 6"/>
    <w:basedOn w:val="868"/>
    <w:next w:val="868"/>
    <w:link w:val="868"/>
    <w:semiHidden/>
    <w:pPr>
      <w:pBdr/>
      <w:spacing/>
      <w:ind w:left="1200"/>
      <w:jc w:val="left"/>
    </w:pPr>
    <w:rPr>
      <w:rFonts w:ascii="Times New Roman" w:hAnsi="Times New Roman" w:cs="Times New Roman"/>
      <w:color w:val="000000"/>
      <w:sz w:val="24"/>
      <w:szCs w:val="24"/>
    </w:rPr>
  </w:style>
  <w:style w:type="paragraph" w:styleId="900">
    <w:name w:val="Analítico 7"/>
    <w:basedOn w:val="868"/>
    <w:next w:val="868"/>
    <w:link w:val="868"/>
    <w:semiHidden/>
    <w:pPr>
      <w:pBdr/>
      <w:spacing/>
      <w:ind w:left="1440"/>
      <w:jc w:val="left"/>
    </w:pPr>
    <w:rPr>
      <w:rFonts w:ascii="Times New Roman" w:hAnsi="Times New Roman" w:cs="Times New Roman"/>
      <w:color w:val="000000"/>
      <w:sz w:val="24"/>
      <w:szCs w:val="24"/>
    </w:rPr>
  </w:style>
  <w:style w:type="paragraph" w:styleId="901">
    <w:name w:val="Analítico 8"/>
    <w:basedOn w:val="868"/>
    <w:next w:val="868"/>
    <w:link w:val="868"/>
    <w:semiHidden/>
    <w:pPr>
      <w:pBdr/>
      <w:spacing/>
      <w:ind w:left="1680"/>
      <w:jc w:val="left"/>
    </w:pPr>
    <w:rPr>
      <w:rFonts w:ascii="Times New Roman" w:hAnsi="Times New Roman" w:cs="Times New Roman"/>
      <w:color w:val="000000"/>
      <w:sz w:val="24"/>
      <w:szCs w:val="24"/>
    </w:rPr>
  </w:style>
  <w:style w:type="paragraph" w:styleId="902">
    <w:name w:val="Analítico 9"/>
    <w:basedOn w:val="868"/>
    <w:next w:val="868"/>
    <w:link w:val="868"/>
    <w:semiHidden/>
    <w:pPr>
      <w:pBdr/>
      <w:spacing/>
      <w:ind w:left="1920"/>
      <w:jc w:val="left"/>
    </w:pPr>
    <w:rPr>
      <w:rFonts w:ascii="Times New Roman" w:hAnsi="Times New Roman" w:cs="Times New Roman"/>
      <w:color w:val="000000"/>
      <w:sz w:val="24"/>
      <w:szCs w:val="24"/>
    </w:rPr>
  </w:style>
  <w:style w:type="paragraph" w:styleId="903">
    <w:name w:val="Numerada"/>
    <w:basedOn w:val="868"/>
    <w:next w:val="903"/>
    <w:link w:val="868"/>
    <w:pPr>
      <w:numPr>
        <w:ilvl w:val="0"/>
        <w:numId w:val="11"/>
      </w:numPr>
      <w:pBdr/>
      <w:spacing/>
      <w:ind/>
    </w:pPr>
  </w:style>
  <w:style w:type="paragraph" w:styleId="904">
    <w:name w:val="Texto Normal"/>
    <w:next w:val="904"/>
    <w:link w:val="868"/>
    <w:pPr>
      <w:pBdr/>
      <w:spacing w:after="60" w:before="60"/>
      <w:ind w:left="578"/>
      <w:jc w:val="both"/>
    </w:pPr>
    <w:rPr>
      <w:sz w:val="22"/>
      <w:lang w:val="pt-BR" w:eastAsia="pt-BR" w:bidi="ar-SA"/>
    </w:rPr>
  </w:style>
  <w:style w:type="paragraph" w:styleId="905">
    <w:name w:val="Capítulo"/>
    <w:next w:val="904"/>
    <w:link w:val="868"/>
    <w:pPr>
      <w:keepNext w:val="true"/>
      <w:pBdr/>
      <w:spacing w:after="480"/>
      <w:ind/>
      <w:jc w:val="right"/>
    </w:pPr>
    <w:rPr>
      <w:rFonts w:ascii="Arial" w:hAnsi="Arial"/>
      <w:b/>
      <w:sz w:val="40"/>
      <w:lang w:val="pt-BR" w:eastAsia="pt-BR" w:bidi="ar-SA"/>
    </w:rPr>
  </w:style>
  <w:style w:type="paragraph" w:styleId="906">
    <w:name w:val="Sumário - Capítulo"/>
    <w:next w:val="906"/>
    <w:link w:val="868"/>
    <w:pPr>
      <w:pBdr/>
      <w:spacing w:after="480"/>
      <w:ind/>
      <w:jc w:val="right"/>
    </w:pPr>
    <w:rPr>
      <w:rFonts w:ascii="Arial" w:hAnsi="Arial"/>
      <w:b/>
      <w:sz w:val="40"/>
      <w:lang w:val="pt-BR" w:eastAsia="pt-BR" w:bidi="ar-SA"/>
    </w:rPr>
  </w:style>
  <w:style w:type="character" w:styleId="907">
    <w:name w:val="Número de página"/>
    <w:basedOn w:val="878"/>
    <w:next w:val="907"/>
    <w:link w:val="868"/>
    <w:pPr>
      <w:pBdr/>
      <w:spacing/>
      <w:ind/>
    </w:pPr>
  </w:style>
  <w:style w:type="paragraph" w:styleId="908">
    <w:name w:val="Cabeçalho Capa 1"/>
    <w:next w:val="908"/>
    <w:link w:val="868"/>
    <w:pPr>
      <w:pBdr/>
      <w:spacing/>
      <w:ind/>
    </w:pPr>
    <w:rPr>
      <w:rFonts w:ascii="Arial" w:hAnsi="Arial"/>
      <w:b/>
      <w:lang w:val="pt-BR" w:eastAsia="pt-BR" w:bidi="ar-SA"/>
    </w:rPr>
  </w:style>
  <w:style w:type="paragraph" w:styleId="909">
    <w:name w:val="Cabeçalho Capa 2"/>
    <w:next w:val="909"/>
    <w:link w:val="868"/>
    <w:pPr>
      <w:pBdr/>
      <w:spacing/>
      <w:ind/>
    </w:pPr>
    <w:rPr>
      <w:rFonts w:ascii="Arial" w:hAnsi="Arial"/>
      <w:sz w:val="16"/>
      <w:lang w:val="pt-BR" w:eastAsia="pt-BR" w:bidi="ar-SA"/>
    </w:rPr>
  </w:style>
  <w:style w:type="paragraph" w:styleId="910">
    <w:name w:val="Com marcadores"/>
    <w:basedOn w:val="868"/>
    <w:next w:val="910"/>
    <w:link w:val="868"/>
    <w:pPr>
      <w:numPr>
        <w:ilvl w:val="0"/>
        <w:numId w:val="12"/>
      </w:numPr>
      <w:pBdr/>
      <w:tabs>
        <w:tab w:val="clear" w:leader="none" w:pos="360"/>
        <w:tab w:val="num" w:leader="none" w:pos="567"/>
      </w:tabs>
      <w:spacing w:after="60" w:before="60"/>
      <w:ind w:left="993"/>
      <w:jc w:val="left"/>
    </w:pPr>
    <w:rPr>
      <w:rFonts w:ascii="Times New Roman" w:hAnsi="Times New Roman" w:cs="Times New Roman"/>
      <w:b/>
      <w:color w:val="000000"/>
      <w:sz w:val="22"/>
    </w:rPr>
  </w:style>
  <w:style w:type="paragraph" w:styleId="911">
    <w:name w:val="Tabletext"/>
    <w:basedOn w:val="868"/>
    <w:next w:val="911"/>
    <w:link w:val="868"/>
    <w:pPr>
      <w:keepLines w:val="true"/>
      <w:widowControl w:val="false"/>
      <w:pBdr/>
      <w:spacing w:after="120" w:line="240" w:lineRule="atLeast"/>
      <w:ind/>
      <w:jc w:val="left"/>
    </w:pPr>
    <w:rPr>
      <w:rFonts w:ascii="Times New Roman" w:hAnsi="Times New Roman" w:cs="Times New Roman"/>
      <w:color w:val="000000"/>
      <w:lang w:eastAsia="en-US"/>
    </w:rPr>
  </w:style>
  <w:style w:type="table" w:styleId="912">
    <w:name w:val="Tabela com grade"/>
    <w:basedOn w:val="879"/>
    <w:next w:val="912"/>
    <w:link w:val="868"/>
    <w:pPr>
      <w:pBdr/>
      <w:spacing/>
      <w:ind/>
      <w:jc w:val="both"/>
    </w:pPr>
    <w:tblPr>
      <w:tblW w:w="0" w:type="auto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13">
    <w:name w:val="Paragraph1"/>
    <w:basedOn w:val="868"/>
    <w:next w:val="913"/>
    <w:link w:val="868"/>
    <w:pPr>
      <w:widowControl w:val="false"/>
      <w:pBdr/>
      <w:spacing w:before="80"/>
      <w:ind/>
    </w:pPr>
    <w:rPr>
      <w:rFonts w:ascii="Times New Roman" w:hAnsi="Times New Roman" w:cs="Times New Roman"/>
      <w:color w:val="000000"/>
      <w:lang w:eastAsia="en-US"/>
    </w:rPr>
  </w:style>
  <w:style w:type="paragraph" w:styleId="914">
    <w:name w:val="Texto de balão"/>
    <w:basedOn w:val="868"/>
    <w:next w:val="914"/>
    <w:link w:val="915"/>
    <w:pPr>
      <w:pBdr/>
      <w:spacing/>
      <w:ind/>
    </w:pPr>
    <w:rPr>
      <w:rFonts w:ascii="Lucida Grande" w:hAnsi="Lucida Grande" w:cs="Lucida Grande"/>
      <w:sz w:val="18"/>
      <w:szCs w:val="18"/>
    </w:rPr>
  </w:style>
  <w:style w:type="character" w:styleId="915">
    <w:name w:val=" Char Char"/>
    <w:next w:val="915"/>
    <w:link w:val="914"/>
    <w:pPr>
      <w:pBdr/>
      <w:spacing/>
      <w:ind/>
    </w:pPr>
    <w:rPr>
      <w:rFonts w:ascii="Lucida Grande" w:hAnsi="Lucida Grande" w:cs="Lucida Grande"/>
      <w:color w:val="000000"/>
      <w:sz w:val="18"/>
      <w:szCs w:val="18"/>
      <w:lang w:val="pt-BR" w:eastAsia="pt-BR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Manager>&lt;Sigla do sistema&gt; - &lt;Nome do sistema&gt;</Manager>
  <Company>Faculdade Senac</Company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Regras de Negócio</dc:title>
  <dc:subject>Versão &lt;x&gt;</dc:subject>
  <dc:creator>Wilson Amaral</dc:creator>
  <cp:revision>5</cp:revision>
  <dcterms:created xsi:type="dcterms:W3CDTF">2013-09-20T22:11:00Z</dcterms:created>
  <dcterms:modified xsi:type="dcterms:W3CDTF">2026-06-13T13:43:27Z</dcterms:modified>
  <cp:version>726502</cp:version>
</cp:coreProperties>
</file>