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p14">
  <w:body>
    <w:p>
      <w:pPr>
        <w:pStyle w:val="Title"/>
        <w:jc w:val="right"/>
        <w:outlineLvl w:val="0"/>
        <w:rPr>
          <w:lang w:val="pt-BR"/>
        </w:rPr>
      </w:pPr>
      <w:bookmarkStart w:id="0" w:name="_Hlt156992614"/>
      <w:bookmarkStart w:id="1" w:name="_Hlt156992622"/>
      <w:bookmarkStart w:id="2" w:name="_Hlt156992832"/>
      <w:bookmarkStart w:id="3" w:name="_Hlt156992869"/>
      <w:bookmarkStart w:id="4" w:name="_Hlt156992877"/>
      <w:bookmarkStart w:id="5" w:name="_Hlt156992886"/>
      <w:bookmarkStart w:id="6" w:name="_Hlt156992933"/>
      <w:bookmarkStart w:id="7" w:name="_Hlt156992950"/>
      <w:bookmarkStart w:id="8" w:name="_Hlt156992959"/>
      <w:bookmarkStart w:id="9" w:name="_Hlt164767820"/>
      <w:bookmarkStart w:id="10" w:name="_Hlt171396469"/>
      <w:bookmarkStart w:id="11" w:name="_Hlt17139648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lang w:val="pt-BR"/>
        </w:rPr>
      </w:pPr>
      <w:r>
        <w:rPr>
          <w:color w:val="000000"/>
        </w:rPr>
        <w:t>Mione – Sistema de monitorias</w:t>
      </w:r>
    </w:p>
    <w:p>
      <w:pPr>
        <w:pStyle w:val="Normal"/>
        <w:jc w:val="right"/>
        <w:rPr>
          <w:i/>
          <w:color w:val="000000"/>
          <w:lang w:val="pt-BR"/>
        </w:rPr>
      </w:pPr>
      <w:r>
        <w:rPr>
          <w:color w:val="000000"/>
        </w:rPr>
        <w:t/>
      </w:r>
    </w:p>
    <w:p>
      <w:pPr>
        <w:pStyle w:val="Title"/>
        <w:jc w:val="right"/>
        <w:rPr>
          <w:lang w:val="pt-BR"/>
        </w:rPr>
      </w:pPr>
      <w:r>
        <w:rPr>
          <w:color w:val="000000"/>
        </w:rPr>
        <w:t>Estratégia de Testes Funcionais e Não Funcionais</w:t>
      </w:r>
    </w:p>
    <w:p>
      <w:pPr>
        <w:pStyle w:val="Normal"/>
        <w:jc w:val="right"/>
        <w:rPr>
          <w:i/>
          <w:color w:val="000000"/>
          <w:lang w:val="pt-BR"/>
        </w:rPr>
      </w:pPr>
      <w:r>
        <w:rPr>
          <w:color w:val="000000"/>
        </w:rPr>
        <w:t/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right"/>
        <w:rPr>
          <w:rFonts w:ascii="Arial" w:hAnsi="Arial" w:cs="Arial"/>
          <w:b/>
          <w:bCs/>
          <w:sz w:val="36"/>
          <w:lang w:val="pt-BR"/>
        </w:rPr>
      </w:pPr>
      <w:bookmarkStart w:id="12" w:name="nomeDoc"/>
      <w:r>
        <w:rPr>
          <w:rFonts w:ascii="Arial" w:hAnsi="Arial" w:cs="Arial"/>
          <w:b/>
          <w:bCs/>
          <w:sz w:val="36"/>
          <w:lang w:val="pt-BR"/>
        </w:rPr>
        <w:t xml:space="preserve">Estratégia de Testes</w:t>
      </w:r>
      <w:bookmarkEnd w:id="12"/>
      <w:r>
        <w:rPr>
          <w:rFonts w:ascii="Arial" w:hAnsi="Arial" w:cs="Arial"/>
          <w:b/>
          <w:bCs/>
          <w:sz w:val="36"/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Title"/>
        <w:jc w:val="right"/>
        <w:outlineLvl w:val="0"/>
        <w:rPr>
          <w:sz w:val="28"/>
          <w:lang w:val="pt-BR"/>
        </w:rPr>
      </w:pPr>
      <w:bookmarkStart w:id="13" w:name="versao"/>
      <w:r>
        <w:rPr>
          <w:sz w:val="28"/>
          <w:lang w:val="pt-BR"/>
        </w:rPr>
        <w:t xml:space="preserve">Versão 1.0</w:t>
      </w:r>
      <w:bookmarkEnd w:id="13"/>
      <w:r>
        <w:rPr>
          <w:sz w:val="28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Title"/>
        <w:outlineLvl w:val="0"/>
        <w:rPr>
          <w:lang w:val="pt-BR"/>
        </w:rPr>
      </w:pPr>
      <w:r>
        <w:rPr>
          <w:lang w:val="pt-BR"/>
        </w:rPr>
        <w:t xml:space="preserve">Histórico de Revisão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tbl>
      <w:tblPr>
        <w:tblInd w:w="0" w:type="dxa"/>
        <w:tblW w:w="9504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</w:tblPr>
      <w:tblGrid>
        <w:gridCol w:w="1384"/>
        <w:gridCol w:w="1134"/>
        <w:gridCol w:w="4394"/>
        <w:gridCol w:w="2592"/>
      </w:tblGrid>
      <w:tr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Data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Versão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Descrição</w:t>
            </w:r>
          </w:p>
        </w:tc>
        <w:tc>
          <w:tcPr>
            <w:tcW w:w="25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Autor</w:t>
            </w:r>
          </w:p>
        </w:tc>
      </w:tr>
      <w:tr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13/06/2026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1.0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Preenchimento inicial da estratégia de testes do sistema Mione</w:t>
            </w:r>
          </w:p>
        </w:tc>
        <w:tc>
          <w:tcPr>
            <w:tcW w:w="25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Kerlla Luz</w:t>
            </w:r>
          </w:p>
        </w:tc>
      </w:tr>
      <w:tr>
        <w:trPr>
          <w:trHeight w:val="216"/>
        </w:trPr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25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c>
          <w:tcPr>
            <w:tcW w:w="13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25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</w:tbl>
    <w:p>
      <w:pPr>
        <w:pStyle w:val="Normal"/>
        <w:rPr>
          <w:rFonts w:ascii="Arial" w:hAnsi="Arial"/>
          <w:lang w:val="es-ES_tradnl"/>
        </w:rPr>
      </w:pPr>
      <w:r>
        <w:rPr>
          <w:rFonts w:ascii="Arial" w:hAnsi="Arial"/>
          <w:lang w:val="es-ES_tradnl"/>
        </w:rPr>
      </w:r>
    </w:p>
    <w:p>
      <w:pPr>
        <w:pStyle w:val="Header"/>
        <w:tabs>
          <w:tab w:val="clear" w:pos="4320"/>
          <w:tab w:val="clear" w:pos="8640"/>
        </w:tabs>
        <w:rPr>
          <w:rFonts w:ascii="Arial" w:hAnsi="Arial"/>
          <w:lang w:val="es-ES_tradnl"/>
        </w:rPr>
      </w:pPr>
      <w:r>
        <w:rPr>
          <w:rFonts w:ascii="Arial" w:hAnsi="Arial"/>
          <w:lang w:val="es-ES_tradnl"/>
        </w:rPr>
        <w:br w:type="page" w:clear="all"/>
      </w:r>
    </w:p>
    <w:p>
      <w:pPr>
        <w:pStyle w:val="Title"/>
        <w:outlineLvl w:val="0"/>
        <w:rPr>
          <w:lang w:val="pt-BR"/>
        </w:rPr>
      </w:pPr>
      <w:r>
        <w:rPr>
          <w:lang w:val="pt-BR"/>
        </w:rPr>
        <w:t xml:space="preserve">Sumário</w:t>
      </w:r>
    </w:p>
    <w:p>
      <w:pPr>
        <w:pStyle w:val="TOC2"/>
        <w:tabs>
          <w:tab w:val="left" w:leader="none" w:pos="922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TOC \o "2-3" \h \z \t "Título 1;1;Roteiro;2" </w:instrText>
      </w:r>
      <w:r>
        <w:rPr>
          <w:lang w:val="pt-BR"/>
        </w:rPr>
        <w:fldChar w:fldCharType="separate"/>
      </w:r>
      <w:r>
        <w:rPr>
          <w:lang w:val="pt-BR"/>
        </w:rPr>
        <w:t xml:space="preserve">1.1</w:t>
      </w:r>
      <w:r>
        <w:rPr>
          <w:rFonts w:ascii="Cambria" w:hAnsi="Cambria" w:eastAsia="ＭＳ 明朝"/>
          <w:sz w:val="24"/>
          <w:szCs w:val="24"/>
          <w:lang w:eastAsia="ja-JP"/>
        </w:rPr>
        <w:tab/>
      </w:r>
      <w:r>
        <w:rPr>
          <w:lang w:val="pt-BR"/>
        </w:rPr>
        <w:t xml:space="preserve">Finalidade</w:t>
      </w:r>
      <w:r>
        <w:tab/>
      </w:r>
      <w:r>
        <w:fldChar w:fldCharType="begin"/>
      </w:r>
      <w:r>
        <w:instrText xml:space="preserve"> PAGEREF _Toc285123603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TOC2"/>
        <w:tabs>
          <w:tab w:val="left" w:leader="none" w:pos="922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lang w:val="pt-BR"/>
        </w:rPr>
        <w:t xml:space="preserve">1.2</w:t>
      </w:r>
      <w:r>
        <w:rPr>
          <w:rFonts w:ascii="Cambria" w:hAnsi="Cambria" w:eastAsia="ＭＳ 明朝"/>
          <w:sz w:val="24"/>
          <w:szCs w:val="24"/>
          <w:lang w:eastAsia="ja-JP"/>
        </w:rPr>
        <w:tab/>
      </w:r>
      <w:r>
        <w:rPr>
          <w:lang w:val="pt-BR"/>
        </w:rPr>
        <w:t xml:space="preserve">Casos de uso relacionados</w:t>
      </w:r>
      <w:r>
        <w:tab/>
      </w:r>
      <w:r>
        <w:fldChar w:fldCharType="begin"/>
      </w:r>
      <w:r>
        <w:instrText xml:space="preserve"> PAGEREF _Toc285123604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TOC3"/>
        <w:tabs>
          <w:tab w:val="left" w:leader="none" w:pos="1630"/>
        </w:tabs>
        <w:rPr>
          <w:rFonts w:ascii="Cambria" w:hAnsi="Cambria" w:eastAsia="ＭＳ 明朝"/>
          <w:bCs w:val="0"/>
          <w:sz w:val="24"/>
          <w:szCs w:val="24"/>
          <w:lang w:eastAsia="ja-JP"/>
        </w:rPr>
      </w:pPr>
      <w:r>
        <w:t xml:space="preserve">1.2.1</w:t>
      </w:r>
      <w:r>
        <w:rPr>
          <w:rFonts w:ascii="Cambria" w:hAnsi="Cambria" w:eastAsia="ＭＳ 明朝"/>
          <w:bCs w:val="0"/>
          <w:sz w:val="24"/>
          <w:szCs w:val="24"/>
          <w:lang w:eastAsia="ja-JP"/>
        </w:rPr>
        <w:tab/>
      </w:r>
      <w:r>
        <w:t xml:space="preserve">Casos de uso que recebem informações (sucessores):</w:t>
        <w:tab/>
      </w:r>
      <w:r>
        <w:fldChar w:fldCharType="begin"/>
      </w:r>
      <w:r>
        <w:instrText xml:space="preserve"> PAGEREF _Toc285123605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="Cambria" w:hAnsi="Cambria" w:eastAsia="ＭＳ 明朝"/>
          <w:bCs w:val="0"/>
          <w:sz w:val="24"/>
          <w:szCs w:val="24"/>
          <w:lang w:eastAsia="ja-JP"/>
        </w:rPr>
      </w:r>
    </w:p>
    <w:p>
      <w:pPr>
        <w:pStyle w:val="TOC3"/>
        <w:tabs>
          <w:tab w:val="left" w:leader="none" w:pos="1630"/>
        </w:tabs>
        <w:rPr>
          <w:rFonts w:ascii="Cambria" w:hAnsi="Cambria" w:eastAsia="ＭＳ 明朝"/>
          <w:bCs w:val="0"/>
          <w:sz w:val="24"/>
          <w:szCs w:val="24"/>
          <w:lang w:eastAsia="ja-JP"/>
        </w:rPr>
      </w:pPr>
      <w:r>
        <w:t xml:space="preserve">1.2.2</w:t>
      </w:r>
      <w:r>
        <w:rPr>
          <w:rFonts w:ascii="Cambria" w:hAnsi="Cambria" w:eastAsia="ＭＳ 明朝"/>
          <w:bCs w:val="0"/>
          <w:sz w:val="24"/>
          <w:szCs w:val="24"/>
          <w:lang w:eastAsia="ja-JP"/>
        </w:rPr>
        <w:tab/>
      </w:r>
      <w:r>
        <w:t xml:space="preserve">Casos de uso que disponibilizam informações (predecessores):</w:t>
        <w:tab/>
      </w:r>
      <w:r>
        <w:fldChar w:fldCharType="begin"/>
      </w:r>
      <w:r>
        <w:instrText xml:space="preserve"> PAGEREF _Toc285123606 \h </w:instrText>
      </w:r>
      <w:r>
        <w:fldChar w:fldCharType="separate"/>
      </w:r>
      <w:r>
        <w:t xml:space="preserve">3</w:t>
      </w:r>
      <w:r>
        <w:fldChar w:fldCharType="end"/>
      </w:r>
      <w:r>
        <w:rPr>
          <w:rFonts w:ascii="Cambria" w:hAnsi="Cambria" w:eastAsia="ＭＳ 明朝"/>
          <w:bCs w:val="0"/>
          <w:sz w:val="24"/>
          <w:szCs w:val="24"/>
          <w:lang w:eastAsia="ja-JP"/>
        </w:rPr>
      </w:r>
    </w:p>
    <w:p>
      <w:pPr>
        <w:pStyle w:val="TOC2"/>
        <w:tabs>
          <w:tab w:val="left" w:leader="none" w:pos="922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lang w:val="pt-BR"/>
        </w:rPr>
        <w:t xml:space="preserve">1.3</w:t>
      </w:r>
      <w:r>
        <w:rPr>
          <w:rFonts w:ascii="Cambria" w:hAnsi="Cambria" w:eastAsia="ＭＳ 明朝"/>
          <w:sz w:val="24"/>
          <w:szCs w:val="24"/>
          <w:lang w:eastAsia="ja-JP"/>
        </w:rPr>
        <w:tab/>
      </w:r>
      <w:r>
        <w:rPr>
          <w:lang w:val="pt-BR"/>
        </w:rPr>
        <w:t xml:space="preserve">Referências</w:t>
      </w:r>
      <w:r>
        <w:tab/>
      </w:r>
      <w:r>
        <w:fldChar w:fldCharType="begin"/>
      </w:r>
      <w:r>
        <w:instrText xml:space="preserve"> PAGEREF _Toc285123607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ascii="Cambria" w:hAnsi="Cambria" w:eastAsia="ＭＳ 明朝"/>
          <w:sz w:val="24"/>
          <w:szCs w:val="24"/>
          <w:lang w:eastAsia="ja-JP"/>
        </w:rPr>
      </w:r>
    </w:p>
    <w:p>
      <w:pPr>
        <w:pStyle w:val="TOC2"/>
        <w:tabs>
          <w:tab w:val="left" w:leader="none" w:pos="1155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color w:val="000000"/>
        </w:rPr>
        <w:t>R001. Validação de autenticação, perfis e acesso às áreas protegidas 4</w:t>
      </w:r>
    </w:p>
    <w:p>
      <w:pPr>
        <w:pStyle w:val="TOC2"/>
        <w:tabs>
          <w:tab w:val="left" w:leader="none" w:pos="1155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color w:val="000000"/>
        </w:rPr>
        <w:t>R002. Validação da gestão administrativa de usuários e disciplinas 5</w:t>
      </w:r>
    </w:p>
    <w:p>
      <w:pPr>
        <w:pStyle w:val="TOC2"/>
        <w:tabs>
          <w:tab w:val="left" w:leader="none" w:pos="1155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color w:val="000000"/>
        </w:rPr>
        <w:t>R003. Validação dos fluxos públicos de cadastro e recuperação de senha 6</w:t>
      </w:r>
    </w:p>
    <w:p>
      <w:pPr>
        <w:pStyle w:val="TOC2"/>
        <w:tabs>
          <w:tab w:val="left" w:leader="none" w:pos="1155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color w:val="000000"/>
        </w:rPr>
        <w:t>R004. Validação do workspace do monitor e da geração de horários 7</w:t>
      </w:r>
    </w:p>
    <w:p>
      <w:pPr>
        <w:pStyle w:val="TOC2"/>
        <w:tabs>
          <w:tab w:val="left" w:leader="none" w:pos="1155"/>
        </w:tabs>
        <w:rPr>
          <w:rFonts w:ascii="Cambria" w:hAnsi="Cambria" w:eastAsia="ＭＳ 明朝"/>
          <w:sz w:val="24"/>
          <w:szCs w:val="24"/>
          <w:lang w:eastAsia="ja-JP"/>
        </w:rPr>
      </w:pPr>
      <w:r>
        <w:rPr>
          <w:color w:val="000000"/>
        </w:rPr>
        <w:t>R005. Validação do agendamento, cancelamento e histórico de atendimentos 8</w:t>
      </w:r>
    </w:p>
    <w:p>
      <w:pPr>
        <w:pStyle w:val="Normal"/>
        <w:rPr>
          <w:lang w:val="pt-BR"/>
        </w:rPr>
      </w:pPr>
      <w:r>
        <w:rPr>
          <w:lang w:val="pt-BR"/>
        </w:rPr>
        <w:fldChar w:fldCharType="end"/>
      </w:r>
      <w:r>
        <w:rPr>
          <w:lang w:val="pt-BR"/>
        </w:rPr>
      </w:r>
    </w:p>
    <w:p>
      <w:pPr>
        <w:pStyle w:val="Title"/>
        <w:outlineLvl w:val="0"/>
        <w:rPr>
          <w:lang w:val="pt-BR"/>
        </w:rPr>
      </w:pPr>
      <w:r>
        <w:rPr>
          <w:color w:val="000000"/>
        </w:rPr>
        <w:t>Estratégia de Testes: Mione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lang w:val="pt-BR"/>
        </w:rPr>
      </w:pPr>
      <w:bookmarkStart w:id="14" w:name="_Toc456598586"/>
      <w:bookmarkStart w:id="15" w:name="_Toc456600917"/>
      <w:bookmarkStart w:id="16" w:name="_Toc534195090"/>
      <w:r>
        <w:rPr>
          <w:lang w:val="pt-BR"/>
        </w:rPr>
        <w:t xml:space="preserve">Introdução</w:t>
      </w:r>
      <w:bookmarkEnd w:id="14"/>
      <w:bookmarkEnd w:id="15"/>
      <w:bookmarkEnd w:id="16"/>
      <w:r>
        <w:rPr>
          <w:lang w:val="pt-BR"/>
        </w:rPr>
      </w:r>
    </w:p>
    <w:p>
      <w:pPr>
        <w:pStyle w:val="Heading2"/>
        <w:rPr>
          <w:lang w:val="pt-BR"/>
        </w:rPr>
      </w:pPr>
      <w:bookmarkStart w:id="17" w:name="_Toc534195091"/>
      <w:bookmarkStart w:id="18" w:name="_Toc285123603"/>
      <w:r>
        <w:rPr>
          <w:lang w:val="pt-BR"/>
        </w:rPr>
        <w:t xml:space="preserve">Finalidade</w:t>
      </w:r>
      <w:bookmarkEnd w:id="17"/>
      <w:bookmarkEnd w:id="18"/>
      <w:r>
        <w:rPr>
          <w:lang w:val="pt-BR"/>
        </w:rPr>
      </w:r>
    </w:p>
    <w:p>
      <w:pPr>
        <w:pStyle w:val="BodyTextIndent2"/>
        <w:jc w:val="both"/>
      </w:pPr>
      <w:r>
        <w:rPr>
          <w:color w:val="000000"/>
        </w:rPr>
        <w:t>Este documento especifica a estratégia de testes a ser utilizada para validar os principais fluxos funcionais e os requisitos não funcionais relevantes do sistema Mione.</w:t>
      </w:r>
    </w:p>
    <w:p>
      <w:pPr>
        <w:pStyle w:val="BodyTextIndent2"/>
      </w:pPr>
    </w:p>
    <w:p>
      <w:pPr>
        <w:pStyle w:val="Heading2"/>
        <w:rPr>
          <w:lang w:val="pt-BR"/>
        </w:rPr>
      </w:pPr>
      <w:bookmarkStart w:id="19" w:name="_Toc285123604"/>
      <w:r>
        <w:rPr>
          <w:lang w:val="pt-BR"/>
        </w:rPr>
        <w:t xml:space="preserve">Casos de uso relacionados</w:t>
      </w:r>
      <w:bookmarkEnd w:id="19"/>
      <w:r>
        <w:rPr>
          <w:lang w:val="pt-BR"/>
        </w:rPr>
      </w:r>
    </w:p>
    <w:p>
      <w:pPr>
        <w:pStyle w:val="Heading3"/>
      </w:pPr>
      <w:bookmarkStart w:id="20" w:name="_Toc285123605"/>
      <w:r>
        <w:t xml:space="preserve">Casos de uso que recebem informações (sucessores):</w:t>
      </w:r>
      <w:bookmarkEnd w:id="20"/>
    </w:p>
    <w:p>
      <w:pPr>
        <w:pStyle w:val="BodyTextIndent2"/>
      </w:pPr>
      <w:r>
        <w:rPr>
          <w:color w:val="000000"/>
        </w:rPr>
        <w:t>UC01 – Autenticar e selecionar perfil de acesso</w:t>
      </w:r>
      <w:r>
        <w:br/>
      </w:r>
      <w:r>
        <w:rPr>
          <w:color w:val="000000"/>
        </w:rPr>
        <w:t>UC02 – Atualizar meu perfil</w:t>
      </w:r>
      <w:r>
        <w:br/>
      </w:r>
      <w:r>
        <w:rPr>
          <w:color w:val="000000"/>
        </w:rPr>
        <w:t>UC03 – Gerenciar usuários e perfis</w:t>
      </w:r>
      <w:r>
        <w:br/>
      </w:r>
      <w:r>
        <w:rPr>
          <w:color w:val="000000"/>
        </w:rPr>
        <w:t>UC04 – Gerar link público de cadastro</w:t>
      </w:r>
      <w:r>
        <w:br/>
      </w:r>
      <w:r>
        <w:rPr>
          <w:color w:val="000000"/>
        </w:rPr>
        <w:t>UC05 – Cadastrar usuário por link público</w:t>
      </w:r>
      <w:r>
        <w:br/>
      </w:r>
      <w:r>
        <w:rPr>
          <w:color w:val="000000"/>
        </w:rPr>
        <w:t>UC06 – Recuperar senha</w:t>
      </w:r>
      <w:r>
        <w:br/>
      </w:r>
      <w:r>
        <w:rPr>
          <w:color w:val="000000"/>
        </w:rPr>
        <w:t>UC07 – Gerenciar disciplinas</w:t>
      </w:r>
      <w:r>
        <w:br/>
      </w:r>
      <w:r>
        <w:rPr>
          <w:color w:val="000000"/>
        </w:rPr>
        <w:t>UC08 – Gerenciar disponibilidades e horários de monitoria</w:t>
      </w:r>
      <w:r>
        <w:br/>
      </w:r>
      <w:r>
        <w:rPr>
          <w:color w:val="000000"/>
        </w:rPr>
        <w:t>UC09 – Agendar atendimento de monitoria</w:t>
      </w:r>
      <w:r>
        <w:br/>
      </w:r>
      <w:r>
        <w:rPr>
          <w:color w:val="000000"/>
        </w:rPr>
        <w:t>UC10 – Cancelar e acompanhar atendimentos</w:t>
      </w:r>
    </w:p>
    <w:p>
      <w:pPr>
        <w:pStyle w:val="Heading3"/>
      </w:pPr>
      <w:bookmarkStart w:id="21" w:name="_Toc285123606"/>
      <w:r>
        <w:t xml:space="preserve">Casos de uso que disponibilizam informações (predecessores):</w:t>
      </w:r>
      <w:bookmarkEnd w:id="21"/>
    </w:p>
    <w:p>
      <w:pPr>
        <w:pStyle w:val="BodyTextIndent2"/>
      </w:pPr>
      <w:r>
        <w:rPr>
          <w:color w:val="000000"/>
        </w:rPr>
        <w:t>Não se aplica, pois esta estratégia consolida o comportamento de vários casos de uso correlatos do sistema.</w:t>
      </w:r>
    </w:p>
    <w:p>
      <w:pPr>
        <w:pStyle w:val="BodyTextIndent2"/>
      </w:pPr>
    </w:p>
    <w:p>
      <w:pPr>
        <w:pStyle w:val="BodyTextIndent2"/>
      </w:pPr>
    </w:p>
    <w:p>
      <w:pPr>
        <w:pStyle w:val="Heading2"/>
        <w:rPr>
          <w:lang w:val="pt-BR"/>
        </w:rPr>
      </w:pPr>
      <w:bookmarkStart w:id="22" w:name="_Toc456598590"/>
      <w:bookmarkStart w:id="23" w:name="_Toc456600921"/>
      <w:bookmarkStart w:id="24" w:name="_Toc534195094"/>
      <w:bookmarkStart w:id="25" w:name="_Toc285123607"/>
      <w:r>
        <w:rPr>
          <w:lang w:val="pt-BR"/>
        </w:rPr>
        <w:t xml:space="preserve">Referênc</w:t>
      </w:r>
      <w:bookmarkEnd w:id="22"/>
      <w:bookmarkEnd w:id="23"/>
      <w:r>
        <w:rPr>
          <w:lang w:val="pt-BR"/>
        </w:rPr>
        <w:t xml:space="preserve">ias</w:t>
      </w:r>
      <w:bookmarkEnd w:id="24"/>
      <w:bookmarkEnd w:id="25"/>
      <w:r>
        <w:rPr>
          <w:lang w:val="pt-BR"/>
        </w:rPr>
      </w:r>
    </w:p>
    <w:tbl>
      <w:tblPr>
        <w:tblInd w:w="70" w:type="dxa"/>
        <w:tblW w:w="9072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</w:tblPr>
      <w:tblGrid>
        <w:gridCol w:w="3402"/>
        <w:gridCol w:w="993"/>
        <w:gridCol w:w="4677"/>
      </w:tblGrid>
      <w:tr>
        <w:trPr>
          <w:tblHeader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bookmarkStart w:id="26" w:name="_Toc534195096"/>
            <w:r>
              <w:rPr>
                <w:rFonts w:ascii="Arial" w:hAnsi="Arial" w:cs="Arial"/>
                <w:b/>
                <w:bCs/>
                <w:lang w:val="pt-BR"/>
              </w:rPr>
              <w:t xml:space="preserve">Título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Versão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Caminho</w:t>
            </w:r>
          </w:p>
        </w:tc>
      </w:tr>
      <w:tr>
        <w:trPr/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Documento de Visão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1.0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doc/finalizado/Documento de Visão.docx</w:t>
            </w:r>
          </w:p>
        </w:tc>
      </w:tr>
      <w:tr>
        <w:trPr/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Documento de Regras de Negócio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1.0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doc/finalizado/Documento de Regras de Negócio.docx</w:t>
            </w:r>
          </w:p>
        </w:tc>
      </w:tr>
      <w:tr>
        <w:trPr/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Documento de Requisitos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1.0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doc/Documento de Requisitos.docx</w:t>
            </w:r>
          </w:p>
        </w:tc>
      </w:tr>
    </w:tbl>
    <w:p>
      <w:pPr>
        <w:pStyle w:val="Heading1"/>
        <w:numPr>
          <w:ilvl w:val="0"/>
          <w:numId w:val="0"/>
        </w:numPr>
        <w:rPr>
          <w:lang w:val="pt-BR"/>
        </w:rPr>
      </w:pPr>
      <w:r>
        <w:rPr>
          <w:lang w:val="pt-BR"/>
        </w:rPr>
      </w:r>
    </w:p>
    <w:p>
      <w:pPr>
        <w:pStyle w:val="Heading1"/>
        <w:rPr>
          <w:lang w:val="pt-BR"/>
        </w:rPr>
      </w:pPr>
      <w:r>
        <w:rPr>
          <w:color w:val="000000"/>
        </w:rPr>
        <w:t>Pré-requisitos</w:t>
      </w:r>
    </w:p>
    <w:p>
      <w:pPr>
        <w:pStyle w:val="BodyTextIndent2"/>
        <w:numPr>
          <w:ilvl w:val="0"/>
          <w:numId w:val="5"/>
        </w:numPr>
      </w:pPr>
      <w:r>
        <w:rPr>
          <w:color w:val="000000"/>
        </w:rPr>
        <w:t>Deverá existir ambiente funcional com frontend, backend, banco de dados e serviço de email configurados.</w:t>
      </w:r>
    </w:p>
    <w:p>
      <w:pPr>
        <w:pStyle w:val="BodyTextIndent2"/>
        <w:numPr>
          <w:ilvl w:val="0"/>
          <w:numId w:val="5"/>
        </w:numPr>
      </w:pPr>
      <w:r>
        <w:rPr>
          <w:color w:val="000000"/>
        </w:rPr>
        <w:t>Deverão existir usuários de teste representando os perfis aluno, monitor, coordenador e administrador.</w:t>
      </w:r>
    </w:p>
    <w:p>
      <w:pPr>
        <w:pStyle w:val="BodyTextIndent2"/>
        <w:ind w:left="0"/>
      </w:pPr>
    </w:p>
    <w:p>
      <w:pPr>
        <w:pStyle w:val="Heading1"/>
        <w:rPr>
          <w:lang w:val="pt-BR"/>
        </w:rPr>
      </w:pPr>
      <w:r>
        <w:rPr>
          <w:color w:val="000000"/>
        </w:rPr>
        <w:t>Tabelas relacionadas</w:t>
      </w:r>
    </w:p>
    <w:tbl>
      <w:tblPr>
        <w:tblInd w:w="7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3280"/>
        <w:gridCol w:w="3280"/>
        <w:gridCol w:w="2537"/>
      </w:tblGrid>
      <w:tr>
        <w:trPr>
          <w:cantSplit/>
          <w:tblHeader/>
        </w:trPr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Nome Lógico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Nome Real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Descrição</w:t>
            </w:r>
          </w:p>
        </w:tc>
      </w:tr>
      <w:tr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usuario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usuario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Armazena dados básicos e credenciais dos usuários.</w:t>
            </w:r>
          </w:p>
        </w:tc>
      </w:tr>
      <w:tr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perfil de acesso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perfil_acesso / perfil_usuario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Representa a habilitação de papéis como aluno, monitor, coordenador e administrador.</w:t>
            </w:r>
          </w:p>
        </w:tc>
      </w:tr>
      <w:tr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disciplina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disciplina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Registra as disciplinas utilizadas nos fluxos de monitoria.</w:t>
            </w:r>
          </w:p>
        </w:tc>
      </w:tr>
      <w:tr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periodo letivo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periodo_letivo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Define ano e semestre ativos para criação de horários.</w:t>
            </w:r>
          </w:p>
        </w:tc>
      </w:tr>
      <w:tr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disponibilidade recorrente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disponibilidade_recorrente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Regra semanal para geração de slots futuros.</w:t>
            </w:r>
          </w:p>
        </w:tc>
      </w:tr>
      <w:tr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horário de monitoria</w:t>
            </w:r>
          </w:p>
        </w:tc>
        <w:tc>
          <w:tcPr>
            <w:tcW w:w="3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horario_monitoria</w:t>
            </w:r>
          </w:p>
        </w:tc>
        <w:tc>
          <w:tcPr>
            <w:tcW w:w="2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Slot pontual ou gerado para reserva e controle operacional.</w:t>
            </w:r>
          </w:p>
        </w:tc>
      </w:tr>
    </w:tbl>
    <w:p>
      <w:pPr>
        <w:pStyle w:val="UserStyle_12"/>
      </w:pPr>
    </w:p>
    <w:p>
      <w:pPr>
        <w:pStyle w:val="UserStyle_12"/>
        <w:sectPr>
          <w:headerReference w:type="default" ns2:id="rId8"/>
          <w:footerReference w:type="default" ns2:id="rId9"/>
          <w:endnotePr>
            <w:numFmt w:val="decimal"/>
          </w:endnotePr>
          <w:type w:val="nextPage"/>
          <w:pgSz w:h="16840" w:w="11907"/>
          <w:pgMar w:top="1440" w:right="1440" w:bottom="1440" w:left="1440" w:header="720" w:footer="720" w:gutter="0"/>
          <w:cols w:space="720"/>
          <w:titlePg/>
        </w:sectPr>
      </w:pPr>
    </w:p>
    <w:p>
      <w:pPr>
        <w:pStyle w:val="Heading1"/>
        <w:rPr>
          <w:lang w:val="pt-BR"/>
        </w:rPr>
      </w:pPr>
      <w:r>
        <w:rPr>
          <w:color w:val="000000"/>
        </w:rPr>
        <w:t>Roteiros de Teste</w:t>
      </w:r>
    </w:p>
    <w:p>
      <w:pPr>
        <w:pStyle w:val="BodyTextIndent2"/>
        <w:numPr>
          <w:ilvl w:val="0"/>
          <w:numId w:val="5"/>
        </w:numPr>
      </w:pPr>
      <w:r>
        <w:rPr>
          <w:color w:val="000000"/>
        </w:rPr>
        <w:t>Os roteiros a seguir consolidam os principais grupos de validação funcional do sistema Mione. Eles deverão ser utilizados como guia para elaboração e execução do plano de testes detalhado.</w:t>
      </w:r>
    </w:p>
    <w:p>
      <w:pPr>
        <w:pStyle w:val="BodyTextIndent2"/>
        <w:numPr>
          <w:ilvl w:val="0"/>
          <w:numId w:val="5"/>
        </w:numPr>
      </w:pPr>
      <w:r>
        <w:rPr>
          <w:color w:val="000000"/>
        </w:rPr>
        <w:t>Quando um roteiro mencionar múltiplos cenários, cada cenário deverá ser tratado como situação de teste distinta durante a execução.</w:t>
      </w:r>
    </w:p>
    <w:p>
      <w:pPr>
        <w:pStyle w:val="UserStyle_17"/>
      </w:pPr>
      <w:r>
        <w:rPr>
          <w:color w:val="000000"/>
        </w:rPr>
        <w:t>Validação de autenticação, perfis e acesso</w:t>
      </w:r>
    </w:p>
    <w:tbl>
      <w:tblPr>
        <w:tblInd w:w="-948" w:type="dxa"/>
        <w:tblW w:w="15760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ook w:val="00BF" w:firstRow="1" w:lastRow="0" w:firstColumn="1" w:lastColumn="0" w:noHBand="0" w:noVBand="0"/>
        <w:tblLayout w:type="fixed"/>
      </w:tblPr>
      <w:tblGrid>
        <w:gridCol w:w="1160"/>
        <w:gridCol w:w="3318"/>
        <w:gridCol w:w="4904"/>
        <w:gridCol w:w="4636"/>
        <w:gridCol w:w="1742"/>
      </w:tblGrid>
      <w:tr>
        <w:trPr>
          <w:cantSplit/>
          <w:tblHeader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Caso de Teste</w:t>
            </w:r>
          </w:p>
        </w:tc>
        <w:tc>
          <w:tcPr>
            <w:tcW w:w="3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Especificação</w:t>
            </w:r>
          </w:p>
        </w:tc>
        <w:tc>
          <w:tcPr>
            <w:tcW w:w="4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Dados de Entrada</w:t>
            </w:r>
          </w:p>
        </w:tc>
        <w:tc>
          <w:tcPr>
            <w:tcW w:w="4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Resultados Esperados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Evidencia de Teste</w:t>
            </w:r>
          </w:p>
        </w:tc>
      </w:tr>
      <w:tr>
        <w:trPr>
          <w:cantSplit/>
        </w:trPr>
        <w:tc>
          <w:tcPr>
            <w:tcW w:w="44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login com credenciais válidas</w:t>
            </w:r>
          </w:p>
        </w:tc>
        <w:tc>
          <w:tcPr>
            <w:tcW w:w="4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Usuário acessa a tela de login e informa credenciais corretas.</w:t>
            </w:r>
          </w:p>
        </w:tc>
        <w:tc>
          <w:tcPr>
            <w:tcW w:w="4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Perfis de teste válidos para aluno, monitor, coordenador e administrador.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autentica o usuário e direciona para a área compatível com o perfil ativo.</w:t>
            </w:r>
          </w:p>
        </w:tc>
      </w:tr>
      <w:tr>
        <w:trPr>
          <w:cantSplit/>
        </w:trPr>
        <w:tc>
          <w:tcPr>
            <w:tcW w:w="44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restrição por perfil</w:t>
            </w:r>
          </w:p>
        </w:tc>
        <w:tc>
          <w:tcPr>
            <w:tcW w:w="4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Usuário autenticado tenta acessar funcionalidade incompatível com o perfil ativo.</w:t>
            </w:r>
          </w:p>
        </w:tc>
        <w:tc>
          <w:tcPr>
            <w:tcW w:w="4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Perfis distintos e rota protegida de outro papel.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bloqueia o acesso e mantém a restrição de autorização.</w:t>
            </w:r>
          </w:p>
        </w:tc>
      </w:tr>
    </w:tbl>
    <w:p>
      <w:pPr>
        <w:pStyle w:val="UserStyle_17"/>
      </w:pPr>
      <w:r>
        <w:rPr>
          <w:color w:val="000000"/>
        </w:rPr>
        <w:t>Validação da gestão administrativa de usuários e disciplinas</w:t>
      </w:r>
    </w:p>
    <w:tbl>
      <w:tblPr>
        <w:tblInd w:w="-948" w:type="dxa"/>
        <w:tblW w:w="15760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ook w:val="00BF" w:firstRow="1" w:lastRow="0" w:firstColumn="1" w:lastColumn="0" w:noHBand="0" w:noVBand="0"/>
        <w:tblLayout w:type="fixed"/>
      </w:tblPr>
      <w:tblGrid>
        <w:gridCol w:w="1160"/>
        <w:gridCol w:w="3260"/>
        <w:gridCol w:w="3828"/>
        <w:gridCol w:w="10"/>
        <w:gridCol w:w="5760"/>
        <w:gridCol w:w="1742"/>
      </w:tblGrid>
      <w:tr>
        <w:trPr>
          <w:cantSplit/>
          <w:tblHeader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Caso de Teste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Especificação</w:t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Dados de Entrada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Resultados Esperados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Evidencia de Teste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cadastro direto de usuário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Coordenador ou administrador utiliza o modal de cadastro direto.</w:t>
            </w:r>
          </w:p>
        </w:tc>
        <w:tc>
          <w:tcPr>
            <w:tcW w:w="5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Nome, email, telefone, senha e perfil compatíveis.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persiste o usuário, atualiza a listagem e apresenta confirmação.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cadastro e edição de disciplina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Usuário administrativo cadastra nova disciplina e edita seu nome.</w:t>
            </w:r>
          </w:p>
        </w:tc>
        <w:tc>
          <w:tcPr>
            <w:tcW w:w="5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Nome de disciplina válido.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cria a disciplina com código gerado no backend e permite alterar apenas o nome.</w:t>
            </w:r>
          </w:p>
        </w:tc>
      </w:tr>
    </w:tbl>
    <w:p>
      <w:pPr>
        <w:pStyle w:val="UserStyle_17"/>
        <w:numPr>
          <w:ilvl w:val="0"/>
          <w:numId w:val="0"/>
        </w:numPr>
      </w:pPr>
      <w:bookmarkStart w:id="31" w:name="_Ref152642588"/>
    </w:p>
    <w:p>
      <w:pPr>
        <w:pStyle w:val="UserStyle_17"/>
      </w:pPr>
      <w:r>
        <w:rPr>
          <w:color w:val="000000"/>
        </w:rPr>
        <w:t>Validação dos fluxos públicos de cadastro e recuperação de senha</w:t>
      </w:r>
    </w:p>
    <w:tbl>
      <w:tblPr>
        <w:tblInd w:w="-948" w:type="dxa"/>
        <w:tblW w:w="15760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ook w:val="00BF" w:firstRow="1" w:lastRow="0" w:firstColumn="1" w:lastColumn="0" w:noHBand="0" w:noVBand="0"/>
        <w:tblLayout w:type="fixed"/>
      </w:tblPr>
      <w:tblGrid>
        <w:gridCol w:w="1160"/>
        <w:gridCol w:w="3260"/>
        <w:gridCol w:w="3828"/>
        <w:gridCol w:w="10"/>
        <w:gridCol w:w="5760"/>
        <w:gridCol w:w="1742"/>
      </w:tblGrid>
      <w:tr>
        <w:trPr>
          <w:cantSplit/>
          <w:tblHeader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Caso de Teste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Especificação</w:t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Dados de Entrada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Resultados Esperados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Evidencia de Teste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cadastro por link público com token válido</w:t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Usuário acessa link público emitido pela gestão e conclui o cadastro.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Token válido e dados obrigatórios corretos.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exibe o formulário, conclui o cadastro e cria o perfil em estado compatível com as regras.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recuperação de senha com token inválido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Usuário acessa a tela de redefinição com token inválido ou expirado.</w:t>
            </w:r>
          </w:p>
        </w:tc>
        <w:tc>
          <w:tcPr>
            <w:tcW w:w="5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Token inválido ou expirado.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não exibe o formulário e apresenta mensagem controlada.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</w:tbl>
    <w:p>
      <w:pPr>
        <w:pStyle w:val="UserStyle_17"/>
        <w:numPr>
          <w:ilvl w:val="0"/>
          <w:numId w:val="0"/>
        </w:numPr>
      </w:pPr>
    </w:p>
    <w:p>
      <w:pPr>
        <w:pStyle w:val="UserStyle_17"/>
      </w:pPr>
      <w:r>
        <w:rPr>
          <w:color w:val="000000"/>
        </w:rPr>
        <w:t>Validação do workspace do monitor</w:t>
      </w:r>
    </w:p>
    <w:tbl>
      <w:tblPr>
        <w:tblInd w:w="-948" w:type="dxa"/>
        <w:tblW w:w="15760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ook w:val="00BF" w:firstRow="1" w:lastRow="0" w:firstColumn="1" w:lastColumn="0" w:noHBand="0" w:noVBand="0"/>
        <w:tblLayout w:type="fixed"/>
      </w:tblPr>
      <w:tblGrid>
        <w:gridCol w:w="1160"/>
        <w:gridCol w:w="3260"/>
        <w:gridCol w:w="3838"/>
        <w:gridCol w:w="5760"/>
        <w:gridCol w:w="1742"/>
      </w:tblGrid>
      <w:tr>
        <w:trPr>
          <w:cantSplit/>
          <w:tblHeader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Caso de Teste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Especificação</w:t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Dados de Entrada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Resultados Esperados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Evidencia de Teste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criação de horário pontual</w:t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Monitor informa disciplina, data e faixa horária no workspace.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Período letivo ativo e horário sem conflito.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cadastra o horário e o apresenta na listagem do monitor.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bloqueio e liberação de slot</w:t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Monitor utiliza as ações individuais de bloqueio e liberação sobre slot disponível.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Slot pertencente ao monitor e em estado compatível.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altera corretamente o estado do horário e atualiza a interface.</w:t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</w:tbl>
    <w:p>
      <w:pPr>
        <w:pStyle w:val="UserStyle_17"/>
      </w:pPr>
      <w:r>
        <w:rPr>
          <w:color w:val="000000"/>
        </w:rPr>
        <w:t>Validação de agendamento, cancelamento e histórico de atendimentos</w:t>
      </w:r>
    </w:p>
    <w:p>
      <w:pPr>
        <w:pStyle w:val="BodyTextIndent2"/>
        <w:ind w:left="777"/>
      </w:pPr>
      <w:r>
        <w:rPr>
          <w:color w:val="000000"/>
        </w:rPr>
        <w:t>Para execução dos testes de interface web, o navegador deverá estar configurado com suporte a JavaScript, cookies e recursos necessários ao funcionamento da aplicação.</w:t>
      </w:r>
    </w:p>
    <w:p>
      <w:pPr>
        <w:pStyle w:val="BodyTextIndent2"/>
        <w:numPr>
          <w:ilvl w:val="1"/>
          <w:numId w:val="6"/>
        </w:numPr>
      </w:pPr>
      <w:r>
        <w:rPr>
          <w:color w:val="000000"/>
        </w:rPr>
        <w:t>Selecionar o navegador homologado para a execução dos testes.</w:t>
      </w:r>
    </w:p>
    <w:p>
      <w:pPr>
        <w:pStyle w:val="BodyTextIndent2"/>
        <w:numPr>
          <w:ilvl w:val="1"/>
          <w:numId w:val="6"/>
        </w:numPr>
      </w:pPr>
      <w:r>
        <w:rPr>
          <w:color w:val="000000"/>
        </w:rPr>
        <w:t>Garantir que o ambiente de teste possua acesso ao backend e ao banco de dados correspondentes.</w:t>
      </w:r>
    </w:p>
    <w:p>
      <w:pPr>
        <w:pStyle w:val="BodyTextIndent2"/>
        <w:numPr>
          <w:ilvl w:val="1"/>
          <w:numId w:val="6"/>
        </w:numPr>
      </w:pPr>
      <w:r>
        <w:rPr>
          <w:color w:val="000000"/>
        </w:rPr>
        <w:t>Confirmar que os perfis de teste e dados iniciais estejam previamente preparados.</w:t>
      </w:r>
    </w:p>
    <w:p>
      <w:pPr>
        <w:pStyle w:val="BodyTextIndent2"/>
        <w:numPr>
          <w:ilvl w:val="1"/>
          <w:numId w:val="6"/>
        </w:numPr>
      </w:pPr>
      <w:r>
        <w:rPr>
          <w:color w:val="000000"/>
        </w:rPr>
        <w:t>Executar os roteiros conforme a ordem de prioridade definida pela equipe.</w:t>
      </w:r>
    </w:p>
    <w:p>
      <w:pPr>
        <w:pStyle w:val="BodyTextIndent2"/>
        <w:numPr>
          <w:ilvl w:val="1"/>
          <w:numId w:val="6"/>
        </w:numPr>
      </w:pPr>
      <w:r>
        <w:rPr>
          <w:color w:val="000000"/>
        </w:rPr>
        <w:t>Registrar evidências sempre que a validação exigir rastreabilidade de resultado.</w:t>
      </w:r>
    </w:p>
    <w:p>
      <w:pPr>
        <w:pStyle w:val="BodyTextIndent2"/>
        <w:numPr>
          <w:ilvl w:val="1"/>
          <w:numId w:val="6"/>
        </w:numPr>
      </w:pPr>
      <w:r>
        <w:rPr>
          <w:color w:val="000000"/>
        </w:rPr>
        <w:t>Reexecutar cenários impactados após correções relevantes.</w:t>
      </w:r>
    </w:p>
    <w:p>
      <w:pPr>
        <w:pStyle w:val="BodyTextIndent2"/>
        <w:numPr>
          <w:ilvl w:val="1"/>
          <w:numId w:val="6"/>
        </w:numPr>
      </w:pPr>
      <w:r>
        <w:rPr>
          <w:color w:val="000000"/>
        </w:rPr>
        <w:t/>
      </w:r>
    </w:p>
    <w:p>
      <w:pPr>
        <w:pStyle w:val="BodyTextIndent2"/>
      </w:pPr>
    </w:p>
    <w:tbl>
      <w:tblPr>
        <w:tblInd w:w="-948" w:type="dxa"/>
        <w:tblW w:w="1604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ook w:val="00BF" w:firstRow="1" w:lastRow="0" w:firstColumn="1" w:lastColumn="0" w:noHBand="0" w:noVBand="0"/>
        <w:tblLayout w:type="fixed"/>
      </w:tblPr>
      <w:tblGrid>
        <w:gridCol w:w="1156"/>
        <w:gridCol w:w="3544"/>
        <w:gridCol w:w="3968"/>
        <w:gridCol w:w="5671"/>
        <w:gridCol w:w="1705"/>
      </w:tblGrid>
      <w:tr>
        <w:trPr>
          <w:cantSplit/>
          <w:tblHeader/>
        </w:trPr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Caso de Teste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Especificação</w:t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Dados de Entrada</w:t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UserStyle_14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Resultados Esperados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extDirection w:val="lrTb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 xml:space="preserve">Evidencia de Teste</w:t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agendamento de monitoria</w:t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Aluno seleciona horário disponível e confirma a reserva.</w:t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Slot disponível e sem conflito com outro atendimento do aluno.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reserva o horário, cria o atendimento e atualiza o histórico.</w:t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Validação de cancelamento de atendimento</w:t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Aluno ou monitor cancela atendimento elegível.</w:t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Atendimento previamente agendado e compatível com a autorização do ator.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>O sistema atualiza o status do atendimento e libera o slot quando aplicável.</w:t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  <w:tr>
        <w:trPr>
          <w:cantSplit/>
        </w:trPr>
        <w:tc>
          <w:tcPr>
            <w:tcW w:w="4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5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>
            <w:r>
              <w:rPr>
                <w:color w:val="000000"/>
              </w:rPr>
              <w:t/>
            </w:r>
          </w:p>
        </w:tc>
      </w:tr>
    </w:tbl>
    <w:sectPr>
      <w:endnotePr>
        <w:numFmt w:val="decimal"/>
      </w:endnotePr>
      <w:type w:val="nextPage"/>
      <w:pgSz w:h="11907" w:orient="landscape" w:w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panose1 w:val="02020503050405090304"/>
  </w:font>
  <w:font w:name="Cambri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Helvetica">
    <w:panose1 w:val="020B0604020202020204"/>
  </w:font>
  <w:font w:name="Book Antiqua">
    <w:panose1 w:val="020205020605050202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918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</w:tblPr>
    <w:tblGrid>
      <w:gridCol w:w="2518"/>
      <w:gridCol w:w="4253"/>
      <w:gridCol w:w="2409"/>
    </w:tblGrid>
    <w:tr>
      <w:trPr>
        <w:trHeight w:val="304"/>
      </w:trPr>
      <w:tc>
        <w:tcPr>
          <w:tcW w:w="2518" w:type="dxa"/>
          <w:tcBorders>
            <w:top w:val="nil"/>
            <w:left w:val="nil"/>
            <w:bottom w:val="nil"/>
            <w:right w:val="nil"/>
          </w:tcBorders>
          <w:textDirection w:val="lrTb"/>
          <w:vAlign w:val="top"/>
        </w:tcPr>
        <w:p>
          <w:pPr>
            <w:pStyle w:val="Normal"/>
            <w:ind w:right="360"/>
            <w:rPr>
              <w:lang w:val="pt-BR"/>
            </w:rPr>
          </w:pPr>
          <w:r>
            <w:rPr>
              <w:lang w:val="pt-BR"/>
            </w:rPr>
            <w:t xml:space="preserve">Prof. Wilson Amaral</w:t>
          </w:r>
          <w:r>
            <w:rPr>
              <w:lang w:val="pt-BR"/>
            </w:rPr>
          </w:r>
        </w:p>
      </w:tc>
      <w:tc>
        <w:tcPr>
          <w:tcW w:w="4253" w:type="dxa"/>
          <w:tcBorders>
            <w:top w:val="nil"/>
            <w:left w:val="nil"/>
            <w:bottom w:val="nil"/>
            <w:right w:val="nil"/>
          </w:tcBorders>
          <w:textDirection w:val="lrTb"/>
          <w:vAlign w:val="top"/>
        </w:tcPr>
        <w:p>
          <w:pPr>
            <w:pStyle w:val="Normal"/>
            <w:jc w:val="center"/>
            <w:rPr>
              <w:lang w:val="pt-BR"/>
            </w:rPr>
          </w:pPr>
          <w:r>
            <w:rPr>
              <w:lang w:val="pt-BR"/>
            </w:rPr>
            <w:t xml:space="preserve">Centro Universitário UDF</w:t>
          </w:r>
          <w:r>
            <w:rPr>
              <w:lang w:val="pt-BR"/>
            </w:rPr>
          </w:r>
        </w:p>
      </w:tc>
      <w:tc>
        <w:tcPr>
          <w:tcW w:w="2409" w:type="dxa"/>
          <w:tcBorders>
            <w:top w:val="nil"/>
            <w:left w:val="nil"/>
            <w:bottom w:val="nil"/>
            <w:right w:val="nil"/>
          </w:tcBorders>
          <w:textDirection w:val="lrTb"/>
          <w:vAlign w:val="top"/>
        </w:tcPr>
        <w:p>
          <w:pPr>
            <w:pStyle w:val="Normal"/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>
            <w:rPr>
              <w:rStyle w:val="PageNumber"/>
              <w:lang w:val="pt-BR"/>
            </w:rPr>
            <w:fldChar w:fldCharType="begin"/>
          </w:r>
          <w:r>
            <w:rPr>
              <w:rStyle w:val="PageNumber"/>
              <w:lang w:val="pt-BR"/>
            </w:rPr>
            <w:instrText xml:space="preserve"> PAGE </w:instrText>
          </w:r>
          <w:r>
            <w:rPr>
              <w:rStyle w:val="PageNumber"/>
              <w:lang w:val="pt-BR"/>
            </w:rPr>
            <w:fldChar w:fldCharType="separate"/>
          </w:r>
          <w:r>
            <w:rPr>
              <w:rStyle w:val="PageNumber"/>
              <w:lang w:val="pt-BR"/>
            </w:rPr>
            <w:t xml:space="preserve">12</w:t>
          </w:r>
          <w:r>
            <w:rPr>
              <w:rStyle w:val="PageNumber"/>
              <w:lang w:val="pt-BR"/>
            </w:rPr>
            <w:fldChar w:fldCharType="end"/>
          </w:r>
          <w:r>
            <w:rPr>
              <w:rStyle w:val="PageNumber"/>
              <w:lang w:val="pt-BR"/>
            </w:rPr>
            <w:t xml:space="preserve"> de </w:t>
          </w:r>
          <w:r>
            <w:rPr>
              <w:rStyle w:val="PageNumber"/>
              <w:lang w:val="pt-BR"/>
            </w:rPr>
            <w:fldChar w:fldCharType="begin"/>
          </w:r>
          <w:r>
            <w:rPr>
              <w:rStyle w:val="PageNumber"/>
              <w:lang w:val="pt-BR"/>
            </w:rPr>
            <w:instrText xml:space="preserve"> NUMPAGES  \* MERGEFORMAT </w:instrText>
          </w:r>
          <w:r>
            <w:rPr>
              <w:rStyle w:val="PageNumber"/>
              <w:lang w:val="pt-BR"/>
            </w:rPr>
            <w:fldChar w:fldCharType="separate"/>
          </w:r>
          <w:r>
            <w:rPr>
              <w:rStyle w:val="PageNumber"/>
            </w:rPr>
            <w:t xml:space="preserve">12</w:t>
          </w:r>
          <w:r>
            <w:rPr>
              <w:rStyle w:val="PageNumber"/>
              <w:lang w:val="pt-BR"/>
            </w:rPr>
            <w:fldChar w:fldCharType="end"/>
          </w:r>
          <w:r>
            <w:rPr>
              <w:lang w:val="pt-BR"/>
            </w:rPr>
          </w:r>
        </w:p>
      </w:tc>
    </w:tr>
  </w:tbl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</w:p>
  </w:footnote>
  <w:footnote w:type="continuationSeparator" w:id="0">
    <w:p>
      <w:pPr>
        <w:pBdr/>
        <w:spacing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918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</w:tblPr>
    <w:tblGrid>
      <w:gridCol w:w="7905"/>
      <w:gridCol w:w="1275"/>
    </w:tblGrid>
    <w:tr>
      <w:trPr>
        <w:trHeight w:val="340"/>
      </w:trPr>
      <w:tc>
        <w:tcPr>
          <w:tcW w:w="790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rPr>
              <w:lang w:val="pt-BR"/>
            </w:rPr>
          </w:pPr>
          <w:r>
            <w:rPr>
              <w:lang w:val="pt-BR"/>
            </w:rPr>
            <w:t xml:space="preserve">Centro Universitário UDF - Professor Wilson Amaral Martins</w:t>
          </w:r>
          <w:r>
            <w:rPr>
              <w:lang w:val="pt-BR"/>
            </w:rPr>
          </w:r>
        </w:p>
      </w:tc>
      <w:tc>
        <w:tcPr>
          <w:tcW w:w="127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rPr>
              <w:lang w:val="pt-BR"/>
            </w:rPr>
          </w:pPr>
          <w:r>
            <w:rPr>
              <w:lang w:val="pt-BR"/>
            </w:rPr>
          </w:r>
        </w:p>
      </w:tc>
    </w:tr>
    <w:tr>
      <w:trPr>
        <w:trHeight w:val="366"/>
      </w:trPr>
      <w:tc>
        <w:tcPr>
          <w:tcW w:w="790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rPr>
              <w:lang w:val="pt-BR"/>
            </w:rPr>
          </w:pPr>
          <w:r>
            <w:rPr>
              <w:lang w:val="pt-BR"/>
            </w:rPr>
            <w:fldChar w:fldCharType="begin"/>
          </w:r>
          <w:r>
            <w:rPr>
              <w:lang w:val="pt-BR"/>
            </w:rPr>
            <w:instrText xml:space="preserve"> REF nomeDoc \h </w:instrText>
          </w:r>
          <w:r>
            <w:rPr>
              <w:lang w:val="pt-BR"/>
            </w:rPr>
          </w:r>
          <w:r>
            <w:rPr>
              <w:lang w:val="pt-BR"/>
            </w:rPr>
            <w:instrText xml:space="preserve"> \* MERGEFORMAT </w:instrText>
          </w:r>
          <w:r>
            <w:rPr>
              <w:lang w:val="pt-BR"/>
            </w:rPr>
            <w:fldChar w:fldCharType="separate"/>
          </w:r>
          <w:r>
            <w:rPr>
              <w:rFonts w:ascii="Arial" w:hAnsi="Arial" w:cs="Arial"/>
              <w:b/>
              <w:bCs/>
              <w:lang w:val="pt-BR"/>
            </w:rPr>
            <w:t xml:space="preserve">Estratégia de Testes</w:t>
          </w:r>
          <w:r>
            <w:rPr>
              <w:lang w:val="pt-BR"/>
            </w:rPr>
            <w:fldChar w:fldCharType="end"/>
          </w:r>
          <w:r>
            <w:rPr>
              <w:lang w:val="pt-BR"/>
            </w:rPr>
            <w:t xml:space="preserve">: UC – Manter Mione...</w:t>
          </w:r>
          <w:r>
            <w:rPr>
              <w:lang w:val="pt-BR"/>
            </w:rPr>
          </w:r>
        </w:p>
      </w:tc>
      <w:tc>
        <w:tcPr>
          <w:tcW w:w="127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rPr>
              <w:lang w:val="pt-BR"/>
            </w:rPr>
          </w:pPr>
          <w:r>
            <w:rPr>
              <w:lang w:val="pt-BR"/>
            </w:rPr>
            <w:fldChar w:fldCharType="begin"/>
          </w:r>
          <w:r>
            <w:rPr>
              <w:lang w:val="pt-BR"/>
            </w:rPr>
            <w:instrText xml:space="preserve"> REF versao \h </w:instrText>
          </w:r>
          <w:r>
            <w:rPr>
              <w:lang w:val="pt-BR"/>
            </w:rPr>
          </w:r>
          <w:r>
            <w:rPr>
              <w:lang w:val="pt-BR"/>
            </w:rPr>
            <w:instrText xml:space="preserve"> \* MERGEFORMAT </w:instrText>
          </w:r>
          <w:r>
            <w:rPr>
              <w:lang w:val="pt-BR"/>
            </w:rPr>
            <w:fldChar w:fldCharType="separate"/>
          </w:r>
          <w:r>
            <w:rPr>
              <w:lang w:val="pt-BR"/>
            </w:rPr>
            <w:t xml:space="preserve">Versão 1.0</w:t>
          </w:r>
          <w:r>
            <w:rPr>
              <w:lang w:val="pt-BR"/>
            </w:rPr>
            <w:fldChar w:fldCharType="end"/>
          </w:r>
          <w:r>
            <w:rPr>
              <w:lang w:val="pt-BR"/>
            </w:rPr>
          </w:r>
        </w:p>
      </w:tc>
    </w:tr>
  </w:tbl>
  <w:p>
    <w:pPr>
      <w:pStyle w:val="Header"/>
      <w:rPr>
        <w:lang w:val="pt-BR"/>
      </w:rPr>
    </w:pPr>
    <w:r>
      <w:rPr>
        <w:lang w:val="pt-BR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FFFFFFFB"/>
    <w:lvl w:ilvl="0">
      <w:legacy w:legacy="true"/>
      <w:lvlJc w:val="left"/>
      <w:lvlText w:val="%1."/>
      <w:numFmt w:val="decimal"/>
      <w:pStyle w:val="Heading1"/>
      <w:start w:val="1"/>
      <w:suff w:val="tab"/>
    </w:lvl>
    <w:lvl w:ilvl="1">
      <w:legacy w:legacy="true"/>
      <w:lvlJc w:val="left"/>
      <w:lvlText w:val="%1.%2"/>
      <w:numFmt w:val="decimal"/>
      <w:pStyle w:val="Heading2"/>
      <w:start w:val="1"/>
      <w:suff w:val="tab"/>
    </w:lvl>
    <w:lvl w:ilvl="2">
      <w:legacy w:legacy="true"/>
      <w:lvlJc w:val="left"/>
      <w:lvlText w:val="%1.%2.%3"/>
      <w:numFmt w:val="decimal"/>
      <w:pStyle w:val="Heading3"/>
      <w:start w:val="1"/>
      <w:suff w:val="tab"/>
    </w:lvl>
    <w:lvl w:ilvl="3">
      <w:legacy w:legacy="true"/>
      <w:lvlJc w:val="left"/>
      <w:lvlText w:val="%1.%2.%3.%4"/>
      <w:numFmt w:val="decimal"/>
      <w:pStyle w:val="Heading4"/>
      <w:start w:val="1"/>
      <w:suff w:val="tab"/>
    </w:lvl>
    <w:lvl w:ilvl="4">
      <w:legacy w:legacy="true"/>
      <w:lvlJc w:val="left"/>
      <w:lvlText w:val="%1.%2.%3.%4.%5"/>
      <w:numFmt w:val="decimal"/>
      <w:pStyle w:val="Heading5"/>
      <w:start w:val="1"/>
      <w:suff w:val="tab"/>
    </w:lvl>
    <w:lvl w:ilvl="5">
      <w:legacy w:legacy="true"/>
      <w:lvlJc w:val="left"/>
      <w:lvlText w:val="%1.%2.%3.%4.%5.%6"/>
      <w:numFmt w:val="decimal"/>
      <w:pStyle w:val="Heading6"/>
      <w:start w:val="1"/>
      <w:suff w:val="tab"/>
    </w:lvl>
    <w:lvl w:ilvl="6">
      <w:legacy w:legacy="true"/>
      <w:lvlJc w:val="left"/>
      <w:lvlText w:val="%1.%2.%3.%4.%5.%6.%7"/>
      <w:numFmt w:val="decimal"/>
      <w:pStyle w:val="Heading7"/>
      <w:start w:val="1"/>
      <w:suff w:val="tab"/>
    </w:lvl>
    <w:lvl w:ilvl="7">
      <w:legacy w:legacy="true"/>
      <w:lvlJc w:val="left"/>
      <w:lvlText w:val="%1.%2.%3.%4.%5.%6.%7.%8"/>
      <w:numFmt w:val="decimal"/>
      <w:pStyle w:val="Heading8"/>
      <w:start w:val="1"/>
      <w:suff w:val="tab"/>
    </w:lvl>
    <w:lvl w:ilvl="8">
      <w:legacy w:legacy="true"/>
      <w:lvlJc w:val="left"/>
      <w:lvlText w:val="%1.%2.%3.%4.%5.%6.%7.%8.%9"/>
      <w:numFmt w:val="decimal"/>
      <w:pStyle w:val="Heading9"/>
      <w:start w:val="1"/>
      <w:suff w:val="tab"/>
    </w:lvl>
  </w:abstractNum>
  <w:abstractNum w:abstractNumId="1">
    <w:multiLevelType w:val="hybridMultilevel"/>
    <w:nsid w:val="09373A45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lvlJc w:val="left"/>
      <w:lvlText w:val=""/>
      <w:numFmt w:val="bullet"/>
      <w:pPr>
        <w:tabs>
          <w:tab w:val="num" w:leader="none" w:pos="3600"/>
        </w:tabs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lvlJc w:val="left"/>
      <w:lvlText w:val=""/>
      <w:numFmt w:val="bullet"/>
      <w:pPr>
        <w:tabs>
          <w:tab w:val="num" w:leader="none" w:pos="5760"/>
        </w:tabs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">
    <w:multiLevelType w:val="hybridMultilevel"/>
    <w:nsid w:val="1827475D"/>
    <w:lvl w:ilvl="0">
      <w:lvlJc w:val="left"/>
      <w:lvlText w:val="-"/>
      <w:numFmt w:val="bullet"/>
      <w:pPr>
        <w:tabs>
          <w:tab w:val="num" w:leader="none" w:pos="1080"/>
        </w:tabs>
        <w:ind w:hanging="360" w:left="1080"/>
      </w:pPr>
      <w:rPr>
        <w:rFonts w:ascii="Times New Roman" w:hAnsi="Times New Roman" w:eastAsia="Times New Roman" w:cs="Times New Roman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800"/>
        </w:tabs>
        <w:ind w:hanging="360" w:left="1800"/>
      </w:pPr>
      <w:rPr>
        <w:rFonts w:ascii="Courier New" w:hAnsi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520"/>
        </w:tabs>
        <w:ind w:hanging="360" w:left="252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3240"/>
        </w:tabs>
        <w:ind w:hanging="360" w:left="324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3960"/>
        </w:tabs>
        <w:ind w:hanging="360" w:left="3960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680"/>
        </w:tabs>
        <w:ind w:hanging="360" w:left="468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400"/>
        </w:tabs>
        <w:ind w:hanging="360" w:left="540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6120"/>
        </w:tabs>
        <w:ind w:hanging="360" w:left="6120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840"/>
        </w:tabs>
        <w:ind w:hanging="360" w:left="6840"/>
      </w:pPr>
      <w:rPr>
        <w:rFonts w:ascii="Wingdings" w:hAnsi="Wingdings"/>
      </w:rPr>
      <w:start w:val="1"/>
      <w:suff w:val="tab"/>
    </w:lvl>
  </w:abstractNum>
  <w:abstractNum w:abstractNumId="3">
    <w:multiLevelType w:val="hybridMultilevel"/>
    <w:nsid w:val="6DC5678F"/>
    <w:lvl w:ilvl="0">
      <w:lvlJc w:val="left"/>
      <w:lvlText w:val="-"/>
      <w:numFmt w:val="bullet"/>
      <w:pPr>
        <w:tabs>
          <w:tab w:val="num" w:leader="none" w:pos="1477"/>
        </w:tabs>
        <w:ind w:firstLine="340" w:left="777"/>
      </w:pPr>
      <w:rPr>
        <w:rFonts w:ascii="Times New Roman" w:hAnsi="Times New Roman" w:eastAsia="Times New Roman" w:cs="Times New Roman"/>
      </w:rPr>
      <w:start w:val="1"/>
      <w:suff w:val="tab"/>
    </w:lvl>
    <w:lvl w:ilvl="1">
      <w:lvlJc w:val="left"/>
      <w:lvlText w:val=""/>
      <w:numFmt w:val="bullet"/>
      <w:pPr>
        <w:tabs>
          <w:tab w:val="num" w:leader="none" w:pos="2160"/>
        </w:tabs>
        <w:ind w:hanging="360" w:left="2160"/>
      </w:pPr>
      <w:rPr>
        <w:rFonts w:ascii="Symbol" w:hAnsi="Symbol"/>
      </w:rPr>
      <w:start w:val="1"/>
      <w:suff w:val="tab"/>
    </w:lvl>
    <w:lvl w:ilvl="2">
      <w:lvlJc w:val="left"/>
      <w:lvlText w:val="%3)"/>
      <w:numFmt w:val="lowerLetter"/>
      <w:pPr>
        <w:tabs>
          <w:tab w:val="num" w:leader="none" w:pos="2880"/>
        </w:tabs>
        <w:ind w:hanging="360" w:left="2880"/>
      </w:pPr>
      <w:start w:val="1"/>
      <w:suff w:val="tab"/>
    </w:lvl>
    <w:lvl w:ilvl="3">
      <w:lvlJc w:val="left"/>
      <w:lvlText w:val=""/>
      <w:numFmt w:val="bullet"/>
      <w:pPr>
        <w:tabs>
          <w:tab w:val="num" w:leader="none" w:pos="3600"/>
        </w:tabs>
        <w:ind w:hanging="360" w:left="360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4320"/>
        </w:tabs>
        <w:ind w:hanging="360" w:left="4320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760"/>
        </w:tabs>
        <w:ind w:hanging="360" w:left="576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6480"/>
        </w:tabs>
        <w:ind w:hanging="360" w:left="6480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7200"/>
        </w:tabs>
        <w:ind w:hanging="360" w:left="7200"/>
      </w:pPr>
      <w:rPr>
        <w:rFonts w:ascii="Wingdings" w:hAnsi="Wingdings"/>
      </w:rPr>
      <w:start w:val="1"/>
      <w:suff w:val="tab"/>
    </w:lvl>
  </w:abstractNum>
  <w:abstractNum w:abstractNumId="4">
    <w:multiLevelType w:val="multilevel"/>
    <w:nsid w:val="6FF978B1"/>
    <w:lvl w:ilvl="0">
      <w:lvlJc w:val="left"/>
      <w:lvlText w:val="R0%1."/>
      <w:numFmt w:val="decimalZero"/>
      <w:pPr>
        <w:tabs>
          <w:tab w:val="num" w:leader="none" w:pos="720"/>
        </w:tabs>
        <w:ind w:firstLine="0" w:left="0"/>
      </w:pPr>
      <w:pStyle w:val="UserStyle_17"/>
      <w:start w:val="1"/>
      <w:suff w:val="tab"/>
    </w:lvl>
    <w:lvl w:ilvl="1">
      <w:lvlJc w:val="left"/>
      <w:lvlText w:val="R0%1-C0%2"/>
      <w:numFmt w:val="decimalZero"/>
      <w:pPr>
        <w:tabs>
          <w:tab w:val="num" w:leader="none" w:pos="1134"/>
        </w:tabs>
        <w:ind w:hanging="1134" w:left="1134"/>
      </w:pPr>
      <w:pStyle w:val="UserStyle_16"/>
      <w:start w:val="1"/>
      <w:suff w:val="tab"/>
    </w:lvl>
    <w:lvl w:ilvl="2">
      <w:lvlJc w:val="left"/>
      <w:lvlText w:val="%1.%2.%3"/>
      <w:numFmt w:val="decimal"/>
      <w:pPr>
        <w:tabs>
          <w:tab w:val="num" w:leader="none" w:pos="720"/>
        </w:tabs>
        <w:ind w:firstLine="0" w:left="0"/>
      </w:pPr>
      <w:start w:val="1"/>
      <w:suff w:val="tab"/>
    </w:lvl>
    <w:lvl w:ilvl="3">
      <w:lvlJc w:val="left"/>
      <w:lvlText w:val="%1.%2.%3.%4"/>
      <w:numFmt w:val="decimal"/>
      <w:pPr>
        <w:tabs>
          <w:tab w:val="num" w:leader="none" w:pos="720"/>
        </w:tabs>
        <w:ind w:firstLine="0" w:left="0"/>
      </w:pPr>
      <w:start w:val="1"/>
      <w:suff w:val="tab"/>
    </w:lvl>
    <w:lvl w:ilvl="4">
      <w:lvlJc w:val="left"/>
      <w:lvlText w:val="%1.%2.%3.%4.%5"/>
      <w:numFmt w:val="decimal"/>
      <w:pPr>
        <w:tabs>
          <w:tab w:val="num" w:leader="none" w:pos="0"/>
        </w:tabs>
        <w:ind w:firstLine="0" w:left="0"/>
      </w:pPr>
      <w:start w:val="1"/>
      <w:suff w:val="tab"/>
    </w:lvl>
    <w:lvl w:ilvl="5">
      <w:lvlJc w:val="left"/>
      <w:lvlText w:val="%1.%2.%3.%4.%5.%6"/>
      <w:numFmt w:val="decimal"/>
      <w:pPr>
        <w:tabs>
          <w:tab w:val="num" w:leader="none" w:pos="0"/>
        </w:tabs>
        <w:ind w:firstLine="0" w:left="0"/>
      </w:pPr>
      <w:start w:val="1"/>
      <w:suff w:val="tab"/>
    </w:lvl>
    <w:lvl w:ilvl="6">
      <w:lvlJc w:val="left"/>
      <w:lvlText w:val="%1.%2.%3.%4.%5.%6.%7"/>
      <w:numFmt w:val="decimal"/>
      <w:pPr>
        <w:tabs>
          <w:tab w:val="num" w:leader="none" w:pos="0"/>
        </w:tabs>
        <w:ind w:firstLine="0" w:left="0"/>
      </w:pPr>
      <w:start w:val="1"/>
      <w:suff w:val="tab"/>
    </w:lvl>
    <w:lvl w:ilvl="7">
      <w:lvlJc w:val="left"/>
      <w:lvlText w:val="%1.%2.%3.%4.%5.%6.%7.%8"/>
      <w:numFmt w:val="decimal"/>
      <w:pPr>
        <w:tabs>
          <w:tab w:val="num" w:leader="none" w:pos="0"/>
        </w:tabs>
        <w:ind w:firstLine="0" w:left="0"/>
      </w:pPr>
      <w:start w:val="1"/>
      <w:suff w:val="tab"/>
    </w:lvl>
    <w:lvl w:ilvl="8">
      <w:lvlJc w:val="left"/>
      <w:lvlText w:val="%1.%2.%3.%4.%5.%6.%7.%8.%9"/>
      <w:numFmt w:val="decimal"/>
      <w:pPr>
        <w:tabs>
          <w:tab w:val="num" w:leader="none" w:pos="0"/>
        </w:tabs>
        <w:ind w:firstLine="0" w:left="0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characterSpacingControl w:val="doNotCompress"/>
  <w:footnotePr>
    <w:footnote w:id="-1"/>
    <w:footnote w:id="0"/>
  </w:footnotePr>
  <w:compat>
    <w:spaceForUL w:val="true"/>
    <w:doNotBreakWrappedTables w:val="true"/>
    <w:doNotSnapToGridInCell w:val="true"/>
    <w:selectFldWithFirstOrLastChar w:val="true"/>
    <w:doNotWrapTextWithPunct w:val="true"/>
    <w:doNotUseEastAsianBreakRules w:val="true"/>
    <w:useWord2002TableStyleRules w:val="true"/>
    <w:growAutofit w:val="true"/>
    <w:useNormalStyleForList w:val="true"/>
    <w:doNotUseIndentAsNumberingTabStop w:val="true"/>
    <w:useAltKinsokuLineBreakRules w:val="true"/>
    <w:allowSpaceOfSameStyleInTable w:val="true"/>
    <w:doNotSuppressIndentation w:val="true"/>
    <w:doNotAutofitConstrainedTables w:val="true"/>
    <w:autofitToFirstFixedWidthCell w:val="true"/>
    <w:displayHangulFixedWidth w:val="true"/>
    <w:splitPgBreakAndParaMark w:val="true"/>
    <w:doNotVertAlignCellWithSp w:val="true"/>
    <w:doNotBreakConstrainedForcedTable w:val="true"/>
    <w:doNotVertAlignInTxbx w:val="true"/>
    <w:useAnsiKerningPairs w:val="true"/>
    <w:cachedColBalance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Normal"/>
    <w:next w:val="Normal"/>
    <w:link w:val="Normal"/>
    <w:qFormat/>
    <w:pPr>
      <w:widowControl w:val="false"/>
      <w:spacing w:line="240" w:lineRule="atLeast"/>
    </w:pPr>
    <w:rPr>
      <w:lang w:val="en-US" w:eastAsia="en-US" w:bidi="ar-SA"/>
    </w:rPr>
  </w:style>
  <w:style w:type="paragraph" w:styleId="Heading1">
    <w:name w:val="Heading 1"/>
    <w:basedOn w:val="Normal"/>
    <w:next w:val="Normal"/>
    <w:link w:val="Normal"/>
    <w:qFormat/>
    <w:pPr>
      <w:keepNext w:val="true"/>
      <w:numPr>
        <w:ilvl w:val="0"/>
        <w:numId w:val="1"/>
      </w:numPr>
      <w:spacing w:after="60" w:before="1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Normal"/>
    <w:qFormat/>
    <w:pPr>
      <w:numPr>
        <w:ilvl w:val="1"/>
        <w:numId w:val="1"/>
      </w:numPr>
      <w:outlineLvl w:val="1"/>
    </w:pPr>
    <w:rPr>
      <w:sz w:val="20"/>
    </w:rPr>
  </w:style>
  <w:style w:type="paragraph" w:styleId="Heading3">
    <w:name w:val="Heading 3"/>
    <w:basedOn w:val="Heading1"/>
    <w:next w:val="BodyText"/>
    <w:link w:val="Normal"/>
    <w:qFormat/>
    <w:pPr>
      <w:numPr>
        <w:ilvl w:val="2"/>
        <w:numId w:val="1"/>
      </w:numPr>
      <w:outlineLvl w:val="2"/>
    </w:pPr>
    <w:rPr>
      <w:b w:val="0"/>
      <w:i/>
      <w:sz w:val="20"/>
      <w:lang w:val="pt-BR"/>
    </w:rPr>
  </w:style>
  <w:style w:type="paragraph" w:styleId="Heading4">
    <w:name w:val="Heading 4"/>
    <w:basedOn w:val="Heading1"/>
    <w:next w:val="Normal"/>
    <w:link w:val="Normal"/>
    <w:qFormat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Normal"/>
    <w:qFormat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Normal"/>
    <w:qFormat/>
    <w:pPr>
      <w:numPr>
        <w:ilvl w:val="5"/>
        <w:numId w:val="1"/>
      </w:numPr>
      <w:spacing w:after="60" w:before="24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Normal"/>
    <w:qFormat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link w:val="Normal"/>
    <w:qFormat/>
    <w:pPr>
      <w:numPr>
        <w:ilvl w:val="7"/>
        <w:numId w:val="1"/>
      </w:numPr>
      <w:spacing w:after="60" w:before="24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Normal"/>
    <w:qFormat/>
    <w:pPr>
      <w:numPr>
        <w:ilvl w:val="8"/>
        <w:numId w:val="1"/>
      </w:numPr>
      <w:spacing w:after="60" w:before="240"/>
      <w:ind w:left="2880"/>
      <w:outlineLvl w:val="8"/>
    </w:pPr>
    <w:rPr>
      <w:b/>
      <w:i/>
      <w:sz w:val="18"/>
    </w:rPr>
  </w:style>
  <w:style w:type="character" w:styleId="NormalCharacter">
    <w:name w:val="Default Paragraph Font"/>
    <w:next w:val="NormalCharacter"/>
    <w:link w:val="Normal"/>
    <w:semiHidden/>
  </w:style>
  <w:style w:type="table" w:styleId="TableNormal">
    <w:name w:val="Table Normal"/>
    <w:next w:val="TableNormal"/>
    <w:link w:val="Normal"/>
    <w:semiHidden/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Layout w:type="fixed"/>
    </w:tblPr>
  </w:style>
  <w:style w:type="numbering" w:styleId="NormalList">
    <w:name w:val="No List"/>
    <w:next w:val="NormalList"/>
    <w:link w:val="Normal"/>
    <w:semiHidden/>
  </w:style>
  <w:style w:type="paragraph" w:styleId="UserStyle_0">
    <w:name w:val="Paragraph2"/>
    <w:basedOn w:val="Normal"/>
    <w:next w:val="UserStyle_0"/>
    <w:link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next w:val="Subtitle"/>
    <w:link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next w:val="NormalIndent"/>
    <w:link w:val="Normal"/>
    <w:pPr>
      <w:ind w:hanging="900" w:left="900"/>
    </w:pPr>
  </w:style>
  <w:style w:type="paragraph" w:styleId="TOC1">
    <w:name w:val="TOC 1"/>
    <w:basedOn w:val="Normal"/>
    <w:next w:val="Normal"/>
    <w:link w:val="Normal"/>
    <w:semiHidden/>
    <w:pPr>
      <w:tabs>
        <w:tab w:val="right" w:leader="none" w:pos="9360"/>
      </w:tabs>
      <w:spacing w:after="60" w:before="240"/>
      <w:ind w:right="720"/>
    </w:pPr>
  </w:style>
  <w:style w:type="paragraph" w:styleId="TOC2">
    <w:name w:val="TOC 2"/>
    <w:basedOn w:val="Normal"/>
    <w:next w:val="Normal"/>
    <w:link w:val="Normal"/>
    <w:uiPriority w:val="39"/>
    <w:pPr>
      <w:tabs>
        <w:tab w:val="right" w:leader="none" w:pos="9360"/>
      </w:tabs>
      <w:ind w:right="720" w:left="432"/>
    </w:pPr>
  </w:style>
  <w:style w:type="paragraph" w:styleId="TOC3">
    <w:name w:val="TOC 3"/>
    <w:basedOn w:val="Normal"/>
    <w:next w:val="Normal"/>
    <w:link w:val="Normal"/>
    <w:uiPriority w:val="39"/>
    <w:pPr>
      <w:tabs>
        <w:tab w:val="left" w:leader="none" w:pos="1440"/>
        <w:tab w:val="left" w:leader="none" w:pos="1600"/>
        <w:tab w:val="right" w:leader="none" w:pos="9360"/>
      </w:tabs>
      <w:ind w:left="990"/>
    </w:pPr>
    <w:rPr>
      <w:bCs/>
    </w:rPr>
  </w:style>
  <w:style w:type="paragraph" w:styleId="Header">
    <w:name w:val="Header"/>
    <w:basedOn w:val="Normal"/>
    <w:next w:val="Header"/>
    <w:link w:val="Normal"/>
    <w:pPr>
      <w:tabs>
        <w:tab w:val="center" w:leader="none" w:pos="4320"/>
        <w:tab w:val="right" w:leader="none" w:pos="8640"/>
      </w:tabs>
    </w:pPr>
  </w:style>
  <w:style w:type="paragraph" w:styleId="Footer">
    <w:name w:val="Footer"/>
    <w:basedOn w:val="Normal"/>
    <w:next w:val="Footer"/>
    <w:link w:val="Normal"/>
    <w:pPr>
      <w:tabs>
        <w:tab w:val="center" w:leader="none" w:pos="4320"/>
        <w:tab w:val="right" w:leader="none" w:pos="8640"/>
      </w:tabs>
    </w:pPr>
  </w:style>
  <w:style w:type="character" w:styleId="PageNumber">
    <w:name w:val="Page Number"/>
    <w:basedOn w:val="NormalCharacter"/>
    <w:next w:val="PageNumber"/>
    <w:link w:val="Normal"/>
  </w:style>
  <w:style w:type="paragraph" w:styleId="UserStyle_1">
    <w:name w:val="Bullet1"/>
    <w:basedOn w:val="Normal"/>
    <w:next w:val="UserStyle_1"/>
    <w:link w:val="Normal"/>
    <w:pPr>
      <w:numPr>
        <w:ilvl w:val="11"/>
        <w:numId w:val="2047"/>
      </w:numPr>
      <w:ind w:hanging="432" w:left="720"/>
    </w:pPr>
  </w:style>
  <w:style w:type="paragraph" w:styleId="UserStyle_2">
    <w:name w:val="Bullet2"/>
    <w:basedOn w:val="Normal"/>
    <w:next w:val="UserStyle_2"/>
    <w:link w:val="Normal"/>
    <w:pPr>
      <w:numPr>
        <w:ilvl w:val="11"/>
        <w:numId w:val="2047"/>
      </w:numPr>
      <w:ind w:hanging="360" w:left="1440"/>
    </w:pPr>
    <w:rPr>
      <w:color w:val="000080"/>
    </w:rPr>
  </w:style>
  <w:style w:type="paragraph" w:styleId="UserStyle_3">
    <w:name w:val="Tabletext"/>
    <w:basedOn w:val="Normal"/>
    <w:next w:val="UserStyle_3"/>
    <w:link w:val="Normal"/>
    <w:pPr>
      <w:keepLines w:val="true"/>
      <w:spacing w:after="120"/>
    </w:pPr>
  </w:style>
  <w:style w:type="paragraph" w:styleId="BodyText">
    <w:name w:val="Body Text"/>
    <w:basedOn w:val="Normal"/>
    <w:next w:val="BodyText"/>
    <w:link w:val="Normal"/>
    <w:pPr>
      <w:keepLines w:val="true"/>
      <w:spacing w:after="120"/>
      <w:ind w:left="720"/>
    </w:pPr>
    <w:rPr>
      <w:rFonts w:ascii="Arial" w:hAnsi="Arial"/>
      <w:lang w:val="pt-BR"/>
    </w:rPr>
  </w:style>
  <w:style w:type="paragraph" w:styleId="NavPane">
    <w:name w:val="Document Map"/>
    <w:basedOn w:val="Normal"/>
    <w:next w:val="NavPane"/>
    <w:link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next w:val="FootnoteReference"/>
    <w:link w:val="Normal"/>
    <w:semiHidden/>
    <w:rPr>
      <w:sz w:val="20"/>
      <w:vertAlign w:val="superscript"/>
    </w:rPr>
  </w:style>
  <w:style w:type="paragraph" w:styleId="FootnoteText">
    <w:name w:val="Footnote Text"/>
    <w:basedOn w:val="Normal"/>
    <w:next w:val="FootnoteText"/>
    <w:link w:val="Normal"/>
    <w:semiHidden/>
    <w:pPr>
      <w:keepNext w:val="true"/>
      <w:keepLines w:val="true"/>
      <w:pBdr>
        <w:bottom w:val="single" w:color="000000" w:sz="6" w:space="0"/>
      </w:pBdr>
      <w:spacing w:after="40" w:before="40"/>
      <w:ind w:hanging="360" w:left="360"/>
    </w:pPr>
    <w:rPr>
      <w:rFonts w:ascii="Helvetica" w:hAnsi="Helvetica"/>
      <w:sz w:val="16"/>
    </w:rPr>
  </w:style>
  <w:style w:type="paragraph" w:styleId="UserStyle_4">
    <w:name w:val="Main Title"/>
    <w:basedOn w:val="Normal"/>
    <w:next w:val="UserStyle_4"/>
    <w:link w:val="Normal"/>
    <w:pPr>
      <w:spacing w:after="60" w:before="480" w:line="240" w:lineRule="auto"/>
      <w:jc w:val="center"/>
    </w:pPr>
    <w:rPr>
      <w:rFonts w:ascii="Arial" w:hAnsi="Arial"/>
      <w:b/>
      <w:kern w:val="28"/>
      <w:sz w:val="32"/>
    </w:rPr>
  </w:style>
  <w:style w:type="paragraph" w:styleId="UserStyle_5">
    <w:name w:val="Paragraph1"/>
    <w:basedOn w:val="Normal"/>
    <w:next w:val="UserStyle_5"/>
    <w:link w:val="Normal"/>
    <w:pPr>
      <w:spacing w:before="80" w:line="240" w:lineRule="auto"/>
      <w:jc w:val="both"/>
    </w:pPr>
  </w:style>
  <w:style w:type="paragraph" w:styleId="UserStyle_6">
    <w:name w:val="Paragraph3"/>
    <w:basedOn w:val="Normal"/>
    <w:next w:val="UserStyle_6"/>
    <w:link w:val="Normal"/>
    <w:pPr>
      <w:spacing w:before="80" w:line="240" w:lineRule="auto"/>
      <w:ind w:left="1530"/>
      <w:jc w:val="both"/>
    </w:pPr>
  </w:style>
  <w:style w:type="paragraph" w:styleId="UserStyle_7">
    <w:name w:val="Paragraph4"/>
    <w:basedOn w:val="Normal"/>
    <w:next w:val="UserStyle_7"/>
    <w:link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link w:val="Normal"/>
    <w:autoRedefine/>
    <w:semiHidden/>
    <w:pPr>
      <w:ind w:left="600"/>
    </w:pPr>
  </w:style>
  <w:style w:type="paragraph" w:styleId="TOC5">
    <w:name w:val="TOC 5"/>
    <w:basedOn w:val="Normal"/>
    <w:next w:val="Normal"/>
    <w:link w:val="Normal"/>
    <w:autoRedefine/>
    <w:semiHidden/>
    <w:pPr>
      <w:ind w:left="800"/>
    </w:pPr>
  </w:style>
  <w:style w:type="paragraph" w:styleId="TOC6">
    <w:name w:val="TOC 6"/>
    <w:basedOn w:val="Normal"/>
    <w:next w:val="Normal"/>
    <w:link w:val="Normal"/>
    <w:autoRedefine/>
    <w:semiHidden/>
    <w:pPr>
      <w:ind w:left="1000"/>
    </w:pPr>
  </w:style>
  <w:style w:type="paragraph" w:styleId="TOC7">
    <w:name w:val="TOC 7"/>
    <w:basedOn w:val="Normal"/>
    <w:next w:val="Normal"/>
    <w:link w:val="Normal"/>
    <w:autoRedefine/>
    <w:semiHidden/>
    <w:pPr>
      <w:ind w:left="1200"/>
    </w:pPr>
  </w:style>
  <w:style w:type="paragraph" w:styleId="TOC8">
    <w:name w:val="TOC 8"/>
    <w:basedOn w:val="Normal"/>
    <w:next w:val="Normal"/>
    <w:link w:val="Normal"/>
    <w:autoRedefine/>
    <w:semiHidden/>
    <w:pPr>
      <w:ind w:left="1400"/>
    </w:pPr>
  </w:style>
  <w:style w:type="paragraph" w:styleId="TOC9">
    <w:name w:val="TOC 9"/>
    <w:basedOn w:val="Normal"/>
    <w:next w:val="Normal"/>
    <w:link w:val="Normal"/>
    <w:autoRedefine/>
    <w:semiHidden/>
    <w:pPr>
      <w:ind w:left="1600"/>
    </w:pPr>
  </w:style>
  <w:style w:type="paragraph" w:styleId="BodyText2">
    <w:name w:val="Body Text 2"/>
    <w:basedOn w:val="Normal"/>
    <w:next w:val="BodyText2"/>
    <w:link w:val="Normal"/>
    <w:rPr>
      <w:i/>
      <w:color w:val="000000"/>
    </w:rPr>
  </w:style>
  <w:style w:type="paragraph" w:styleId="BodyTextIndent">
    <w:name w:val="Body Text Indent"/>
    <w:basedOn w:val="Normal"/>
    <w:next w:val="BodyTextIndent"/>
    <w:link w:val="Normal"/>
    <w:pPr>
      <w:ind w:left="720"/>
    </w:pPr>
    <w:rPr>
      <w:i/>
      <w:color w:val="000000"/>
      <w:u w:val="single"/>
    </w:rPr>
  </w:style>
  <w:style w:type="paragraph" w:styleId="UserStyle_8">
    <w:name w:val="Body"/>
    <w:basedOn w:val="Normal"/>
    <w:next w:val="UserStyle_8"/>
    <w:link w:val="Normal"/>
    <w:pPr>
      <w:widowControl w:val="true"/>
      <w:spacing w:before="120" w:line="240" w:lineRule="auto"/>
      <w:jc w:val="both"/>
    </w:pPr>
    <w:rPr>
      <w:rFonts w:ascii="Book Antiqua" w:hAnsi="Book Antiqua"/>
      <w:lang w:eastAsia="en-US"/>
    </w:rPr>
  </w:style>
  <w:style w:type="paragraph" w:styleId="UserStyle_9">
    <w:name w:val="Bullet"/>
    <w:basedOn w:val="Normal"/>
    <w:next w:val="UserStyle_9"/>
    <w:link w:val="Normal"/>
    <w:pPr>
      <w:widowControl w:val="true"/>
      <w:numPr>
        <w:ilvl w:val="0"/>
        <w:numId w:val="2"/>
      </w:numPr>
      <w:tabs>
        <w:tab w:val="left" w:leader="none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styleId="UserStyle_10">
    <w:name w:val="InfoBlue"/>
    <w:basedOn w:val="Normal"/>
    <w:next w:val="BodyText"/>
    <w:link w:val="Normal"/>
    <w:autoRedefine/>
    <w:pPr>
      <w:spacing w:after="120"/>
      <w:jc w:val="both"/>
    </w:pPr>
    <w:rPr>
      <w:rFonts w:ascii="Arial" w:hAnsi="Arial"/>
      <w:iCs/>
      <w:vanish/>
      <w:lang w:val="pt-BR"/>
    </w:rPr>
  </w:style>
  <w:style w:type="character" w:styleId="Hyperlink">
    <w:name w:val="Hyperlink"/>
    <w:next w:val="Hyperlink"/>
    <w:link w:val="Normal"/>
    <w:rPr>
      <w:color w:val="000000"/>
      <w:u w:val="single"/>
    </w:rPr>
  </w:style>
  <w:style w:type="paragraph" w:styleId="BodyTextIndent2">
    <w:name w:val="Body Text Indent 2"/>
    <w:basedOn w:val="Normal"/>
    <w:next w:val="BodyTextIndent2"/>
    <w:link w:val="Normal"/>
    <w:pPr>
      <w:ind w:left="720"/>
    </w:pPr>
    <w:rPr>
      <w:lang w:val="pt-BR"/>
    </w:rPr>
  </w:style>
  <w:style w:type="character" w:styleId="AnnotationReference">
    <w:name w:val="Comment Reference"/>
    <w:next w:val="AnnotationReference"/>
    <w:link w:val="Normal"/>
    <w:semiHidden/>
    <w:rPr>
      <w:sz w:val="16"/>
    </w:rPr>
  </w:style>
  <w:style w:type="character" w:styleId="UserStyle_11">
    <w:name w:val="Oculto"/>
    <w:next w:val="UserStyle_11"/>
    <w:link w:val="Normal"/>
    <w:rPr>
      <w:vanish/>
      <w:color w:val="000000"/>
      <w:lang w:val="en-US"/>
    </w:rPr>
  </w:style>
  <w:style w:type="paragraph" w:styleId="AnnotationText">
    <w:name w:val="Comment Text"/>
    <w:basedOn w:val="Normal"/>
    <w:next w:val="AnnotationText"/>
    <w:link w:val="Normal"/>
    <w:semiHidden/>
  </w:style>
  <w:style w:type="character" w:styleId="FollowedHyperlink">
    <w:name w:val="FollowedHyperlink"/>
    <w:next w:val="FollowedHyperlink"/>
    <w:link w:val="Normal"/>
    <w:rPr>
      <w:color w:val="800080"/>
      <w:u w:val="single"/>
    </w:rPr>
  </w:style>
  <w:style w:type="paragraph" w:styleId="UserStyle_12">
    <w:name w:val="Instruções"/>
    <w:basedOn w:val="Normal"/>
    <w:next w:val="UserStyle_12"/>
    <w:link w:val="Normal"/>
    <w:pPr>
      <w:widowControl w:val="true"/>
      <w:spacing w:after="120"/>
    </w:pPr>
    <w:rPr>
      <w:i/>
      <w:iCs/>
      <w:color w:val="000000"/>
      <w:lang w:val="pt-BR" w:eastAsia="pt-BR"/>
    </w:rPr>
  </w:style>
  <w:style w:type="paragraph" w:styleId="UserStyle_13">
    <w:name w:val="Tabela"/>
    <w:basedOn w:val="BodyText"/>
    <w:next w:val="UserStyle_13"/>
    <w:link w:val="Normal"/>
    <w:pPr>
      <w:keepNext w:val="true"/>
      <w:widowControl w:val="true"/>
      <w:spacing w:after="40" w:before="40" w:line="240" w:lineRule="auto"/>
      <w:ind w:left="0"/>
    </w:pPr>
    <w:rPr>
      <w:rFonts w:ascii="Times New Roman" w:hAnsi="Times New Roman"/>
      <w:sz w:val="22"/>
      <w:lang w:eastAsia="pt-BR"/>
    </w:rPr>
  </w:style>
  <w:style w:type="paragraph" w:styleId="UserStyle_14">
    <w:name w:val="SubTitle"/>
    <w:basedOn w:val="Title"/>
    <w:next w:val="UserStyle_14"/>
    <w:link w:val="Normal"/>
    <w:pPr>
      <w:widowControl w:val="true"/>
    </w:pPr>
    <w:rPr>
      <w:rFonts w:ascii="Times New Roman" w:hAnsi="Times New Roman"/>
      <w:sz w:val="24"/>
      <w:szCs w:val="24"/>
      <w:lang w:val="pt-BR" w:eastAsia="pt-BR"/>
    </w:rPr>
  </w:style>
  <w:style w:type="paragraph" w:styleId="BodyText3">
    <w:name w:val="Body Text 3"/>
    <w:basedOn w:val="Normal"/>
    <w:next w:val="BodyText3"/>
    <w:link w:val="Normal"/>
    <w:rPr>
      <w:color w:val="000000"/>
      <w:lang w:val="pt-BR"/>
    </w:rPr>
  </w:style>
  <w:style w:type="paragraph" w:styleId="UserStyle_15">
    <w:name w:val="infoblack"/>
    <w:basedOn w:val="Normal"/>
    <w:next w:val="UserStyle_15"/>
    <w:link w:val="Normal"/>
    <w:pPr>
      <w:widowControl w:val="true"/>
      <w:spacing w:after="120"/>
      <w:ind w:left="720"/>
    </w:pPr>
    <w:rPr>
      <w:i/>
      <w:iCs/>
      <w:color w:val="000000"/>
      <w:lang w:val="pt-BR" w:eastAsia="pt-BR"/>
    </w:rPr>
  </w:style>
  <w:style w:type="paragraph" w:styleId="UserStyle_16">
    <w:name w:val="Caso de teste"/>
    <w:basedOn w:val="Normal"/>
    <w:next w:val="UserStyle_16"/>
    <w:link w:val="Normal"/>
    <w:pPr>
      <w:widowControl w:val="true"/>
      <w:numPr>
        <w:ilvl w:val="1"/>
        <w:numId w:val="3"/>
      </w:numPr>
      <w:spacing w:line="240" w:lineRule="auto"/>
      <w:outlineLvl w:val="0"/>
    </w:pPr>
    <w:rPr>
      <w:lang w:val="pt-BR" w:eastAsia="pt-BR"/>
    </w:rPr>
  </w:style>
  <w:style w:type="paragraph" w:styleId="UserStyle_17">
    <w:name w:val="Roteiro"/>
    <w:next w:val="UserStyle_17"/>
    <w:link w:val="Normal"/>
    <w:pPr>
      <w:numPr>
        <w:ilvl w:val="0"/>
        <w:numId w:val="4"/>
      </w:numPr>
      <w:spacing w:after="120" w:before="240" w:line="240" w:lineRule="atLeast"/>
      <w:outlineLvl w:val="0"/>
    </w:pPr>
    <w:rPr>
      <w:rFonts w:ascii="Arial" w:hAnsi="Arial"/>
      <w:b/>
      <w:lang w:val="pt-BR" w:eastAsia="pt-BR" w:bidi="ar-SA"/>
    </w:rPr>
  </w:style>
  <w:style w:type="paragraph" w:styleId="UserStyle_18">
    <w:name w:val="Subfluxo"/>
    <w:basedOn w:val="Heading3"/>
    <w:next w:val="UserStyle_18"/>
    <w:link w:val="Normal"/>
    <w:pPr>
      <w:tabs>
        <w:tab w:val="num" w:leader="none" w:pos="720"/>
      </w:tabs>
    </w:pPr>
  </w:style>
  <w:style w:type="paragraph" w:styleId="Acetate">
    <w:name w:val="Balloon Text"/>
    <w:basedOn w:val="Normal"/>
    <w:next w:val="Acetate"/>
    <w:link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3532</Words>
  <Characters>20137</Characters>
  <CharactersWithSpaces>23622</CharactersWithSpaces>
  <Application>ONLYOFFICE/9.3.1.8</Application>
  <DocSecurity>0</DocSecurity>
  <Lines>167</Lines>
  <Paragraphs>47</Paragraphs>
  <ScaleCrop>0</ScaleCrop>
  <HeadingPairs>
    <vt:vector size="0" baseType="variant"/>
  </HeadingPairs>
  <TitlesOfParts>
    <vt:vector size="0" baseType="lpstr"/>
  </TitlesOfParts>
  <Manager> Cristiano da Silva Melo</Manager>
  <Company>Banco Central do Brasil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Estratégia de Testes</dc:title>
  <dc:creator>DEINF.PATM</dc:creator>
  <dc:description>Este documento foi desenvolvido para atender as necessidades de planejamento de teste junto ao Banco Central do Brasil.</dc:description>
  <cp:lastModifiedBy>Wilson Amaral</cp:lastModifiedBy>
  <cp:revision>3</cp:revision>
  <dcterms:created xsi:type="dcterms:W3CDTF">2015-02-09T19:57:00Z</dcterms:created>
  <dcterms:modified xsi:type="dcterms:W3CDTF">2015-02-09T19:57:00Z</dcterms:modified>
  <cp:version>917504</cp:version>
</cp:coreProperties>
</file>