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Arial" w:hAnsi="Arial"/>
          <w:b/>
          <w:color w:val="1B4F72"/>
          <w:sz w:val="56"/>
        </w:rPr>
        <w:t>Statistical Advisory Report</w:t>
      </w:r>
    </w:p>
    <w:p>
      <w:pPr>
        <w:jc w:val="center"/>
      </w:pPr>
      <w:r>
        <w:rPr>
          <w:rFonts w:ascii="Arial" w:hAnsi="Arial"/>
          <w:color w:val="555555"/>
          <w:sz w:val="32"/>
        </w:rPr>
        <w:t>The Deterrence Effect of Darkness on</w:t>
        <w:br/>
        <w:t>Pedestrians and Cyclists in Bristol</w:t>
      </w:r>
    </w:p>
    <w:p>
      <w:pPr>
        <w:jc w:val="center"/>
      </w:pPr>
      <w:r>
        <w:rPr>
          <w:rFonts w:ascii="Arial" w:hAnsi="Arial"/>
          <w:color w:val="777777"/>
          <w:sz w:val="24"/>
        </w:rPr>
        <w:t>Evidence from Negative Binomial GLM Analysis</w:t>
        <w:br/>
        <w:t>of 37-Sensor Panel Data (2024)</w:t>
      </w:r>
    </w:p>
    <w:p>
      <w:pPr>
        <w:jc w:val="center"/>
      </w:pPr>
      <w:r>
        <w:rPr>
          <w:rFonts w:ascii="Arial" w:hAnsi="Arial"/>
          <w:sz w:val="22"/>
        </w:rPr>
        <w:br/>
        <w:t>Prepared for Bristol City Council</w:t>
        <w:br/>
        <w:t>April 2026</w:t>
      </w:r>
    </w:p>
    <w:p>
      <w:r>
        <w:br w:type="page"/>
      </w:r>
    </w:p>
    <w:p>
      <w:pPr>
        <w:pStyle w:val="Heading1"/>
      </w:pPr>
      <w:r>
        <w:t>1. Executive Summary</w:t>
      </w:r>
    </w:p>
    <w:p>
      <w:r>
        <w:t>This report presents findings from a Generalised Linear Model (GLM) analysis of hourly pedestrian and cyclist count data collected across 37 sensors in Bristol during 2024. The analysis quantifies the independent effect of darkness on active travel volumes after controlling for time-of-day patterns, day-of-week, seasonal variation, weather conditions, and sensor-level fixed effects. Its purpose is to inform Bristol City Council on targeted interventions to reduce the deterrence effect of darkness, in support of the city’s carbon-neutral-by-2030 ambition and the One City Climate Strategy target of achieving 55% active travel modal share.</w:t>
      </w:r>
    </w:p>
    <w:p>
      <w:r>
        <w:rPr>
          <w:rFonts w:ascii="Arial" w:hAnsi="Arial"/>
          <w:b/>
          <w:sz w:val="22"/>
        </w:rPr>
        <w:t xml:space="preserve">Headline finding for pedestrians: </w:t>
      </w:r>
      <w:r>
        <w:rPr>
          <w:rFonts w:ascii="Arial" w:hAnsi="Arial"/>
          <w:sz w:val="22"/>
        </w:rPr>
        <w:t>Darkness is associated with approximately a 33–34% reduction in pedestrian counts during commuter transition hours (05:00–06:59 and 17:00–20:59), even after adjusting for all temporal, meteorological, and spatial confounders. This effect is robust across all five model specifications (p &lt; 0.001 in all cases) and is observed at 36 of the 37 sensor sites. It is network-wide, not concentrated in a single neighbourhood.</w:t>
      </w:r>
    </w:p>
    <w:p>
      <w:r>
        <w:rPr>
          <w:rFonts w:ascii="Arial" w:hAnsi="Arial"/>
          <w:b/>
          <w:sz w:val="22"/>
        </w:rPr>
        <w:t xml:space="preserve">Headline finding for cyclists: </w:t>
      </w:r>
      <w:r>
        <w:rPr>
          <w:rFonts w:ascii="Arial" w:hAnsi="Arial"/>
          <w:sz w:val="22"/>
        </w:rPr>
        <w:t>The pooled city-wide darkness effect on cyclists is small and statistically non-significant (approximately −4%, p = 0.45). However, this masks substantial heterogeneity: Central Bristol shows a strong −20.5% to −25.3% darkness penalty, while East Bristol shows essentially no effect. The cyclist story is therefore one of place-dependent variation, not uniform deterrence.</w:t>
      </w:r>
    </w:p>
    <w:p>
      <w:r>
        <w:rPr>
          <w:rFonts w:ascii="Arial" w:hAnsi="Arial"/>
          <w:b/>
          <w:sz w:val="22"/>
        </w:rPr>
        <w:t xml:space="preserve">Key policy-relevant moderator: </w:t>
      </w:r>
      <w:r>
        <w:rPr>
          <w:rFonts w:ascii="Arial" w:hAnsi="Arial"/>
          <w:sz w:val="22"/>
        </w:rPr>
        <w:t>Model 5 reveals that streetlight density within 50 metres of sensor locations attenuates the pedestrian darkness penalty. At one standard deviation above the mean streetlight density, the darkness penalty falls from −34% to approximately −19%. This provides direct evidence that street lighting investment can recover lost pedestrian footfall after dark.</w:t>
      </w:r>
    </w:p>
    <w:p>
      <w:r>
        <w:br w:type="page"/>
      </w:r>
    </w:p>
    <w:p>
      <w:pPr>
        <w:pStyle w:val="Heading1"/>
      </w:pPr>
      <w:r>
        <w:t>2. Data and Methodology</w:t>
      </w:r>
    </w:p>
    <w:p>
      <w:pPr>
        <w:pStyle w:val="Heading2"/>
      </w:pPr>
      <w:r>
        <w:t>2.1 Data Sources</w:t>
      </w:r>
    </w:p>
    <w:p>
      <w:r>
        <w:t>The analysis draws on a panel dataset of hourly pedestrian, cyclist, and motor vehicle counts from 37 sensors across Bristol, spanning the full calendar year 2024. Each observation records the sensor identifier, timestamp, count by mode, geographic coordinates, and a binary darkness indicator derived from solar altitude (darkness defined as solar altitude below 0 degrees, with twilight hours excluded so the contrast is strictly darkness versus daylight).</w:t>
      </w:r>
    </w:p>
    <w:p>
      <w:r>
        <w:t>Supplementary data merged at the sensor level include: hourly temperature, wind speed, and rainfall from meteorological records; CCTV camera counts within 300 metres; ward-level perceived safety-after-dark scores from the Bristol Quality of Life survey; leisure and retail business counts within 300 metres; and streetlight counts within 50 metres.</w:t>
      </w:r>
    </w:p>
    <w:p>
      <w:pPr>
        <w:pStyle w:val="Heading2"/>
      </w:pPr>
      <w:r>
        <w:t>2.2 Analytical Window</w:t>
      </w:r>
    </w:p>
    <w:p>
      <w:r>
        <w:t>To isolate the causal effect of darkness from confounding time-of-day patterns, the analysis restricts to the six “mixed-case” hours where both daylight and darkness observations occur depending on season: 05:00–06:59 and 17:00–20:59. This design exploits the natural seasonal variation in sunset and sunrise times, providing within-hour variation in darkness status across the year.</w:t>
      </w:r>
    </w:p>
    <w:p>
      <w:pPr>
        <w:pStyle w:val="Heading2"/>
      </w:pPr>
      <w:r>
        <w:t>2.3 Model Specification</w:t>
      </w:r>
    </w:p>
    <w:p>
      <w:r>
        <w:t>All models are Negative Binomial GLMs with a log link, fitted using iteratively reweighted least squares (IRLS). Standard errors are cluster-robust at the sensor level to account for within-sensor serial correlation. The five-model ladder is summarised below.</w:t>
      </w:r>
    </w:p>
    <w:tbl>
      <w:tblPr>
        <w:tblW w:type="auto" w:w="0"/>
        <w:jc w:val="center"/>
        <w:tblLook w:firstColumn="1" w:firstRow="1" w:lastColumn="0" w:lastRow="0" w:noHBand="0" w:noVBand="1" w:val="04A0"/>
      </w:tblPr>
      <w:tblGrid>
        <w:gridCol w:w="2880"/>
        <w:gridCol w:w="2880"/>
        <w:gridCol w:w="2880"/>
      </w:tblGrid>
      <w:tr>
        <w:tc>
          <w:tcPr>
            <w:tcW w:type="dxa" w:w="1152"/>
            <w:shd w:fill="1B4F72"/>
          </w:tcPr>
          <w:p>
            <w:r/>
            <w:r>
              <w:rPr>
                <w:rFonts w:ascii="Arial" w:hAnsi="Arial"/>
                <w:b/>
                <w:color w:val="FFFFFF"/>
                <w:sz w:val="18"/>
              </w:rPr>
              <w:t>Model</w:t>
            </w:r>
          </w:p>
        </w:tc>
        <w:tc>
          <w:tcPr>
            <w:tcW w:type="dxa" w:w="2880"/>
            <w:shd w:fill="1B4F72"/>
          </w:tcPr>
          <w:p>
            <w:r/>
            <w:r>
              <w:rPr>
                <w:rFonts w:ascii="Arial" w:hAnsi="Arial"/>
                <w:b/>
                <w:color w:val="FFFFFF"/>
                <w:sz w:val="18"/>
              </w:rPr>
              <w:t>Description</w:t>
            </w:r>
          </w:p>
        </w:tc>
        <w:tc>
          <w:tcPr>
            <w:tcW w:type="dxa" w:w="5040"/>
            <w:shd w:fill="1B4F72"/>
          </w:tcPr>
          <w:p>
            <w:r/>
            <w:r>
              <w:rPr>
                <w:rFonts w:ascii="Arial" w:hAnsi="Arial"/>
                <w:b/>
                <w:color w:val="FFFFFF"/>
                <w:sz w:val="18"/>
              </w:rPr>
              <w:t>Key RHS Terms Beyond Base</w:t>
            </w:r>
          </w:p>
        </w:tc>
      </w:tr>
      <w:tr>
        <w:tc>
          <w:tcPr>
            <w:tcW w:type="dxa" w:w="1152"/>
            <w:shd w:fill="F2F3F4"/>
          </w:tcPr>
          <w:p>
            <w:r/>
            <w:r>
              <w:rPr>
                <w:rFonts w:ascii="Arial" w:hAnsi="Arial"/>
                <w:sz w:val="18"/>
              </w:rPr>
              <w:t>Model 1</w:t>
            </w:r>
          </w:p>
        </w:tc>
        <w:tc>
          <w:tcPr>
            <w:tcW w:type="dxa" w:w="2880"/>
            <w:shd w:fill="F2F3F4"/>
          </w:tcPr>
          <w:p>
            <w:r/>
            <w:r>
              <w:rPr>
                <w:rFonts w:ascii="Arial" w:hAnsi="Arial"/>
                <w:sz w:val="18"/>
              </w:rPr>
              <w:t>Main pooled darkness model</w:t>
            </w:r>
          </w:p>
        </w:tc>
        <w:tc>
          <w:tcPr>
            <w:tcW w:type="dxa" w:w="5040"/>
            <w:shd w:fill="F2F3F4"/>
          </w:tcPr>
          <w:p>
            <w:r/>
            <w:r>
              <w:rPr>
                <w:rFonts w:ascii="Arial" w:hAnsi="Arial"/>
                <w:sz w:val="18"/>
              </w:rPr>
              <w:t>Dark + lag terms + C(hour) + C(dow) + C(month) + weather + C(sensor)</w:t>
            </w:r>
          </w:p>
        </w:tc>
      </w:tr>
      <w:tr>
        <w:tc>
          <w:tcPr>
            <w:tcW w:type="dxa" w:w="1152"/>
          </w:tcPr>
          <w:p>
            <w:r/>
            <w:r>
              <w:rPr>
                <w:rFonts w:ascii="Arial" w:hAnsi="Arial"/>
                <w:sz w:val="18"/>
              </w:rPr>
              <w:t>Model 2</w:t>
            </w:r>
          </w:p>
        </w:tc>
        <w:tc>
          <w:tcPr>
            <w:tcW w:type="dxa" w:w="2880"/>
          </w:tcPr>
          <w:p>
            <w:r/>
            <w:r>
              <w:rPr>
                <w:rFonts w:ascii="Arial" w:hAnsi="Arial"/>
                <w:sz w:val="18"/>
              </w:rPr>
              <w:t>Darkness × Cluster interaction</w:t>
            </w:r>
          </w:p>
        </w:tc>
        <w:tc>
          <w:tcPr>
            <w:tcW w:type="dxa" w:w="5040"/>
          </w:tcPr>
          <w:p>
            <w:r/>
            <w:r>
              <w:rPr>
                <w:rFonts w:ascii="Arial" w:hAnsi="Arial"/>
                <w:sz w:val="18"/>
              </w:rPr>
              <w:t>Adds Dark × Cluster (Central, East, Outlier)</w:t>
            </w:r>
          </w:p>
        </w:tc>
      </w:tr>
      <w:tr>
        <w:tc>
          <w:tcPr>
            <w:tcW w:type="dxa" w:w="1152"/>
            <w:shd w:fill="F2F3F4"/>
          </w:tcPr>
          <w:p>
            <w:r/>
            <w:r>
              <w:rPr>
                <w:rFonts w:ascii="Arial" w:hAnsi="Arial"/>
                <w:sz w:val="18"/>
              </w:rPr>
              <w:t>Model 3</w:t>
            </w:r>
          </w:p>
        </w:tc>
        <w:tc>
          <w:tcPr>
            <w:tcW w:type="dxa" w:w="2880"/>
            <w:shd w:fill="F2F3F4"/>
          </w:tcPr>
          <w:p>
            <w:r/>
            <w:r>
              <w:rPr>
                <w:rFonts w:ascii="Arial" w:hAnsi="Arial"/>
                <w:sz w:val="18"/>
              </w:rPr>
              <w:t>Darkness × CCTV interaction</w:t>
            </w:r>
          </w:p>
        </w:tc>
        <w:tc>
          <w:tcPr>
            <w:tcW w:type="dxa" w:w="5040"/>
            <w:shd w:fill="F2F3F4"/>
          </w:tcPr>
          <w:p>
            <w:r/>
            <w:r>
              <w:rPr>
                <w:rFonts w:ascii="Arial" w:hAnsi="Arial"/>
                <w:sz w:val="18"/>
              </w:rPr>
              <w:t>Adds Dark × cctv_z (z-standardised)</w:t>
            </w:r>
          </w:p>
        </w:tc>
      </w:tr>
      <w:tr>
        <w:tc>
          <w:tcPr>
            <w:tcW w:type="dxa" w:w="1152"/>
          </w:tcPr>
          <w:p>
            <w:r/>
            <w:r>
              <w:rPr>
                <w:rFonts w:ascii="Arial" w:hAnsi="Arial"/>
                <w:sz w:val="18"/>
              </w:rPr>
              <w:t>Model 4</w:t>
            </w:r>
          </w:p>
        </w:tc>
        <w:tc>
          <w:tcPr>
            <w:tcW w:type="dxa" w:w="2880"/>
          </w:tcPr>
          <w:p>
            <w:r/>
            <w:r>
              <w:rPr>
                <w:rFonts w:ascii="Arial" w:hAnsi="Arial"/>
                <w:sz w:val="18"/>
              </w:rPr>
              <w:t>Darkness × Safety interaction</w:t>
            </w:r>
          </w:p>
        </w:tc>
        <w:tc>
          <w:tcPr>
            <w:tcW w:type="dxa" w:w="5040"/>
          </w:tcPr>
          <w:p>
            <w:r/>
            <w:r>
              <w:rPr>
                <w:rFonts w:ascii="Arial" w:hAnsi="Arial"/>
                <w:sz w:val="18"/>
              </w:rPr>
              <w:t>Adds Dark × safety_z (z-standardised)</w:t>
            </w:r>
          </w:p>
        </w:tc>
      </w:tr>
      <w:tr>
        <w:tc>
          <w:tcPr>
            <w:tcW w:type="dxa" w:w="1152"/>
            <w:shd w:fill="F2F3F4"/>
          </w:tcPr>
          <w:p>
            <w:r/>
            <w:r>
              <w:rPr>
                <w:rFonts w:ascii="Arial" w:hAnsi="Arial"/>
                <w:sz w:val="18"/>
              </w:rPr>
              <w:t>Model 5</w:t>
            </w:r>
          </w:p>
        </w:tc>
        <w:tc>
          <w:tcPr>
            <w:tcW w:type="dxa" w:w="2880"/>
            <w:shd w:fill="F2F3F4"/>
          </w:tcPr>
          <w:p>
            <w:r/>
            <w:r>
              <w:rPr>
                <w:rFonts w:ascii="Arial" w:hAnsi="Arial"/>
                <w:sz w:val="18"/>
              </w:rPr>
              <w:t>Darkness × Business + Streetlight</w:t>
            </w:r>
          </w:p>
        </w:tc>
        <w:tc>
          <w:tcPr>
            <w:tcW w:type="dxa" w:w="5040"/>
            <w:shd w:fill="F2F3F4"/>
          </w:tcPr>
          <w:p>
            <w:r/>
            <w:r>
              <w:rPr>
                <w:rFonts w:ascii="Arial" w:hAnsi="Arial"/>
                <w:sz w:val="18"/>
              </w:rPr>
              <w:t>Adds Dark × businesses_z + Dark × streetlights_z</w:t>
            </w:r>
          </w:p>
        </w:tc>
      </w:tr>
    </w:tbl>
    <w:p>
      <w:r>
        <w:br/>
        <w:t>Each model is fitted separately for pedestrians (ped) and cyclists (cyc). The dataset contains 70,836 observations from 37 sensors. Lag terms (lag1 and lag24) capture short-run persistence. Sensor fixed effects absorb all time-invariant differences between locations, meaning contextual moderators (CCTV, safety, businesses, streetlights) enter only as interactions with the Dark indicator.</w:t>
      </w:r>
    </w:p>
    <w:p>
      <w:r>
        <w:br w:type="page"/>
      </w:r>
    </w:p>
    <w:p>
      <w:pPr>
        <w:pStyle w:val="Heading1"/>
      </w:pPr>
      <w:r>
        <w:t>3. Key Findings</w:t>
      </w:r>
    </w:p>
    <w:p>
      <w:pPr>
        <w:pStyle w:val="Heading2"/>
      </w:pPr>
      <w:r>
        <w:t>3.1 The Pedestrian Darkness Penalty Is Large, Robust, and Network-Wide</w:t>
      </w:r>
    </w:p>
    <w:p>
      <w:r>
        <w:t>Across all comparable model specifications, darkness is associated with approximately one-third fewer pedestrians during the mixed-case commuter hours. The point estimates are remarkably stable:</w:t>
      </w:r>
    </w:p>
    <w:tbl>
      <w:tblPr>
        <w:tblW w:type="auto" w:w="0"/>
        <w:jc w:val="center"/>
        <w:tblLook w:firstColumn="1" w:firstRow="1" w:lastColumn="0" w:lastRow="0" w:noHBand="0" w:noVBand="1" w:val="04A0"/>
      </w:tblPr>
      <w:tblGrid>
        <w:gridCol w:w="1728"/>
        <w:gridCol w:w="1728"/>
        <w:gridCol w:w="1728"/>
        <w:gridCol w:w="1728"/>
        <w:gridCol w:w="1728"/>
      </w:tblGrid>
      <w:tr>
        <w:tc>
          <w:tcPr>
            <w:tcW w:type="dxa" w:w="1296"/>
            <w:shd w:fill="1B4F72"/>
          </w:tcPr>
          <w:p>
            <w:r/>
            <w:r>
              <w:rPr>
                <w:rFonts w:ascii="Arial" w:hAnsi="Arial"/>
                <w:b/>
                <w:color w:val="FFFFFF"/>
                <w:sz w:val="18"/>
              </w:rPr>
              <w:t>Model</w:t>
            </w:r>
          </w:p>
        </w:tc>
        <w:tc>
          <w:tcPr>
            <w:tcW w:type="dxa" w:w="1728"/>
            <w:shd w:fill="1B4F72"/>
          </w:tcPr>
          <w:p>
            <w:r/>
            <w:r>
              <w:rPr>
                <w:rFonts w:ascii="Arial" w:hAnsi="Arial"/>
                <w:b/>
                <w:color w:val="FFFFFF"/>
                <w:sz w:val="18"/>
              </w:rPr>
              <w:t>Ped % Change</w:t>
            </w:r>
          </w:p>
        </w:tc>
        <w:tc>
          <w:tcPr>
            <w:tcW w:type="dxa" w:w="2016"/>
            <w:shd w:fill="1B4F72"/>
          </w:tcPr>
          <w:p>
            <w:r/>
            <w:r>
              <w:rPr>
                <w:rFonts w:ascii="Arial" w:hAnsi="Arial"/>
                <w:b/>
                <w:color w:val="FFFFFF"/>
                <w:sz w:val="18"/>
              </w:rPr>
              <w:t>Ped p-value</w:t>
            </w:r>
          </w:p>
        </w:tc>
        <w:tc>
          <w:tcPr>
            <w:tcW w:type="dxa" w:w="1728"/>
            <w:shd w:fill="1B4F72"/>
          </w:tcPr>
          <w:p>
            <w:r/>
            <w:r>
              <w:rPr>
                <w:rFonts w:ascii="Arial" w:hAnsi="Arial"/>
                <w:b/>
                <w:color w:val="FFFFFF"/>
                <w:sz w:val="18"/>
              </w:rPr>
              <w:t>Cyc % Change</w:t>
            </w:r>
          </w:p>
        </w:tc>
        <w:tc>
          <w:tcPr>
            <w:tcW w:type="dxa" w:w="1728"/>
            <w:shd w:fill="1B4F72"/>
          </w:tcPr>
          <w:p>
            <w:r/>
            <w:r>
              <w:rPr>
                <w:rFonts w:ascii="Arial" w:hAnsi="Arial"/>
                <w:b/>
                <w:color w:val="FFFFFF"/>
                <w:sz w:val="18"/>
              </w:rPr>
              <w:t>Cyc p-value</w:t>
            </w:r>
          </w:p>
        </w:tc>
      </w:tr>
      <w:tr>
        <w:tc>
          <w:tcPr>
            <w:tcW w:type="dxa" w:w="1296"/>
            <w:shd w:fill="F2F3F4"/>
          </w:tcPr>
          <w:p>
            <w:r/>
            <w:r>
              <w:rPr>
                <w:rFonts w:ascii="Arial" w:hAnsi="Arial"/>
                <w:sz w:val="18"/>
              </w:rPr>
              <w:t>Model 1</w:t>
            </w:r>
          </w:p>
        </w:tc>
        <w:tc>
          <w:tcPr>
            <w:tcW w:type="dxa" w:w="1728"/>
            <w:shd w:fill="F2F3F4"/>
          </w:tcPr>
          <w:p>
            <w:r/>
            <w:r>
              <w:rPr>
                <w:rFonts w:ascii="Arial" w:hAnsi="Arial"/>
                <w:sz w:val="18"/>
              </w:rPr>
              <w:t>−33.3%</w:t>
            </w:r>
          </w:p>
        </w:tc>
        <w:tc>
          <w:tcPr>
            <w:tcW w:type="dxa" w:w="2016"/>
            <w:shd w:fill="F2F3F4"/>
          </w:tcPr>
          <w:p>
            <w:r/>
            <w:r>
              <w:rPr>
                <w:rFonts w:ascii="Arial" w:hAnsi="Arial"/>
                <w:sz w:val="18"/>
              </w:rPr>
              <w:t>1.48 × 10⁻⁹</w:t>
            </w:r>
          </w:p>
        </w:tc>
        <w:tc>
          <w:tcPr>
            <w:tcW w:type="dxa" w:w="1728"/>
            <w:shd w:fill="F2F3F4"/>
          </w:tcPr>
          <w:p>
            <w:r/>
            <w:r>
              <w:rPr>
                <w:rFonts w:ascii="Arial" w:hAnsi="Arial"/>
                <w:sz w:val="18"/>
              </w:rPr>
              <w:t>−4.0%</w:t>
            </w:r>
          </w:p>
        </w:tc>
        <w:tc>
          <w:tcPr>
            <w:tcW w:type="dxa" w:w="1728"/>
            <w:shd w:fill="F2F3F4"/>
          </w:tcPr>
          <w:p>
            <w:r/>
            <w:r>
              <w:rPr>
                <w:rFonts w:ascii="Arial" w:hAnsi="Arial"/>
                <w:sz w:val="18"/>
              </w:rPr>
              <w:t>0.446</w:t>
            </w:r>
          </w:p>
        </w:tc>
      </w:tr>
      <w:tr>
        <w:tc>
          <w:tcPr>
            <w:tcW w:type="dxa" w:w="1296"/>
          </w:tcPr>
          <w:p>
            <w:r/>
            <w:r>
              <w:rPr>
                <w:rFonts w:ascii="Arial" w:hAnsi="Arial"/>
                <w:sz w:val="18"/>
              </w:rPr>
              <w:t>Model 3</w:t>
            </w:r>
          </w:p>
        </w:tc>
        <w:tc>
          <w:tcPr>
            <w:tcW w:type="dxa" w:w="1728"/>
          </w:tcPr>
          <w:p>
            <w:r/>
            <w:r>
              <w:rPr>
                <w:rFonts w:ascii="Arial" w:hAnsi="Arial"/>
                <w:sz w:val="18"/>
              </w:rPr>
              <w:t>−33.3%</w:t>
            </w:r>
          </w:p>
        </w:tc>
        <w:tc>
          <w:tcPr>
            <w:tcW w:type="dxa" w:w="2016"/>
          </w:tcPr>
          <w:p>
            <w:r/>
            <w:r>
              <w:rPr>
                <w:rFonts w:ascii="Arial" w:hAnsi="Arial"/>
                <w:sz w:val="18"/>
              </w:rPr>
              <w:t>7.91 × 10⁻¹⁰</w:t>
            </w:r>
          </w:p>
        </w:tc>
        <w:tc>
          <w:tcPr>
            <w:tcW w:type="dxa" w:w="1728"/>
          </w:tcPr>
          <w:p>
            <w:r/>
            <w:r>
              <w:rPr>
                <w:rFonts w:ascii="Arial" w:hAnsi="Arial"/>
                <w:sz w:val="18"/>
              </w:rPr>
              <w:t>−3.9%</w:t>
            </w:r>
          </w:p>
        </w:tc>
        <w:tc>
          <w:tcPr>
            <w:tcW w:type="dxa" w:w="1728"/>
          </w:tcPr>
          <w:p>
            <w:r/>
            <w:r>
              <w:rPr>
                <w:rFonts w:ascii="Arial" w:hAnsi="Arial"/>
                <w:sz w:val="18"/>
              </w:rPr>
              <w:t>0.448</w:t>
            </w:r>
          </w:p>
        </w:tc>
      </w:tr>
      <w:tr>
        <w:tc>
          <w:tcPr>
            <w:tcW w:type="dxa" w:w="1296"/>
            <w:shd w:fill="F2F3F4"/>
          </w:tcPr>
          <w:p>
            <w:r/>
            <w:r>
              <w:rPr>
                <w:rFonts w:ascii="Arial" w:hAnsi="Arial"/>
                <w:sz w:val="18"/>
              </w:rPr>
              <w:t>Model 4</w:t>
            </w:r>
          </w:p>
        </w:tc>
        <w:tc>
          <w:tcPr>
            <w:tcW w:type="dxa" w:w="1728"/>
            <w:shd w:fill="F2F3F4"/>
          </w:tcPr>
          <w:p>
            <w:r/>
            <w:r>
              <w:rPr>
                <w:rFonts w:ascii="Arial" w:hAnsi="Arial"/>
                <w:sz w:val="18"/>
              </w:rPr>
              <w:t>−34.3%</w:t>
            </w:r>
          </w:p>
        </w:tc>
        <w:tc>
          <w:tcPr>
            <w:tcW w:type="dxa" w:w="2016"/>
            <w:shd w:fill="F2F3F4"/>
          </w:tcPr>
          <w:p>
            <w:r/>
            <w:r>
              <w:rPr>
                <w:rFonts w:ascii="Arial" w:hAnsi="Arial"/>
                <w:sz w:val="18"/>
              </w:rPr>
              <w:t>2.01 × 10⁻⁹</w:t>
            </w:r>
          </w:p>
        </w:tc>
        <w:tc>
          <w:tcPr>
            <w:tcW w:type="dxa" w:w="1728"/>
            <w:shd w:fill="F2F3F4"/>
          </w:tcPr>
          <w:p>
            <w:r/>
            <w:r>
              <w:rPr>
                <w:rFonts w:ascii="Arial" w:hAnsi="Arial"/>
                <w:sz w:val="18"/>
              </w:rPr>
              <w:t>−4.1%</w:t>
            </w:r>
          </w:p>
        </w:tc>
        <w:tc>
          <w:tcPr>
            <w:tcW w:type="dxa" w:w="1728"/>
            <w:shd w:fill="F2F3F4"/>
          </w:tcPr>
          <w:p>
            <w:r/>
            <w:r>
              <w:rPr>
                <w:rFonts w:ascii="Arial" w:hAnsi="Arial"/>
                <w:sz w:val="18"/>
              </w:rPr>
              <w:t>0.356</w:t>
            </w:r>
          </w:p>
        </w:tc>
      </w:tr>
      <w:tr>
        <w:tc>
          <w:tcPr>
            <w:tcW w:type="dxa" w:w="1296"/>
          </w:tcPr>
          <w:p>
            <w:r/>
            <w:r>
              <w:rPr>
                <w:rFonts w:ascii="Arial" w:hAnsi="Arial"/>
                <w:sz w:val="18"/>
              </w:rPr>
              <w:t>Model 5</w:t>
            </w:r>
          </w:p>
        </w:tc>
        <w:tc>
          <w:tcPr>
            <w:tcW w:type="dxa" w:w="1728"/>
          </w:tcPr>
          <w:p>
            <w:r/>
            <w:r>
              <w:rPr>
                <w:rFonts w:ascii="Arial" w:hAnsi="Arial"/>
                <w:sz w:val="18"/>
              </w:rPr>
              <w:t>−33.8%</w:t>
            </w:r>
          </w:p>
        </w:tc>
        <w:tc>
          <w:tcPr>
            <w:tcW w:type="dxa" w:w="2016"/>
          </w:tcPr>
          <w:p>
            <w:r/>
            <w:r>
              <w:rPr>
                <w:rFonts w:ascii="Arial" w:hAnsi="Arial"/>
                <w:sz w:val="18"/>
              </w:rPr>
              <w:t>1.33 × 10⁻⁸</w:t>
            </w:r>
          </w:p>
        </w:tc>
        <w:tc>
          <w:tcPr>
            <w:tcW w:type="dxa" w:w="1728"/>
          </w:tcPr>
          <w:p>
            <w:r/>
            <w:r>
              <w:rPr>
                <w:rFonts w:ascii="Arial" w:hAnsi="Arial"/>
                <w:sz w:val="18"/>
              </w:rPr>
              <w:t>−3.7%</w:t>
            </w:r>
          </w:p>
        </w:tc>
        <w:tc>
          <w:tcPr>
            <w:tcW w:type="dxa" w:w="1728"/>
          </w:tcPr>
          <w:p>
            <w:r/>
            <w:r>
              <w:rPr>
                <w:rFonts w:ascii="Arial" w:hAnsi="Arial"/>
                <w:sz w:val="18"/>
              </w:rPr>
              <w:t>0.495</w:t>
            </w:r>
          </w:p>
        </w:tc>
      </w:tr>
    </w:tbl>
    <w:p>
      <w:r>
        <w:br/>
        <w:t>Table 1: Summary of main darkness effects across comparable pooled models.</w:t>
      </w:r>
    </w:p>
    <w:p>
      <w:pPr>
        <w:jc w:val="center"/>
      </w:pPr>
      <w:r>
        <w:drawing>
          <wp:inline xmlns:a="http://schemas.openxmlformats.org/drawingml/2006/main" xmlns:pic="http://schemas.openxmlformats.org/drawingml/2006/picture">
            <wp:extent cx="5029200" cy="2014921"/>
            <wp:docPr id="1" name="Picture 1"/>
            <wp:cNvGraphicFramePr>
              <a:graphicFrameLocks noChangeAspect="1"/>
            </wp:cNvGraphicFramePr>
            <a:graphic>
              <a:graphicData uri="http://schemas.openxmlformats.org/drawingml/2006/picture">
                <pic:pic>
                  <pic:nvPicPr>
                    <pic:cNvPr id="0" name="glm_model5_main_darkness_effects.png"/>
                    <pic:cNvPicPr/>
                  </pic:nvPicPr>
                  <pic:blipFill>
                    <a:blip r:embed="rId9"/>
                    <a:stretch>
                      <a:fillRect/>
                    </a:stretch>
                  </pic:blipFill>
                  <pic:spPr>
                    <a:xfrm>
                      <a:off x="0" y="0"/>
                      <a:ext cx="5029200" cy="2014921"/>
                    </a:xfrm>
                    <a:prstGeom prst="rect"/>
                  </pic:spPr>
                </pic:pic>
              </a:graphicData>
            </a:graphic>
          </wp:inline>
        </w:drawing>
      </w:r>
    </w:p>
    <w:p>
      <w:pPr>
        <w:spacing w:after="240"/>
        <w:jc w:val="center"/>
      </w:pPr>
      <w:r>
        <w:rPr>
          <w:rFonts w:ascii="Arial" w:hAnsi="Arial"/>
          <w:i/>
          <w:sz w:val="18"/>
        </w:rPr>
        <w:t>Figure 1: Comparable main darkness effects across Models 1, 3, 4, and 5. The pedestrian effect is stable near −33% across all specifications. The cyclist effect is near zero and non-significant.</w:t>
      </w:r>
    </w:p>
    <w:p>
      <w:r>
        <w:t>The raw data corroborate this pattern: the daylight pedestrian mean across mixed hours is 116.9 counts per sensor-hour, versus 62.3 in darkness. 36 of the 37 sensors individually show lower pedestrian counts in darkness. The raw drop is geographically consistent: approximately −46% in Central, −47% in East, and −50% in Outlier clusters. The GLM adjusts this downward to −33–34%, confirming that while some of the raw difference is attributable to regular temporal and weather patterns, a large independent darkness penalty remains.</w:t>
      </w:r>
    </w:p>
    <w:p>
      <w:pPr>
        <w:pStyle w:val="Heading2"/>
      </w:pPr>
      <w:r>
        <w:t>3.2 The Cyclist Story Is One of Place-Dependent Variation</w:t>
      </w:r>
    </w:p>
    <w:p>
      <w:r>
        <w:t>The pooled cyclist darkness coefficient is consistently small and non-significant across all models (−4%, p &gt; 0.35). However, Model 2 reveals striking heterogeneity by cluster:</w:t>
      </w:r>
    </w:p>
    <w:tbl>
      <w:tblPr>
        <w:tblW w:type="auto" w:w="0"/>
        <w:jc w:val="center"/>
        <w:tblLook w:firstColumn="1" w:firstRow="1" w:lastColumn="0" w:lastRow="0" w:noHBand="0" w:noVBand="1" w:val="04A0"/>
      </w:tblPr>
      <w:tblGrid>
        <w:gridCol w:w="2160"/>
        <w:gridCol w:w="2160"/>
        <w:gridCol w:w="2160"/>
        <w:gridCol w:w="2160"/>
      </w:tblGrid>
      <w:tr>
        <w:tc>
          <w:tcPr>
            <w:tcW w:type="dxa" w:w="1728"/>
            <w:shd w:fill="1B4F72"/>
          </w:tcPr>
          <w:p>
            <w:r/>
            <w:r>
              <w:rPr>
                <w:rFonts w:ascii="Arial" w:hAnsi="Arial"/>
                <w:b/>
                <w:color w:val="FFFFFF"/>
                <w:sz w:val="18"/>
              </w:rPr>
              <w:t>Cluster</w:t>
            </w:r>
          </w:p>
        </w:tc>
        <w:tc>
          <w:tcPr>
            <w:tcW w:type="dxa" w:w="1872"/>
            <w:shd w:fill="1B4F72"/>
          </w:tcPr>
          <w:p>
            <w:r/>
            <w:r>
              <w:rPr>
                <w:rFonts w:ascii="Arial" w:hAnsi="Arial"/>
                <w:b/>
                <w:color w:val="FFFFFF"/>
                <w:sz w:val="18"/>
              </w:rPr>
              <w:t>Cyclist Dark %</w:t>
            </w:r>
          </w:p>
        </w:tc>
        <w:tc>
          <w:tcPr>
            <w:tcW w:type="dxa" w:w="2160"/>
            <w:shd w:fill="1B4F72"/>
          </w:tcPr>
          <w:p>
            <w:r/>
            <w:r>
              <w:rPr>
                <w:rFonts w:ascii="Arial" w:hAnsi="Arial"/>
                <w:b/>
                <w:color w:val="FFFFFF"/>
                <w:sz w:val="18"/>
              </w:rPr>
              <w:t>Dark×East p-value</w:t>
            </w:r>
          </w:p>
        </w:tc>
        <w:tc>
          <w:tcPr>
            <w:tcW w:type="dxa" w:w="2160"/>
            <w:shd w:fill="1B4F72"/>
          </w:tcPr>
          <w:p>
            <w:r/>
            <w:r>
              <w:rPr>
                <w:rFonts w:ascii="Arial" w:hAnsi="Arial"/>
                <w:b/>
                <w:color w:val="FFFFFF"/>
                <w:sz w:val="18"/>
              </w:rPr>
              <w:t>Raw Daylight → Dark</w:t>
            </w:r>
          </w:p>
        </w:tc>
      </w:tr>
      <w:tr>
        <w:tc>
          <w:tcPr>
            <w:tcW w:type="dxa" w:w="1728"/>
            <w:shd w:fill="F2F3F4"/>
          </w:tcPr>
          <w:p>
            <w:r/>
            <w:r>
              <w:rPr>
                <w:rFonts w:ascii="Arial" w:hAnsi="Arial"/>
                <w:sz w:val="18"/>
              </w:rPr>
              <w:t>Central</w:t>
            </w:r>
          </w:p>
        </w:tc>
        <w:tc>
          <w:tcPr>
            <w:tcW w:type="dxa" w:w="1872"/>
            <w:shd w:fill="F2F3F4"/>
          </w:tcPr>
          <w:p>
            <w:r/>
            <w:r>
              <w:rPr>
                <w:rFonts w:ascii="Arial" w:hAnsi="Arial"/>
                <w:sz w:val="18"/>
              </w:rPr>
              <w:t>−20.5%</w:t>
            </w:r>
          </w:p>
        </w:tc>
        <w:tc>
          <w:tcPr>
            <w:tcW w:type="dxa" w:w="2160"/>
            <w:shd w:fill="F2F3F4"/>
          </w:tcPr>
          <w:p>
            <w:r/>
            <w:r>
              <w:rPr>
                <w:rFonts w:ascii="Arial" w:hAnsi="Arial"/>
                <w:sz w:val="18"/>
              </w:rPr>
              <w:t>(reference)</w:t>
            </w:r>
          </w:p>
        </w:tc>
        <w:tc>
          <w:tcPr>
            <w:tcW w:type="dxa" w:w="2160"/>
            <w:shd w:fill="F2F3F4"/>
          </w:tcPr>
          <w:p>
            <w:r/>
            <w:r>
              <w:rPr>
                <w:rFonts w:ascii="Arial" w:hAnsi="Arial"/>
                <w:sz w:val="18"/>
              </w:rPr>
              <w:t>61.1 → 31.0</w:t>
            </w:r>
          </w:p>
        </w:tc>
      </w:tr>
      <w:tr>
        <w:tc>
          <w:tcPr>
            <w:tcW w:type="dxa" w:w="1728"/>
          </w:tcPr>
          <w:p>
            <w:r/>
            <w:r>
              <w:rPr>
                <w:rFonts w:ascii="Arial" w:hAnsi="Arial"/>
                <w:sz w:val="18"/>
              </w:rPr>
              <w:t>East</w:t>
            </w:r>
          </w:p>
        </w:tc>
        <w:tc>
          <w:tcPr>
            <w:tcW w:type="dxa" w:w="1872"/>
          </w:tcPr>
          <w:p>
            <w:r/>
            <w:r>
              <w:rPr>
                <w:rFonts w:ascii="Arial" w:hAnsi="Arial"/>
                <w:sz w:val="18"/>
              </w:rPr>
              <w:t>−1.6%</w:t>
            </w:r>
          </w:p>
        </w:tc>
        <w:tc>
          <w:tcPr>
            <w:tcW w:type="dxa" w:w="2160"/>
          </w:tcPr>
          <w:p>
            <w:r/>
            <w:r>
              <w:rPr>
                <w:rFonts w:ascii="Arial" w:hAnsi="Arial"/>
                <w:sz w:val="18"/>
              </w:rPr>
              <w:t>0.045</w:t>
            </w:r>
          </w:p>
        </w:tc>
        <w:tc>
          <w:tcPr>
            <w:tcW w:type="dxa" w:w="2160"/>
          </w:tcPr>
          <w:p>
            <w:r/>
            <w:r>
              <w:rPr>
                <w:rFonts w:ascii="Arial" w:hAnsi="Arial"/>
                <w:sz w:val="18"/>
              </w:rPr>
              <w:t>19.8 → 15.0</w:t>
            </w:r>
          </w:p>
        </w:tc>
      </w:tr>
      <w:tr>
        <w:tc>
          <w:tcPr>
            <w:tcW w:type="dxa" w:w="1728"/>
            <w:shd w:fill="F2F3F4"/>
          </w:tcPr>
          <w:p>
            <w:r/>
            <w:r>
              <w:rPr>
                <w:rFonts w:ascii="Arial" w:hAnsi="Arial"/>
                <w:sz w:val="18"/>
              </w:rPr>
              <w:t>Outlier</w:t>
            </w:r>
          </w:p>
        </w:tc>
        <w:tc>
          <w:tcPr>
            <w:tcW w:type="dxa" w:w="1872"/>
            <w:shd w:fill="F2F3F4"/>
          </w:tcPr>
          <w:p>
            <w:r/>
            <w:r>
              <w:rPr>
                <w:rFonts w:ascii="Arial" w:hAnsi="Arial"/>
                <w:sz w:val="18"/>
              </w:rPr>
              <w:t>+20.4%</w:t>
            </w:r>
          </w:p>
        </w:tc>
        <w:tc>
          <w:tcPr>
            <w:tcW w:type="dxa" w:w="2160"/>
            <w:shd w:fill="F2F3F4"/>
          </w:tcPr>
          <w:p>
            <w:r/>
            <w:r>
              <w:rPr>
                <w:rFonts w:ascii="Arial" w:hAnsi="Arial"/>
                <w:sz w:val="18"/>
              </w:rPr>
              <w:t>—</w:t>
            </w:r>
          </w:p>
        </w:tc>
        <w:tc>
          <w:tcPr>
            <w:tcW w:type="dxa" w:w="2160"/>
            <w:shd w:fill="F2F3F4"/>
          </w:tcPr>
          <w:p>
            <w:r/>
            <w:r>
              <w:rPr>
                <w:rFonts w:ascii="Arial" w:hAnsi="Arial"/>
                <w:sz w:val="18"/>
              </w:rPr>
              <w:t>7.7 → 9.0</w:t>
            </w:r>
          </w:p>
        </w:tc>
      </w:tr>
    </w:tbl>
    <w:p>
      <w:pPr>
        <w:jc w:val="center"/>
      </w:pPr>
      <w:r>
        <w:drawing>
          <wp:inline xmlns:a="http://schemas.openxmlformats.org/drawingml/2006/main" xmlns:pic="http://schemas.openxmlformats.org/drawingml/2006/picture">
            <wp:extent cx="4572000" cy="1780082"/>
            <wp:docPr id="2" name="Picture 2"/>
            <wp:cNvGraphicFramePr>
              <a:graphicFrameLocks noChangeAspect="1"/>
            </wp:cNvGraphicFramePr>
            <a:graphic>
              <a:graphicData uri="http://schemas.openxmlformats.org/drawingml/2006/picture">
                <pic:pic>
                  <pic:nvPicPr>
                    <pic:cNvPr id="0" name="glm_cyclist_heterogeneity.png"/>
                    <pic:cNvPicPr/>
                  </pic:nvPicPr>
                  <pic:blipFill>
                    <a:blip r:embed="rId10"/>
                    <a:stretch>
                      <a:fillRect/>
                    </a:stretch>
                  </pic:blipFill>
                  <pic:spPr>
                    <a:xfrm>
                      <a:off x="0" y="0"/>
                      <a:ext cx="4572000" cy="1780082"/>
                    </a:xfrm>
                    <a:prstGeom prst="rect"/>
                  </pic:spPr>
                </pic:pic>
              </a:graphicData>
            </a:graphic>
          </wp:inline>
        </w:drawing>
      </w:r>
    </w:p>
    <w:p>
      <w:pPr>
        <w:spacing w:after="240"/>
        <w:jc w:val="center"/>
      </w:pPr>
      <w:r>
        <w:rPr>
          <w:rFonts w:ascii="Arial" w:hAnsi="Arial"/>
          <w:i/>
          <w:sz w:val="18"/>
        </w:rPr>
        <w:t>Figure 2: Left panel shows cyclist darkness effect by cluster. Right panel shows how the effect varies with ward-level perceived safety after dark (p = 0.00012).</w:t>
      </w:r>
    </w:p>
    <w:p>
      <w:r>
        <w:t>The supplementary within-cluster refits confirm that this heterogeneity persists even after excluding the Outlier group: Central cyclists show −25.3% (p &lt; 0.001) while East cyclists show +0.2% (p = 0.97). The cyclist darkness effect is therefore not a single-number problem; it is fundamentally place-dependent.</w:t>
      </w:r>
    </w:p>
    <w:p>
      <w:pPr>
        <w:pStyle w:val="Heading2"/>
      </w:pPr>
      <w:r>
        <w:t>3.3 Moderating Factors: What Helps and What Does Not</w:t>
      </w:r>
    </w:p>
    <w:p>
      <w:r>
        <w:rPr>
          <w:rFonts w:ascii="Arial" w:hAnsi="Arial"/>
          <w:b/>
          <w:sz w:val="22"/>
        </w:rPr>
        <w:t xml:space="preserve">CCTV (Model 3): </w:t>
      </w:r>
      <w:r>
        <w:rPr>
          <w:rFonts w:ascii="Arial" w:hAnsi="Arial"/>
          <w:sz w:val="22"/>
        </w:rPr>
        <w:t>No meaningful moderation. The Dark × CCTV interaction is negligible for both pedestrians (coefficient 0.011, p = 0.95) and cyclists (coefficient −0.004, p = 0.94). Despite wide variation in CCTV density (0 to 183 cameras within 300m), it does not explain the darkness patterns.</w:t>
      </w:r>
    </w:p>
    <w:p>
      <w:r>
        <w:rPr>
          <w:rFonts w:ascii="Arial" w:hAnsi="Arial"/>
          <w:b/>
          <w:sz w:val="22"/>
        </w:rPr>
        <w:t xml:space="preserve">Perceived safety after dark (Model 4): </w:t>
      </w:r>
      <w:r>
        <w:rPr>
          <w:rFonts w:ascii="Arial" w:hAnsi="Arial"/>
          <w:sz w:val="22"/>
        </w:rPr>
        <w:t>Strong cyclist moderator. The Dark × safety interaction is highly significant for cyclists (coefficient −0.262, p = 0.00012), indicating that in wards perceived as safer after dark, cyclists show a stronger darkness avoidance response. This is counterintuitive and likely reflects confounding with geography (Central sensors all share the same high safety score). For pedestrians, the safety interaction is negative but non-significant (p = 0.16).</w:t>
      </w:r>
    </w:p>
    <w:p>
      <w:r>
        <w:rPr>
          <w:rFonts w:ascii="Arial" w:hAnsi="Arial"/>
          <w:b/>
          <w:sz w:val="22"/>
        </w:rPr>
        <w:t xml:space="preserve">Streetlight density (Model 5): </w:t>
      </w:r>
      <w:r>
        <w:rPr>
          <w:rFonts w:ascii="Arial" w:hAnsi="Arial"/>
          <w:sz w:val="22"/>
        </w:rPr>
        <w:t>The most policy-relevant moderator for pedestrians. At +1 SD, the pedestrian darkness penalty falls from −34% to −19%. At −1 SD, it deepens to −46%. While the interaction term itself has p = 0.12 (not conventionally significant at 5%), the direction is consistent, the magnitude is large, and the practical implication is clear. For cyclists, streetlight moderation is negligible.</w:t>
      </w:r>
    </w:p>
    <w:p>
      <w:pPr>
        <w:jc w:val="center"/>
      </w:pPr>
      <w:r>
        <w:drawing>
          <wp:inline xmlns:a="http://schemas.openxmlformats.org/drawingml/2006/main" xmlns:pic="http://schemas.openxmlformats.org/drawingml/2006/picture">
            <wp:extent cx="4572000" cy="1746396"/>
            <wp:docPr id="3" name="Picture 3"/>
            <wp:cNvGraphicFramePr>
              <a:graphicFrameLocks noChangeAspect="1"/>
            </wp:cNvGraphicFramePr>
            <a:graphic>
              <a:graphicData uri="http://schemas.openxmlformats.org/drawingml/2006/picture">
                <pic:pic>
                  <pic:nvPicPr>
                    <pic:cNvPr id="0" name="glm_model5_streetlight_heterogeneity.png"/>
                    <pic:cNvPicPr/>
                  </pic:nvPicPr>
                  <pic:blipFill>
                    <a:blip r:embed="rId11"/>
                    <a:stretch>
                      <a:fillRect/>
                    </a:stretch>
                  </pic:blipFill>
                  <pic:spPr>
                    <a:xfrm>
                      <a:off x="0" y="0"/>
                      <a:ext cx="4572000" cy="1746396"/>
                    </a:xfrm>
                    <a:prstGeom prst="rect"/>
                  </pic:spPr>
                </pic:pic>
              </a:graphicData>
            </a:graphic>
          </wp:inline>
        </w:drawing>
      </w:r>
    </w:p>
    <w:p>
      <w:pPr>
        <w:spacing w:after="240"/>
        <w:jc w:val="center"/>
      </w:pPr>
      <w:r>
        <w:rPr>
          <w:rFonts w:ascii="Arial" w:hAnsi="Arial"/>
          <w:i/>
          <w:sz w:val="18"/>
        </w:rPr>
        <w:t>Figure 3: Model 5 streetlight density moderation. Left: pedestrians, showing the darkness penalty attenuated from −46% (low streetlights) to −19% (high streetlights). Right: cyclists, minimal moderation.</w:t>
      </w:r>
    </w:p>
    <w:p>
      <w:r>
        <w:rPr>
          <w:rFonts w:ascii="Arial" w:hAnsi="Arial"/>
          <w:b/>
          <w:sz w:val="22"/>
        </w:rPr>
        <w:t xml:space="preserve">Business density (Model 5): </w:t>
      </w:r>
      <w:r>
        <w:rPr>
          <w:rFonts w:ascii="Arial" w:hAnsi="Arial"/>
          <w:sz w:val="22"/>
        </w:rPr>
        <w:t>Weak and non-significant for both modes. More businesses within 300m do not meaningfully buffer the darkness penalty.</w:t>
      </w:r>
    </w:p>
    <w:p>
      <w:pPr>
        <w:jc w:val="center"/>
      </w:pPr>
      <w:r>
        <w:drawing>
          <wp:inline xmlns:a="http://schemas.openxmlformats.org/drawingml/2006/main" xmlns:pic="http://schemas.openxmlformats.org/drawingml/2006/picture">
            <wp:extent cx="4572000" cy="1746396"/>
            <wp:docPr id="4" name="Picture 4"/>
            <wp:cNvGraphicFramePr>
              <a:graphicFrameLocks noChangeAspect="1"/>
            </wp:cNvGraphicFramePr>
            <a:graphic>
              <a:graphicData uri="http://schemas.openxmlformats.org/drawingml/2006/picture">
                <pic:pic>
                  <pic:nvPicPr>
                    <pic:cNvPr id="0" name="glm_model5_business_heterogeneity.png"/>
                    <pic:cNvPicPr/>
                  </pic:nvPicPr>
                  <pic:blipFill>
                    <a:blip r:embed="rId12"/>
                    <a:stretch>
                      <a:fillRect/>
                    </a:stretch>
                  </pic:blipFill>
                  <pic:spPr>
                    <a:xfrm>
                      <a:off x="0" y="0"/>
                      <a:ext cx="4572000" cy="1746396"/>
                    </a:xfrm>
                    <a:prstGeom prst="rect"/>
                  </pic:spPr>
                </pic:pic>
              </a:graphicData>
            </a:graphic>
          </wp:inline>
        </w:drawing>
      </w:r>
    </w:p>
    <w:p>
      <w:pPr>
        <w:spacing w:after="240"/>
        <w:jc w:val="center"/>
      </w:pPr>
      <w:r>
        <w:rPr>
          <w:rFonts w:ascii="Arial" w:hAnsi="Arial"/>
          <w:i/>
          <w:sz w:val="18"/>
        </w:rPr>
        <w:t>Figure 4: Model 5 business density moderation. Neither mode shows significant interaction.</w:t>
      </w:r>
    </w:p>
    <w:p>
      <w:r>
        <w:br w:type="page"/>
      </w:r>
    </w:p>
    <w:p>
      <w:pPr>
        <w:pStyle w:val="Heading1"/>
      </w:pPr>
      <w:r>
        <w:t>4. Strengths and Weaknesses of the Models</w:t>
      </w:r>
    </w:p>
    <w:p>
      <w:pPr>
        <w:pStyle w:val="Heading2"/>
      </w:pPr>
      <w:r>
        <w:t>4.1 Strengths</w:t>
      </w:r>
    </w:p>
    <w:p>
      <w:r>
        <w:rPr>
          <w:rFonts w:ascii="Arial" w:hAnsi="Arial"/>
          <w:b/>
          <w:sz w:val="22"/>
        </w:rPr>
        <w:t xml:space="preserve">Quasi-experimental design. </w:t>
      </w:r>
      <w:r>
        <w:rPr>
          <w:rFonts w:ascii="Arial" w:hAnsi="Arial"/>
          <w:sz w:val="22"/>
        </w:rPr>
        <w:t>By restricting to mixed-case hours where the same clock-hour is sometimes light and sometimes dark depending on season, the analysis approximates a natural experiment. This is substantially stronger than simply comparing daytime and night-time hours.</w:t>
      </w:r>
    </w:p>
    <w:p>
      <w:r>
        <w:rPr>
          <w:rFonts w:ascii="Arial" w:hAnsi="Arial"/>
          <w:b/>
          <w:sz w:val="22"/>
        </w:rPr>
        <w:t xml:space="preserve">Rich control structure. </w:t>
      </w:r>
      <w:r>
        <w:rPr>
          <w:rFonts w:ascii="Arial" w:hAnsi="Arial"/>
          <w:sz w:val="22"/>
        </w:rPr>
        <w:t>Hour, day-of-week, month, temperature, wind, rainfall, and autoregressive lag terms absorb major confounders. Sensor fixed effects control for all stable between-location differences. Cluster-robust standard errors account for within-sensor correlation.</w:t>
      </w:r>
    </w:p>
    <w:p>
      <w:r>
        <w:rPr>
          <w:rFonts w:ascii="Arial" w:hAnsi="Arial"/>
          <w:b/>
          <w:sz w:val="22"/>
        </w:rPr>
        <w:t xml:space="preserve">Appropriate distributional family. </w:t>
      </w:r>
      <w:r>
        <w:rPr>
          <w:rFonts w:ascii="Arial" w:hAnsi="Arial"/>
          <w:sz w:val="22"/>
        </w:rPr>
        <w:t>The Negative Binomial distribution handles overdispersion in count data. Pearson dispersion statistics close to 1.0 (0.88–1.09 across models) confirm adequate fit.</w:t>
      </w:r>
    </w:p>
    <w:p>
      <w:r>
        <w:rPr>
          <w:rFonts w:ascii="Arial" w:hAnsi="Arial"/>
          <w:b/>
          <w:sz w:val="22"/>
        </w:rPr>
        <w:t xml:space="preserve">High explanatory power. </w:t>
      </w:r>
      <w:r>
        <w:rPr>
          <w:rFonts w:ascii="Arial" w:hAnsi="Arial"/>
          <w:sz w:val="22"/>
        </w:rPr>
        <w:t>Craig-Uhler pseudo R² values are 0.85 for pedestrians and 0.71 for cyclists.</w:t>
      </w:r>
    </w:p>
    <w:p>
      <w:r>
        <w:rPr>
          <w:rFonts w:ascii="Arial" w:hAnsi="Arial"/>
          <w:b/>
          <w:sz w:val="22"/>
        </w:rPr>
        <w:t xml:space="preserve">Stability across specifications. </w:t>
      </w:r>
      <w:r>
        <w:rPr>
          <w:rFonts w:ascii="Arial" w:hAnsi="Arial"/>
          <w:sz w:val="22"/>
        </w:rPr>
        <w:t>The pedestrian darkness coefficient varies only between −0.39 and −0.42 on the log scale across five model specifications. This insensitivity to additional covariates is strong evidence against omitted variable bias from the variables tested.</w:t>
      </w:r>
    </w:p>
    <w:p>
      <w:r>
        <w:rPr>
          <w:rFonts w:ascii="Arial" w:hAnsi="Arial"/>
          <w:b/>
          <w:sz w:val="22"/>
        </w:rPr>
        <w:t xml:space="preserve">Large sample. </w:t>
      </w:r>
      <w:r>
        <w:rPr>
          <w:rFonts w:ascii="Arial" w:hAnsi="Arial"/>
          <w:sz w:val="22"/>
        </w:rPr>
        <w:t>70,836 sensor-hour observations across 37 sensors provide substantial statistical power.</w:t>
      </w:r>
    </w:p>
    <w:p>
      <w:pPr>
        <w:pStyle w:val="Heading2"/>
      </w:pPr>
      <w:r>
        <w:t>4.2 Weaknesses and Caveats</w:t>
      </w:r>
    </w:p>
    <w:p>
      <w:r>
        <w:rPr>
          <w:rFonts w:ascii="Arial" w:hAnsi="Arial"/>
          <w:b/>
          <w:sz w:val="22"/>
        </w:rPr>
        <w:t xml:space="preserve">Observational, not experimental. </w:t>
      </w:r>
      <w:r>
        <w:rPr>
          <w:rFonts w:ascii="Arial" w:hAnsi="Arial"/>
          <w:sz w:val="22"/>
        </w:rPr>
        <w:t>Despite the quasi-experimental design, unobserved seasonal confounders (school terms, cultural events, daylight saving adjustments) that correlate with darkness could contribute to the estimated effect.</w:t>
      </w:r>
    </w:p>
    <w:p>
      <w:r>
        <w:rPr>
          <w:rFonts w:ascii="Arial" w:hAnsi="Arial"/>
          <w:b/>
          <w:sz w:val="22"/>
        </w:rPr>
        <w:t xml:space="preserve">Default dispersion parameter. </w:t>
      </w:r>
      <w:r>
        <w:rPr>
          <w:rFonts w:ascii="Arial" w:hAnsi="Arial"/>
          <w:sz w:val="22"/>
        </w:rPr>
        <w:t>The Negative Binomial models use statsmodels’ default alpha = 1.0 rather than estimating it from data. Jointly estimating alpha could refine confidence intervals.</w:t>
      </w:r>
    </w:p>
    <w:p>
      <w:r>
        <w:rPr>
          <w:rFonts w:ascii="Arial" w:hAnsi="Arial"/>
          <w:b/>
          <w:sz w:val="22"/>
        </w:rPr>
        <w:t xml:space="preserve">Static moderators. </w:t>
      </w:r>
      <w:r>
        <w:rPr>
          <w:rFonts w:ascii="Arial" w:hAnsi="Arial"/>
          <w:sz w:val="22"/>
        </w:rPr>
        <w:t>CCTV, safety, business density, and streetlight counts are time-invariant and partially collinear with geography. This limits the ability to disentangle place-character effects from infrastructure effects.</w:t>
      </w:r>
    </w:p>
    <w:p>
      <w:r>
        <w:rPr>
          <w:rFonts w:ascii="Arial" w:hAnsi="Arial"/>
          <w:b/>
          <w:sz w:val="22"/>
        </w:rPr>
        <w:t xml:space="preserve">Ecological fallacy risk. </w:t>
      </w:r>
      <w:r>
        <w:rPr>
          <w:rFonts w:ascii="Arial" w:hAnsi="Arial"/>
          <w:sz w:val="22"/>
        </w:rPr>
        <w:t>The safety variable is measured at ward level, not at the individual level. The safety interaction should be interpreted as a place-context signal, not as evidence of direct individual-level causation.</w:t>
      </w:r>
    </w:p>
    <w:p>
      <w:r>
        <w:rPr>
          <w:rFonts w:ascii="Arial" w:hAnsi="Arial"/>
          <w:b/>
          <w:sz w:val="22"/>
        </w:rPr>
        <w:t xml:space="preserve">Streetlight interaction p = 0.12. </w:t>
      </w:r>
      <w:r>
        <w:rPr>
          <w:rFonts w:ascii="Arial" w:hAnsi="Arial"/>
          <w:sz w:val="22"/>
        </w:rPr>
        <w:t>While large in magnitude, the streetlight moderation for pedestrians does not meet conventional 5% significance. With only 37 sensors, power for this interaction is limited. The finding is strongly suggestive rather than conclusive.</w:t>
      </w:r>
    </w:p>
    <w:p>
      <w:r>
        <w:rPr>
          <w:rFonts w:ascii="Arial" w:hAnsi="Arial"/>
          <w:b/>
          <w:sz w:val="22"/>
        </w:rPr>
        <w:t xml:space="preserve">No causal mechanism test. </w:t>
      </w:r>
      <w:r>
        <w:rPr>
          <w:rFonts w:ascii="Arial" w:hAnsi="Arial"/>
          <w:sz w:val="22"/>
        </w:rPr>
        <w:t>The models show associations but do not identify whether darkness operates through perceived safety, visibility, route legibility, or other channels. Different mechanisms imply different interventions.</w:t>
      </w:r>
    </w:p>
    <w:p>
      <w:r>
        <w:rPr>
          <w:rFonts w:ascii="Arial" w:hAnsi="Arial"/>
          <w:b/>
          <w:sz w:val="22"/>
        </w:rPr>
        <w:t xml:space="preserve">Mixed-hour restriction. </w:t>
      </w:r>
      <w:r>
        <w:rPr>
          <w:rFonts w:ascii="Arial" w:hAnsi="Arial"/>
          <w:sz w:val="22"/>
        </w:rPr>
        <w:t>Findings apply to the 05:00–06:59 and 17:00–20:59 window. The darkness effect during late-night hours may differ but cannot be identified with this design.</w:t>
      </w:r>
    </w:p>
    <w:p>
      <w:r>
        <w:br w:type="page"/>
      </w:r>
    </w:p>
    <w:p>
      <w:pPr>
        <w:pStyle w:val="Heading1"/>
      </w:pPr>
      <w:r>
        <w:t>5. Statistical Versus Practical Significance</w:t>
      </w:r>
    </w:p>
    <w:p>
      <w:r>
        <w:t>A central distinction for policy interpretation is between statistical significance (can we be confident the effect is not zero?) and practical significance (is the effect large enough to matter for resource allocation?).</w:t>
      </w:r>
    </w:p>
    <w:p>
      <w:r>
        <w:rPr>
          <w:rFonts w:ascii="Arial" w:hAnsi="Arial"/>
          <w:b/>
          <w:sz w:val="22"/>
        </w:rPr>
        <w:t xml:space="preserve">Pedestrian darkness effect: both statistically and practically significant. </w:t>
      </w:r>
      <w:r>
        <w:rPr>
          <w:rFonts w:ascii="Arial" w:hAnsi="Arial"/>
          <w:sz w:val="22"/>
        </w:rPr>
        <w:t>The −33% estimate carries p-values below 10⁻⁹ in every specification. In practical terms, a one-third reduction during peak commuter hours represents a substantial loss of walkability. If Bristol’s baseline evening pedestrian volume across its sensor network is approximately 4,300 pedestrians per hour in daylight, a 33% darkness penalty implies roughly 1,400 fewer pedestrians per hour during darkness. Over a typical winter weekday with 4 dark commuter hours, that is approximately 5,600 lost pedestrian-trips per day across the network. Annually, across approximately 130 winter weekdays, the implied loss is on the order of 700,000 pedestrian-trips.</w:t>
      </w:r>
    </w:p>
    <w:p>
      <w:r>
        <w:rPr>
          <w:rFonts w:ascii="Arial" w:hAnsi="Arial"/>
          <w:b/>
          <w:sz w:val="22"/>
        </w:rPr>
        <w:t xml:space="preserve">Cyclist darkness effect (pooled): statistically non-significant, practically ambiguous. </w:t>
      </w:r>
      <w:r>
        <w:rPr>
          <w:rFonts w:ascii="Arial" w:hAnsi="Arial"/>
          <w:sz w:val="22"/>
        </w:rPr>
        <w:t>The −4% pooled estimate with p &gt; 0.35 means we cannot reject the null. However, the confidence interval spans roughly −14% to +6%, so a meaningfully large effect in either direction remains plausible.</w:t>
      </w:r>
    </w:p>
    <w:p>
      <w:r>
        <w:rPr>
          <w:rFonts w:ascii="Arial" w:hAnsi="Arial"/>
          <w:b/>
          <w:sz w:val="22"/>
        </w:rPr>
        <w:t xml:space="preserve">Cyclist cluster effects: practically significant where they exist. </w:t>
      </w:r>
      <w:r>
        <w:rPr>
          <w:rFonts w:ascii="Arial" w:hAnsi="Arial"/>
          <w:sz w:val="22"/>
        </w:rPr>
        <w:t>The −20.5% Central effect and the significant Central-versus-East contrast (p = 0.045) are practically meaningful for corridor-level planning. In Central Bristol, a 20–25% darkness penalty represents a material reduction in cycling activity that warrants targeted investigation.</w:t>
      </w:r>
    </w:p>
    <w:p>
      <w:r>
        <w:rPr>
          <w:rFonts w:ascii="Arial" w:hAnsi="Arial"/>
          <w:b/>
          <w:sz w:val="22"/>
        </w:rPr>
        <w:t xml:space="preserve">Streetlight moderation: practically significant, statistically suggestive. </w:t>
      </w:r>
      <w:r>
        <w:rPr>
          <w:rFonts w:ascii="Arial" w:hAnsi="Arial"/>
          <w:sz w:val="22"/>
        </w:rPr>
        <w:t>The 27 percentage-point swing between low and high streetlight density (−46% to −19%) is large enough to transform a corridor’s after-dark walkability. Even at p = 0.12, the practical magnitude supports prioritising streetlight upgrades for pilot evaluation.</w:t>
      </w:r>
    </w:p>
    <w:p>
      <w:r>
        <w:br w:type="page"/>
      </w:r>
    </w:p>
    <w:p>
      <w:pPr>
        <w:pStyle w:val="Heading1"/>
      </w:pPr>
      <w:r>
        <w:t>6. Policy Suggestions in Context of Bristol’s Environmental Targets</w:t>
      </w:r>
    </w:p>
    <w:p>
      <w:r>
        <w:t>Bristol City Council declared a climate emergency in November 2018 and adopted the goal of becoming carbon neutral by 2030. The One City Climate Strategy sets an ambitious transport modal share target: 55% of all journeys by active travel (walking and cycling), up from approximately 30% today, with no more than 20% by car. A third of Bristol’s direct emissions come from transport. Simultaneously, the Council is investing approximately £12 million in converting 29,000 streetlights to LED, with a central management system enabling adaptive dimming and brightening.</w:t>
      </w:r>
    </w:p>
    <w:p>
      <w:r>
        <w:t>If darkness deters one-third of potential pedestrians during peak transition hours, the after-dark walking environment is a structural barrier to achieving the 55% active travel modal share, particularly in winter.</w:t>
      </w:r>
    </w:p>
    <w:p>
      <w:pPr>
        <w:pStyle w:val="Heading2"/>
      </w:pPr>
      <w:r>
        <w:t>6.1 Adaptive Brightening of Walking Corridors via LED CMS</w:t>
      </w:r>
    </w:p>
    <w:p>
      <w:r>
        <w:t>The £12m LED upgrade programme’s central management system allows adaptive brightening of specific corridors during the 05:00–07:00 and 17:00–21:00 transition windows. This need not increase total energy consumption if offset by deeper dimming during low-footfall late-night hours. The Model 5 streetlight evidence suggests moving a corridor from below-average to above-average provision could recover up to 27 percentage points of the pedestrian darkness penalty.</w:t>
      </w:r>
    </w:p>
    <w:p>
      <w:pPr>
        <w:pStyle w:val="Heading2"/>
      </w:pPr>
      <w:r>
        <w:t>6.2 After-Dark Legibility Audit of LCWIP Corridors</w:t>
      </w:r>
    </w:p>
    <w:p>
      <w:r>
        <w:t>The LCWIP corridors—including Concorde Way, Filwood Quietway, Malago Greenway, and Old Market Quietway—should be audited for after-dark legibility. Low-cost interventions such as reflective markings, illuminated crossing points, and vegetation management can supplement the LED upgrade.</w:t>
      </w:r>
    </w:p>
    <w:p>
      <w:pPr>
        <w:pStyle w:val="Heading2"/>
      </w:pPr>
      <w:r>
        <w:t>6.3 Place-Based Cycling Corridor Investigation</w:t>
      </w:r>
    </w:p>
    <w:p>
      <w:r>
        <w:t>The strong Central cluster effect (−20.5% to −25.3%) points to specific urban corridors where cyclists are substantially deterred. Targeted investigation of these routes—combining sensor data with infrastructure audits—will be more cost-effective than a blanket city-wide programme.</w:t>
      </w:r>
    </w:p>
    <w:p>
      <w:pPr>
        <w:pStyle w:val="Heading2"/>
      </w:pPr>
      <w:r>
        <w:t>6.4 Deprioritise CCTV as Active Travel Intervention</w:t>
      </w:r>
    </w:p>
    <w:p>
      <w:r>
        <w:t>The analysis provides no evidence that CCTV density moderates the darkness effect for either mode. While CCTV may serve other public safety objectives, it should not be the primary instrument for improving active travel uptake after dark.</w:t>
      </w:r>
    </w:p>
    <w:p>
      <w:pPr>
        <w:pStyle w:val="Heading2"/>
      </w:pPr>
      <w:r>
        <w:t>6.5 Seasonal Smart-Lighting Programme</w:t>
      </w:r>
    </w:p>
    <w:p>
      <w:r>
        <w:t>Between October and March, when most commuter hours fall in darkness, the LED CMS could automatically increase illumination on priority walking corridors during transition hours. This “smart lighting” approach aligns with both the carbon reduction target and the 55% active travel modal share target.</w:t>
      </w:r>
    </w:p>
    <w:p>
      <w:r>
        <w:br w:type="page"/>
      </w:r>
    </w:p>
    <w:p>
      <w:pPr>
        <w:pStyle w:val="Heading1"/>
      </w:pPr>
      <w:r>
        <w:t>7. Investment and ROI Equation from GLM Coefficients</w:t>
      </w:r>
    </w:p>
    <w:p>
      <w:pPr>
        <w:pStyle w:val="Heading2"/>
      </w:pPr>
      <w:r>
        <w:t>7.1 The Prediction Equation</w:t>
      </w:r>
    </w:p>
    <w:p>
      <w:r>
        <w:t>The Negative Binomial GLM with log link yields a prediction equation of the form:</w:t>
      </w:r>
    </w:p>
    <w:p>
      <w:pPr>
        <w:spacing w:before="200" w:after="200"/>
        <w:jc w:val="center"/>
      </w:pPr>
      <w:r>
        <w:rPr>
          <w:rFonts w:ascii="Courier New" w:hAnsi="Courier New"/>
          <w:sz w:val="20"/>
        </w:rPr>
        <w:t>E[Count] = exp(β0 + β_Dark × Dark + β_DxSL × Dark × streetlights_z + β_DxBiz × Dark × businesses_z + [controls])</w:t>
      </w:r>
    </w:p>
    <w:p>
      <w:r>
        <w:t>From Model 5, the key pedestrian coefficients are:</w:t>
      </w:r>
    </w:p>
    <w:tbl>
      <w:tblPr>
        <w:tblW w:type="auto" w:w="0"/>
        <w:jc w:val="center"/>
        <w:tblLook w:firstColumn="1" w:firstRow="1" w:lastColumn="0" w:lastRow="0" w:noHBand="0" w:noVBand="1" w:val="04A0"/>
      </w:tblPr>
      <w:tblGrid>
        <w:gridCol w:w="2880"/>
        <w:gridCol w:w="2880"/>
        <w:gridCol w:w="2880"/>
      </w:tblGrid>
      <w:tr>
        <w:tc>
          <w:tcPr>
            <w:tcW w:type="dxa" w:w="4320"/>
            <w:shd w:fill="1B4F72"/>
          </w:tcPr>
          <w:p>
            <w:r/>
            <w:r>
              <w:rPr>
                <w:rFonts w:ascii="Arial" w:hAnsi="Arial"/>
                <w:b/>
                <w:color w:val="FFFFFF"/>
                <w:sz w:val="18"/>
              </w:rPr>
              <w:t>Parameter</w:t>
            </w:r>
          </w:p>
        </w:tc>
        <w:tc>
          <w:tcPr>
            <w:tcW w:type="dxa" w:w="2160"/>
            <w:shd w:fill="1B4F72"/>
          </w:tcPr>
          <w:p>
            <w:r/>
            <w:r>
              <w:rPr>
                <w:rFonts w:ascii="Arial" w:hAnsi="Arial"/>
                <w:b/>
                <w:color w:val="FFFFFF"/>
                <w:sz w:val="18"/>
              </w:rPr>
              <w:t>Coefficient (β)</w:t>
            </w:r>
          </w:p>
        </w:tc>
        <w:tc>
          <w:tcPr>
            <w:tcW w:type="dxa" w:w="2160"/>
            <w:shd w:fill="1B4F72"/>
          </w:tcPr>
          <w:p>
            <w:r/>
            <w:r>
              <w:rPr>
                <w:rFonts w:ascii="Arial" w:hAnsi="Arial"/>
                <w:b/>
                <w:color w:val="FFFFFF"/>
                <w:sz w:val="18"/>
              </w:rPr>
              <w:t>p-value</w:t>
            </w:r>
          </w:p>
        </w:tc>
      </w:tr>
      <w:tr>
        <w:tc>
          <w:tcPr>
            <w:tcW w:type="dxa" w:w="4320"/>
            <w:shd w:fill="F2F3F4"/>
          </w:tcPr>
          <w:p>
            <w:r/>
            <w:r>
              <w:rPr>
                <w:rFonts w:ascii="Arial" w:hAnsi="Arial"/>
                <w:sz w:val="18"/>
              </w:rPr>
              <w:t>Dark (baseline, at mean context)</w:t>
            </w:r>
          </w:p>
        </w:tc>
        <w:tc>
          <w:tcPr>
            <w:tcW w:type="dxa" w:w="2160"/>
            <w:shd w:fill="F2F3F4"/>
          </w:tcPr>
          <w:p>
            <w:r/>
            <w:r>
              <w:rPr>
                <w:rFonts w:ascii="Arial" w:hAnsi="Arial"/>
                <w:sz w:val="18"/>
              </w:rPr>
              <w:t>−0.4119</w:t>
            </w:r>
          </w:p>
        </w:tc>
        <w:tc>
          <w:tcPr>
            <w:tcW w:type="dxa" w:w="2160"/>
            <w:shd w:fill="F2F3F4"/>
          </w:tcPr>
          <w:p>
            <w:r/>
            <w:r>
              <w:rPr>
                <w:rFonts w:ascii="Arial" w:hAnsi="Arial"/>
                <w:sz w:val="18"/>
              </w:rPr>
              <w:t>1.33 × 10⁻⁸</w:t>
            </w:r>
          </w:p>
        </w:tc>
      </w:tr>
      <w:tr>
        <w:tc>
          <w:tcPr>
            <w:tcW w:type="dxa" w:w="4320"/>
          </w:tcPr>
          <w:p>
            <w:r/>
            <w:r>
              <w:rPr>
                <w:rFonts w:ascii="Arial" w:hAnsi="Arial"/>
                <w:sz w:val="18"/>
              </w:rPr>
              <w:t>Dark × streetlights_z</w:t>
            </w:r>
          </w:p>
        </w:tc>
        <w:tc>
          <w:tcPr>
            <w:tcW w:type="dxa" w:w="2160"/>
          </w:tcPr>
          <w:p>
            <w:r/>
            <w:r>
              <w:rPr>
                <w:rFonts w:ascii="Arial" w:hAnsi="Arial"/>
                <w:sz w:val="18"/>
              </w:rPr>
              <w:t>+0.2009</w:t>
            </w:r>
          </w:p>
        </w:tc>
        <w:tc>
          <w:tcPr>
            <w:tcW w:type="dxa" w:w="2160"/>
          </w:tcPr>
          <w:p>
            <w:r/>
            <w:r>
              <w:rPr>
                <w:rFonts w:ascii="Arial" w:hAnsi="Arial"/>
                <w:sz w:val="18"/>
              </w:rPr>
              <w:t>0.118</w:t>
            </w:r>
          </w:p>
        </w:tc>
      </w:tr>
      <w:tr>
        <w:tc>
          <w:tcPr>
            <w:tcW w:type="dxa" w:w="4320"/>
            <w:shd w:fill="F2F3F4"/>
          </w:tcPr>
          <w:p>
            <w:r/>
            <w:r>
              <w:rPr>
                <w:rFonts w:ascii="Arial" w:hAnsi="Arial"/>
                <w:sz w:val="18"/>
              </w:rPr>
              <w:t>Dark × businesses_z</w:t>
            </w:r>
          </w:p>
        </w:tc>
        <w:tc>
          <w:tcPr>
            <w:tcW w:type="dxa" w:w="2160"/>
            <w:shd w:fill="F2F3F4"/>
          </w:tcPr>
          <w:p>
            <w:r/>
            <w:r>
              <w:rPr>
                <w:rFonts w:ascii="Arial" w:hAnsi="Arial"/>
                <w:sz w:val="18"/>
              </w:rPr>
              <w:t>−0.0646</w:t>
            </w:r>
          </w:p>
        </w:tc>
        <w:tc>
          <w:tcPr>
            <w:tcW w:type="dxa" w:w="2160"/>
            <w:shd w:fill="F2F3F4"/>
          </w:tcPr>
          <w:p>
            <w:r/>
            <w:r>
              <w:rPr>
                <w:rFonts w:ascii="Arial" w:hAnsi="Arial"/>
                <w:sz w:val="18"/>
              </w:rPr>
              <w:t>0.597</w:t>
            </w:r>
          </w:p>
        </w:tc>
      </w:tr>
    </w:tbl>
    <w:p>
      <w:r>
        <w:br/>
        <w:t>The percent change in pedestrian counts during darkness at a given streetlight level:</w:t>
      </w:r>
    </w:p>
    <w:p>
      <w:pPr>
        <w:spacing w:before="200" w:after="200"/>
        <w:jc w:val="center"/>
      </w:pPr>
      <w:r>
        <w:rPr>
          <w:rFonts w:ascii="Courier New" w:hAnsi="Courier New"/>
          <w:sz w:val="20"/>
        </w:rPr>
        <w:t>%Δ_ped = 100 × { exp(−0.4119 + 0.2009 × streetlights_z) − 1 }</w:t>
      </w:r>
    </w:p>
    <w:p>
      <w:r>
        <w:t>where streetlights_z is the z-standardised streetlight density.</w:t>
      </w:r>
    </w:p>
    <w:p>
      <w:pPr>
        <w:pStyle w:val="Heading2"/>
      </w:pPr>
      <w:r>
        <w:t>7.2 Translating to Investment Scenarios</w:t>
      </w:r>
    </w:p>
    <w:p>
      <w:r>
        <w:t>To use this equation for ROI estimation, the Council needs three inputs:</w:t>
      </w:r>
    </w:p>
    <w:p>
      <w:r>
        <w:rPr>
          <w:rFonts w:ascii="Arial" w:hAnsi="Arial"/>
          <w:b/>
          <w:sz w:val="22"/>
        </w:rPr>
        <w:t xml:space="preserve">(a) Baseline daylight pedestrian volume </w:t>
      </w:r>
      <w:r>
        <w:rPr>
          <w:rFonts w:ascii="Arial" w:hAnsi="Arial"/>
          <w:sz w:val="22"/>
        </w:rPr>
        <w:t>for the corridor (V_daylight), read from sensor data or manual counts.</w:t>
      </w:r>
    </w:p>
    <w:p>
      <w:r>
        <w:rPr>
          <w:rFonts w:ascii="Arial" w:hAnsi="Arial"/>
          <w:b/>
          <w:sz w:val="22"/>
        </w:rPr>
        <w:t xml:space="preserve">(b) Current streetlight z-score. </w:t>
      </w:r>
      <w:r>
        <w:rPr>
          <w:rFonts w:ascii="Arial" w:hAnsi="Arial"/>
          <w:sz w:val="22"/>
        </w:rPr>
        <w:t>If the corridor has S streetlights within 50m and the network mean is μ_SL with SD σ_SL, then z_current = (S − μ_SL) / σ_SL.</w:t>
      </w:r>
    </w:p>
    <w:p>
      <w:r>
        <w:rPr>
          <w:rFonts w:ascii="Arial" w:hAnsi="Arial"/>
          <w:b/>
          <w:sz w:val="22"/>
        </w:rPr>
        <w:t xml:space="preserve">(c) Post-intervention z-score. </w:t>
      </w:r>
      <w:r>
        <w:rPr>
          <w:rFonts w:ascii="Arial" w:hAnsi="Arial"/>
          <w:sz w:val="22"/>
        </w:rPr>
        <w:t>If ΔS streetlights are added, z_new = (S + ΔS − μ_SL) / σ_SL.</w:t>
      </w:r>
    </w:p>
    <w:p>
      <w:r>
        <w:t>The predicted pedestrian recovery per hour during darkness is:</w:t>
      </w:r>
    </w:p>
    <w:p>
      <w:pPr>
        <w:spacing w:before="200" w:after="200"/>
        <w:jc w:val="center"/>
      </w:pPr>
      <w:r>
        <w:rPr>
          <w:rFonts w:ascii="Courier New" w:hAnsi="Courier New"/>
          <w:sz w:val="20"/>
        </w:rPr>
        <w:t>Recovered_ped/hr = V_daylight × { exp(−0.4119 + 0.2009 × z_new) − exp(−0.4119 + 0.2009 × z_current) }</w:t>
      </w:r>
    </w:p>
    <w:p>
      <w:pPr>
        <w:pStyle w:val="Heading2"/>
      </w:pPr>
      <w:r>
        <w:t>7.3 Worked Example</w:t>
      </w:r>
    </w:p>
    <w:p>
      <w:r>
        <w:t>Consider a corridor with daylight hourly pedestrian volume of 500, currently at the 25th percentile of streetlight density (z_current = −0.67), targeted for upgrade to the 75th percentile (z_new = +0.67).</w:t>
      </w:r>
    </w:p>
    <w:p>
      <w:r>
        <w:t>Current darkness count: 500 × exp(−0.4119 + 0.2009 × (−0.67)) = 500 × exp(−0.5465) = 500 × 0.579 = 289 pedestrians/hour.</w:t>
      </w:r>
    </w:p>
    <w:p>
      <w:r>
        <w:t>Post-upgrade darkness count: 500 × exp(−0.4119 + 0.2009 × 0.67) = 500 × exp(−0.2773) = 500 × 0.758 = 379 pedestrians/hour.</w:t>
      </w:r>
    </w:p>
    <w:p>
      <w:r>
        <w:rPr>
          <w:rFonts w:ascii="Arial" w:hAnsi="Arial"/>
          <w:b/>
          <w:sz w:val="22"/>
        </w:rPr>
        <w:t xml:space="preserve">Recovery: 90 additional pedestrians per hour. </w:t>
      </w:r>
      <w:r>
        <w:rPr>
          <w:rFonts w:ascii="Arial" w:hAnsi="Arial"/>
          <w:sz w:val="22"/>
        </w:rPr>
        <w:t>Over 4 dark commuter hours per winter weekday and 130 winter weekdays, that is approximately 46,800 additional pedestrian-trips per winter season on this single corridor.</w:t>
      </w:r>
    </w:p>
    <w:p>
      <w:pPr>
        <w:pStyle w:val="Heading2"/>
      </w:pPr>
      <w:r>
        <w:t>7.4 ROI Framework</w:t>
      </w:r>
    </w:p>
    <w:p>
      <w:pPr>
        <w:spacing w:before="200" w:after="200"/>
        <w:jc w:val="center"/>
      </w:pPr>
      <w:r>
        <w:rPr>
          <w:rFonts w:ascii="Courier New" w:hAnsi="Courier New"/>
          <w:sz w:val="20"/>
        </w:rPr>
        <w:t>ROI = (Recovered_annual_trips × Value_per_trip) / Investment_cost</w:t>
      </w:r>
    </w:p>
    <w:p>
      <w:r>
        <w:t>The Department for Transport’s TAG databook values walking trips at approximately £1.50–£3.00 per trip in health, congestion, and environmental benefits. Using the conservative £1.50 estimate: annual benefit = 46,800 × £1.50 = £70,200 for a single corridor. If the streetlight upgrade costs £150,000, the simple payback period is approximately 2.1 years—before counting the LED energy savings the Council estimates at £2 million per year network-wide.</w:t>
      </w:r>
    </w:p>
    <w:p>
      <w:r>
        <w:t>For cyclists, the equivalent equation from Model 5 is:</w:t>
      </w:r>
    </w:p>
    <w:p>
      <w:pPr>
        <w:spacing w:before="200" w:after="200"/>
        <w:jc w:val="center"/>
      </w:pPr>
      <w:r>
        <w:rPr>
          <w:rFonts w:ascii="Courier New" w:hAnsi="Courier New"/>
          <w:sz w:val="20"/>
        </w:rPr>
        <w:t>%Δ_cyc = 100 × { exp(−0.0377 + 0.0144 × streetlights_z) − 1 }</w:t>
      </w:r>
    </w:p>
    <w:p>
      <w:r>
        <w:t>However, since neither the baseline nor the interaction term is significant for cyclists, this equation should not be used for cyclist ROI projections without further corridor-specific evidence.</w:t>
      </w:r>
    </w:p>
    <w:p>
      <w:r>
        <w:br w:type="page"/>
      </w:r>
    </w:p>
    <w:p>
      <w:pPr>
        <w:pStyle w:val="Heading1"/>
      </w:pPr>
      <w:r>
        <w:t>8. Summary of Recommendations</w:t>
      </w:r>
    </w:p>
    <w:tbl>
      <w:tblPr>
        <w:tblW w:type="auto" w:w="0"/>
        <w:jc w:val="center"/>
        <w:tblLook w:firstColumn="1" w:firstRow="1" w:lastColumn="0" w:lastRow="0" w:noHBand="0" w:noVBand="1" w:val="04A0"/>
      </w:tblPr>
      <w:tblGrid>
        <w:gridCol w:w="2160"/>
        <w:gridCol w:w="2160"/>
        <w:gridCol w:w="2160"/>
        <w:gridCol w:w="2160"/>
      </w:tblGrid>
      <w:tr>
        <w:tc>
          <w:tcPr>
            <w:tcW w:type="dxa" w:w="432"/>
            <w:shd w:fill="1B4F72"/>
          </w:tcPr>
          <w:p>
            <w:r/>
            <w:r>
              <w:rPr>
                <w:rFonts w:ascii="Arial" w:hAnsi="Arial"/>
                <w:b/>
                <w:color w:val="FFFFFF"/>
                <w:sz w:val="18"/>
              </w:rPr>
              <w:t>#</w:t>
            </w:r>
          </w:p>
        </w:tc>
        <w:tc>
          <w:tcPr>
            <w:tcW w:type="dxa" w:w="3168"/>
            <w:shd w:fill="1B4F72"/>
          </w:tcPr>
          <w:p>
            <w:r/>
            <w:r>
              <w:rPr>
                <w:rFonts w:ascii="Arial" w:hAnsi="Arial"/>
                <w:b/>
                <w:color w:val="FFFFFF"/>
                <w:sz w:val="18"/>
              </w:rPr>
              <w:t>Recommendation</w:t>
            </w:r>
          </w:p>
        </w:tc>
        <w:tc>
          <w:tcPr>
            <w:tcW w:type="dxa" w:w="2880"/>
            <w:shd w:fill="1B4F72"/>
          </w:tcPr>
          <w:p>
            <w:r/>
            <w:r>
              <w:rPr>
                <w:rFonts w:ascii="Arial" w:hAnsi="Arial"/>
                <w:b/>
                <w:color w:val="FFFFFF"/>
                <w:sz w:val="18"/>
              </w:rPr>
              <w:t>Evidence Base</w:t>
            </w:r>
          </w:p>
        </w:tc>
        <w:tc>
          <w:tcPr>
            <w:tcW w:type="dxa" w:w="2160"/>
            <w:shd w:fill="1B4F72"/>
          </w:tcPr>
          <w:p>
            <w:r/>
            <w:r>
              <w:rPr>
                <w:rFonts w:ascii="Arial" w:hAnsi="Arial"/>
                <w:b/>
                <w:color w:val="FFFFFF"/>
                <w:sz w:val="18"/>
              </w:rPr>
              <w:t>Bristol Target</w:t>
            </w:r>
          </w:p>
        </w:tc>
      </w:tr>
      <w:tr>
        <w:tc>
          <w:tcPr>
            <w:tcW w:type="dxa" w:w="432"/>
            <w:shd w:fill="F2F3F4"/>
          </w:tcPr>
          <w:p>
            <w:r/>
            <w:r>
              <w:rPr>
                <w:rFonts w:ascii="Arial" w:hAnsi="Arial"/>
                <w:sz w:val="18"/>
              </w:rPr>
              <w:t>1</w:t>
            </w:r>
          </w:p>
        </w:tc>
        <w:tc>
          <w:tcPr>
            <w:tcW w:type="dxa" w:w="3168"/>
            <w:shd w:fill="F2F3F4"/>
          </w:tcPr>
          <w:p>
            <w:r/>
            <w:r>
              <w:rPr>
                <w:rFonts w:ascii="Arial" w:hAnsi="Arial"/>
                <w:sz w:val="18"/>
              </w:rPr>
              <w:t>Adaptive brightening of walking corridors via LED CMS</w:t>
            </w:r>
          </w:p>
        </w:tc>
        <w:tc>
          <w:tcPr>
            <w:tcW w:type="dxa" w:w="2880"/>
            <w:shd w:fill="F2F3F4"/>
          </w:tcPr>
          <w:p>
            <w:r/>
            <w:r>
              <w:rPr>
                <w:rFonts w:ascii="Arial" w:hAnsi="Arial"/>
                <w:sz w:val="18"/>
              </w:rPr>
              <w:t>Model 5: 27pp swing in darkness penalty</w:t>
            </w:r>
          </w:p>
        </w:tc>
        <w:tc>
          <w:tcPr>
            <w:tcW w:type="dxa" w:w="2160"/>
            <w:shd w:fill="F2F3F4"/>
          </w:tcPr>
          <w:p>
            <w:r/>
            <w:r>
              <w:rPr>
                <w:rFonts w:ascii="Arial" w:hAnsi="Arial"/>
                <w:sz w:val="18"/>
              </w:rPr>
              <w:t>55% active travel; net zero 2030</w:t>
            </w:r>
          </w:p>
        </w:tc>
      </w:tr>
      <w:tr>
        <w:tc>
          <w:tcPr>
            <w:tcW w:type="dxa" w:w="432"/>
          </w:tcPr>
          <w:p>
            <w:r/>
            <w:r>
              <w:rPr>
                <w:rFonts w:ascii="Arial" w:hAnsi="Arial"/>
                <w:sz w:val="18"/>
              </w:rPr>
              <w:t>2</w:t>
            </w:r>
          </w:p>
        </w:tc>
        <w:tc>
          <w:tcPr>
            <w:tcW w:type="dxa" w:w="3168"/>
          </w:tcPr>
          <w:p>
            <w:r/>
            <w:r>
              <w:rPr>
                <w:rFonts w:ascii="Arial" w:hAnsi="Arial"/>
                <w:sz w:val="18"/>
              </w:rPr>
              <w:t>After-dark legibility audit of LCWIP corridors</w:t>
            </w:r>
          </w:p>
        </w:tc>
        <w:tc>
          <w:tcPr>
            <w:tcW w:type="dxa" w:w="2880"/>
          </w:tcPr>
          <w:p>
            <w:r/>
            <w:r>
              <w:rPr>
                <w:rFonts w:ascii="Arial" w:hAnsi="Arial"/>
                <w:sz w:val="18"/>
              </w:rPr>
              <w:t>33% ped penalty at 36/37 sensors</w:t>
            </w:r>
          </w:p>
        </w:tc>
        <w:tc>
          <w:tcPr>
            <w:tcW w:type="dxa" w:w="2160"/>
          </w:tcPr>
          <w:p>
            <w:r/>
            <w:r>
              <w:rPr>
                <w:rFonts w:ascii="Arial" w:hAnsi="Arial"/>
                <w:sz w:val="18"/>
              </w:rPr>
              <w:t>55% active travel; LCWIP delivery</w:t>
            </w:r>
          </w:p>
        </w:tc>
      </w:tr>
      <w:tr>
        <w:tc>
          <w:tcPr>
            <w:tcW w:type="dxa" w:w="432"/>
            <w:shd w:fill="F2F3F4"/>
          </w:tcPr>
          <w:p>
            <w:r/>
            <w:r>
              <w:rPr>
                <w:rFonts w:ascii="Arial" w:hAnsi="Arial"/>
                <w:sz w:val="18"/>
              </w:rPr>
              <w:t>3</w:t>
            </w:r>
          </w:p>
        </w:tc>
        <w:tc>
          <w:tcPr>
            <w:tcW w:type="dxa" w:w="3168"/>
            <w:shd w:fill="F2F3F4"/>
          </w:tcPr>
          <w:p>
            <w:r/>
            <w:r>
              <w:rPr>
                <w:rFonts w:ascii="Arial" w:hAnsi="Arial"/>
                <w:sz w:val="18"/>
              </w:rPr>
              <w:t>Place-based cycling investigation in Central Bristol</w:t>
            </w:r>
          </w:p>
        </w:tc>
        <w:tc>
          <w:tcPr>
            <w:tcW w:type="dxa" w:w="2880"/>
            <w:shd w:fill="F2F3F4"/>
          </w:tcPr>
          <w:p>
            <w:r/>
            <w:r>
              <w:rPr>
                <w:rFonts w:ascii="Arial" w:hAnsi="Arial"/>
                <w:sz w:val="18"/>
              </w:rPr>
              <w:t>Model 2: −20.5% Central vs −1.6% East</w:t>
            </w:r>
          </w:p>
        </w:tc>
        <w:tc>
          <w:tcPr>
            <w:tcW w:type="dxa" w:w="2160"/>
            <w:shd w:fill="F2F3F4"/>
          </w:tcPr>
          <w:p>
            <w:r/>
            <w:r>
              <w:rPr>
                <w:rFonts w:ascii="Arial" w:hAnsi="Arial"/>
                <w:sz w:val="18"/>
              </w:rPr>
              <w:t>10% cycling modal share</w:t>
            </w:r>
          </w:p>
        </w:tc>
      </w:tr>
      <w:tr>
        <w:tc>
          <w:tcPr>
            <w:tcW w:type="dxa" w:w="432"/>
          </w:tcPr>
          <w:p>
            <w:r/>
            <w:r>
              <w:rPr>
                <w:rFonts w:ascii="Arial" w:hAnsi="Arial"/>
                <w:sz w:val="18"/>
              </w:rPr>
              <w:t>4</w:t>
            </w:r>
          </w:p>
        </w:tc>
        <w:tc>
          <w:tcPr>
            <w:tcW w:type="dxa" w:w="3168"/>
          </w:tcPr>
          <w:p>
            <w:r/>
            <w:r>
              <w:rPr>
                <w:rFonts w:ascii="Arial" w:hAnsi="Arial"/>
                <w:sz w:val="18"/>
              </w:rPr>
              <w:t>Deprioritise CCTV as active travel intervention</w:t>
            </w:r>
          </w:p>
        </w:tc>
        <w:tc>
          <w:tcPr>
            <w:tcW w:type="dxa" w:w="2880"/>
          </w:tcPr>
          <w:p>
            <w:r/>
            <w:r>
              <w:rPr>
                <w:rFonts w:ascii="Arial" w:hAnsi="Arial"/>
                <w:sz w:val="18"/>
              </w:rPr>
              <w:t>Model 3: near-zero interaction, both modes</w:t>
            </w:r>
          </w:p>
        </w:tc>
        <w:tc>
          <w:tcPr>
            <w:tcW w:type="dxa" w:w="2160"/>
          </w:tcPr>
          <w:p>
            <w:r/>
            <w:r>
              <w:rPr>
                <w:rFonts w:ascii="Arial" w:hAnsi="Arial"/>
                <w:sz w:val="18"/>
              </w:rPr>
              <w:t>Cost-effective resource allocation</w:t>
            </w:r>
          </w:p>
        </w:tc>
      </w:tr>
      <w:tr>
        <w:tc>
          <w:tcPr>
            <w:tcW w:type="dxa" w:w="432"/>
            <w:shd w:fill="F2F3F4"/>
          </w:tcPr>
          <w:p>
            <w:r/>
            <w:r>
              <w:rPr>
                <w:rFonts w:ascii="Arial" w:hAnsi="Arial"/>
                <w:sz w:val="18"/>
              </w:rPr>
              <w:t>5</w:t>
            </w:r>
          </w:p>
        </w:tc>
        <w:tc>
          <w:tcPr>
            <w:tcW w:type="dxa" w:w="3168"/>
            <w:shd w:fill="F2F3F4"/>
          </w:tcPr>
          <w:p>
            <w:r/>
            <w:r>
              <w:rPr>
                <w:rFonts w:ascii="Arial" w:hAnsi="Arial"/>
                <w:sz w:val="18"/>
              </w:rPr>
              <w:t>Seasonal smart-lighting via LED CMS</w:t>
            </w:r>
          </w:p>
        </w:tc>
        <w:tc>
          <w:tcPr>
            <w:tcW w:type="dxa" w:w="2880"/>
            <w:shd w:fill="F2F3F4"/>
          </w:tcPr>
          <w:p>
            <w:r/>
            <w:r>
              <w:rPr>
                <w:rFonts w:ascii="Arial" w:hAnsi="Arial"/>
                <w:sz w:val="18"/>
              </w:rPr>
              <w:t>Peak deterrence at 06:00 and 17:00</w:t>
            </w:r>
          </w:p>
        </w:tc>
        <w:tc>
          <w:tcPr>
            <w:tcW w:type="dxa" w:w="2160"/>
            <w:shd w:fill="F2F3F4"/>
          </w:tcPr>
          <w:p>
            <w:r/>
            <w:r>
              <w:rPr>
                <w:rFonts w:ascii="Arial" w:hAnsi="Arial"/>
                <w:sz w:val="18"/>
              </w:rPr>
              <w:t>Net zero 2030; £2m/yr energy savings</w:t>
            </w:r>
          </w:p>
        </w:tc>
      </w:tr>
    </w:tbl>
    <w:p>
      <w:r>
        <w:br w:type="page"/>
      </w:r>
    </w:p>
    <w:p>
      <w:pPr>
        <w:pStyle w:val="Heading1"/>
      </w:pPr>
      <w:r>
        <w:t>Appendix: Full Coefficient Reference for ROI Equation</w:t>
      </w:r>
    </w:p>
    <w:p>
      <w:r>
        <w:t>The following table provides all Model 5 coefficients relevant to the investment equation. Time-varying controls and sensor fixed effects are omitted for brevity but are included in all predictions.</w:t>
      </w:r>
    </w:p>
    <w:tbl>
      <w:tblPr>
        <w:tblW w:type="auto" w:w="0"/>
        <w:jc w:val="center"/>
        <w:tblLook w:firstColumn="1" w:firstRow="1" w:lastColumn="0" w:lastRow="0" w:noHBand="0" w:noVBand="1" w:val="04A0"/>
      </w:tblPr>
      <w:tblGrid>
        <w:gridCol w:w="1728"/>
        <w:gridCol w:w="1728"/>
        <w:gridCol w:w="1728"/>
        <w:gridCol w:w="1728"/>
        <w:gridCol w:w="1728"/>
      </w:tblGrid>
      <w:tr>
        <w:tc>
          <w:tcPr>
            <w:tcW w:type="dxa" w:w="3600"/>
            <w:shd w:fill="1B4F72"/>
          </w:tcPr>
          <w:p>
            <w:r/>
            <w:r>
              <w:rPr>
                <w:rFonts w:ascii="Arial" w:hAnsi="Arial"/>
                <w:b/>
                <w:color w:val="FFFFFF"/>
                <w:sz w:val="18"/>
              </w:rPr>
              <w:t>Term</w:t>
            </w:r>
          </w:p>
        </w:tc>
        <w:tc>
          <w:tcPr>
            <w:tcW w:type="dxa" w:w="1152"/>
            <w:shd w:fill="1B4F72"/>
          </w:tcPr>
          <w:p>
            <w:r/>
            <w:r>
              <w:rPr>
                <w:rFonts w:ascii="Arial" w:hAnsi="Arial"/>
                <w:b/>
                <w:color w:val="FFFFFF"/>
                <w:sz w:val="18"/>
              </w:rPr>
              <w:t>Ped β</w:t>
            </w:r>
          </w:p>
        </w:tc>
        <w:tc>
          <w:tcPr>
            <w:tcW w:type="dxa" w:w="1152"/>
            <w:shd w:fill="1B4F72"/>
          </w:tcPr>
          <w:p>
            <w:r/>
            <w:r>
              <w:rPr>
                <w:rFonts w:ascii="Arial" w:hAnsi="Arial"/>
                <w:b/>
                <w:color w:val="FFFFFF"/>
                <w:sz w:val="18"/>
              </w:rPr>
              <w:t>Ped p</w:t>
            </w:r>
          </w:p>
        </w:tc>
        <w:tc>
          <w:tcPr>
            <w:tcW w:type="dxa" w:w="1152"/>
            <w:shd w:fill="1B4F72"/>
          </w:tcPr>
          <w:p>
            <w:r/>
            <w:r>
              <w:rPr>
                <w:rFonts w:ascii="Arial" w:hAnsi="Arial"/>
                <w:b/>
                <w:color w:val="FFFFFF"/>
                <w:sz w:val="18"/>
              </w:rPr>
              <w:t>Cyc β</w:t>
            </w:r>
          </w:p>
        </w:tc>
        <w:tc>
          <w:tcPr>
            <w:tcW w:type="dxa" w:w="1152"/>
            <w:shd w:fill="1B4F72"/>
          </w:tcPr>
          <w:p>
            <w:r/>
            <w:r>
              <w:rPr>
                <w:rFonts w:ascii="Arial" w:hAnsi="Arial"/>
                <w:b/>
                <w:color w:val="FFFFFF"/>
                <w:sz w:val="18"/>
              </w:rPr>
              <w:t>Cyc p</w:t>
            </w:r>
          </w:p>
        </w:tc>
      </w:tr>
      <w:tr>
        <w:tc>
          <w:tcPr>
            <w:tcW w:type="dxa" w:w="3600"/>
            <w:shd w:fill="F2F3F4"/>
          </w:tcPr>
          <w:p>
            <w:r/>
            <w:r>
              <w:rPr>
                <w:rFonts w:ascii="Arial" w:hAnsi="Arial"/>
                <w:sz w:val="18"/>
              </w:rPr>
              <w:t>Intercept</w:t>
            </w:r>
          </w:p>
        </w:tc>
        <w:tc>
          <w:tcPr>
            <w:tcW w:type="dxa" w:w="1152"/>
            <w:shd w:fill="F2F3F4"/>
          </w:tcPr>
          <w:p>
            <w:r/>
            <w:r>
              <w:rPr>
                <w:rFonts w:ascii="Arial" w:hAnsi="Arial"/>
                <w:sz w:val="18"/>
              </w:rPr>
              <w:t>3.287</w:t>
            </w:r>
          </w:p>
        </w:tc>
        <w:tc>
          <w:tcPr>
            <w:tcW w:type="dxa" w:w="1152"/>
            <w:shd w:fill="F2F3F4"/>
          </w:tcPr>
          <w:p>
            <w:r/>
            <w:r>
              <w:rPr>
                <w:rFonts w:ascii="Arial" w:hAnsi="Arial"/>
                <w:sz w:val="18"/>
              </w:rPr>
              <w:t>&lt;0.001</w:t>
            </w:r>
          </w:p>
        </w:tc>
        <w:tc>
          <w:tcPr>
            <w:tcW w:type="dxa" w:w="1152"/>
            <w:shd w:fill="F2F3F4"/>
          </w:tcPr>
          <w:p>
            <w:r/>
            <w:r>
              <w:rPr>
                <w:rFonts w:ascii="Arial" w:hAnsi="Arial"/>
                <w:sz w:val="18"/>
              </w:rPr>
              <w:t>2.189</w:t>
            </w:r>
          </w:p>
        </w:tc>
        <w:tc>
          <w:tcPr>
            <w:tcW w:type="dxa" w:w="1152"/>
            <w:shd w:fill="F2F3F4"/>
          </w:tcPr>
          <w:p>
            <w:r/>
            <w:r>
              <w:rPr>
                <w:rFonts w:ascii="Arial" w:hAnsi="Arial"/>
                <w:sz w:val="18"/>
              </w:rPr>
              <w:t>&lt;0.001</w:t>
            </w:r>
          </w:p>
        </w:tc>
      </w:tr>
      <w:tr>
        <w:tc>
          <w:tcPr>
            <w:tcW w:type="dxa" w:w="3600"/>
          </w:tcPr>
          <w:p>
            <w:r/>
            <w:r>
              <w:rPr>
                <w:rFonts w:ascii="Arial" w:hAnsi="Arial"/>
                <w:sz w:val="18"/>
              </w:rPr>
              <w:t>Dark</w:t>
            </w:r>
          </w:p>
        </w:tc>
        <w:tc>
          <w:tcPr>
            <w:tcW w:type="dxa" w:w="1152"/>
          </w:tcPr>
          <w:p>
            <w:r/>
            <w:r>
              <w:rPr>
                <w:rFonts w:ascii="Arial" w:hAnsi="Arial"/>
                <w:sz w:val="18"/>
              </w:rPr>
              <w:t>−0.412</w:t>
            </w:r>
          </w:p>
        </w:tc>
        <w:tc>
          <w:tcPr>
            <w:tcW w:type="dxa" w:w="1152"/>
          </w:tcPr>
          <w:p>
            <w:r/>
            <w:r>
              <w:rPr>
                <w:rFonts w:ascii="Arial" w:hAnsi="Arial"/>
                <w:sz w:val="18"/>
              </w:rPr>
              <w:t>&lt;0.001</w:t>
            </w:r>
          </w:p>
        </w:tc>
        <w:tc>
          <w:tcPr>
            <w:tcW w:type="dxa" w:w="1152"/>
          </w:tcPr>
          <w:p>
            <w:r/>
            <w:r>
              <w:rPr>
                <w:rFonts w:ascii="Arial" w:hAnsi="Arial"/>
                <w:sz w:val="18"/>
              </w:rPr>
              <w:t>−0.038</w:t>
            </w:r>
          </w:p>
        </w:tc>
        <w:tc>
          <w:tcPr>
            <w:tcW w:type="dxa" w:w="1152"/>
          </w:tcPr>
          <w:p>
            <w:r/>
            <w:r>
              <w:rPr>
                <w:rFonts w:ascii="Arial" w:hAnsi="Arial"/>
                <w:sz w:val="18"/>
              </w:rPr>
              <w:t>0.495</w:t>
            </w:r>
          </w:p>
        </w:tc>
      </w:tr>
      <w:tr>
        <w:tc>
          <w:tcPr>
            <w:tcW w:type="dxa" w:w="3600"/>
            <w:shd w:fill="F2F3F4"/>
          </w:tcPr>
          <w:p>
            <w:r/>
            <w:r>
              <w:rPr>
                <w:rFonts w:ascii="Arial" w:hAnsi="Arial"/>
                <w:sz w:val="18"/>
              </w:rPr>
              <w:t>Dark × businesses_z</w:t>
            </w:r>
          </w:p>
        </w:tc>
        <w:tc>
          <w:tcPr>
            <w:tcW w:type="dxa" w:w="1152"/>
            <w:shd w:fill="F2F3F4"/>
          </w:tcPr>
          <w:p>
            <w:r/>
            <w:r>
              <w:rPr>
                <w:rFonts w:ascii="Arial" w:hAnsi="Arial"/>
                <w:sz w:val="18"/>
              </w:rPr>
              <w:t>−0.065</w:t>
            </w:r>
          </w:p>
        </w:tc>
        <w:tc>
          <w:tcPr>
            <w:tcW w:type="dxa" w:w="1152"/>
            <w:shd w:fill="F2F3F4"/>
          </w:tcPr>
          <w:p>
            <w:r/>
            <w:r>
              <w:rPr>
                <w:rFonts w:ascii="Arial" w:hAnsi="Arial"/>
                <w:sz w:val="18"/>
              </w:rPr>
              <w:t>0.597</w:t>
            </w:r>
          </w:p>
        </w:tc>
        <w:tc>
          <w:tcPr>
            <w:tcW w:type="dxa" w:w="1152"/>
            <w:shd w:fill="F2F3F4"/>
          </w:tcPr>
          <w:p>
            <w:r/>
            <w:r>
              <w:rPr>
                <w:rFonts w:ascii="Arial" w:hAnsi="Arial"/>
                <w:sz w:val="18"/>
              </w:rPr>
              <w:t>−0.053</w:t>
            </w:r>
          </w:p>
        </w:tc>
        <w:tc>
          <w:tcPr>
            <w:tcW w:type="dxa" w:w="1152"/>
            <w:shd w:fill="F2F3F4"/>
          </w:tcPr>
          <w:p>
            <w:r/>
            <w:r>
              <w:rPr>
                <w:rFonts w:ascii="Arial" w:hAnsi="Arial"/>
                <w:sz w:val="18"/>
              </w:rPr>
              <w:t>0.472</w:t>
            </w:r>
          </w:p>
        </w:tc>
      </w:tr>
      <w:tr>
        <w:tc>
          <w:tcPr>
            <w:tcW w:type="dxa" w:w="3600"/>
          </w:tcPr>
          <w:p>
            <w:r/>
            <w:r>
              <w:rPr>
                <w:rFonts w:ascii="Arial" w:hAnsi="Arial"/>
                <w:sz w:val="18"/>
              </w:rPr>
              <w:t>Dark × streetlights_z</w:t>
            </w:r>
          </w:p>
        </w:tc>
        <w:tc>
          <w:tcPr>
            <w:tcW w:type="dxa" w:w="1152"/>
          </w:tcPr>
          <w:p>
            <w:r/>
            <w:r>
              <w:rPr>
                <w:rFonts w:ascii="Arial" w:hAnsi="Arial"/>
                <w:sz w:val="18"/>
              </w:rPr>
              <w:t>+0.201</w:t>
            </w:r>
          </w:p>
        </w:tc>
        <w:tc>
          <w:tcPr>
            <w:tcW w:type="dxa" w:w="1152"/>
          </w:tcPr>
          <w:p>
            <w:r/>
            <w:r>
              <w:rPr>
                <w:rFonts w:ascii="Arial" w:hAnsi="Arial"/>
                <w:sz w:val="18"/>
              </w:rPr>
              <w:t>0.118</w:t>
            </w:r>
          </w:p>
        </w:tc>
        <w:tc>
          <w:tcPr>
            <w:tcW w:type="dxa" w:w="1152"/>
          </w:tcPr>
          <w:p>
            <w:r/>
            <w:r>
              <w:rPr>
                <w:rFonts w:ascii="Arial" w:hAnsi="Arial"/>
                <w:sz w:val="18"/>
              </w:rPr>
              <w:t>+0.014</w:t>
            </w:r>
          </w:p>
        </w:tc>
        <w:tc>
          <w:tcPr>
            <w:tcW w:type="dxa" w:w="1152"/>
          </w:tcPr>
          <w:p>
            <w:r/>
            <w:r>
              <w:rPr>
                <w:rFonts w:ascii="Arial" w:hAnsi="Arial"/>
                <w:sz w:val="18"/>
              </w:rPr>
              <w:t>0.835</w:t>
            </w:r>
          </w:p>
        </w:tc>
      </w:tr>
      <w:tr>
        <w:tc>
          <w:tcPr>
            <w:tcW w:type="dxa" w:w="3600"/>
            <w:shd w:fill="F2F3F4"/>
          </w:tcPr>
          <w:p>
            <w:r/>
            <w:r>
              <w:rPr>
                <w:rFonts w:ascii="Arial" w:hAnsi="Arial"/>
                <w:sz w:val="18"/>
              </w:rPr>
              <w:t>temp_c</w:t>
            </w:r>
          </w:p>
        </w:tc>
        <w:tc>
          <w:tcPr>
            <w:tcW w:type="dxa" w:w="1152"/>
            <w:shd w:fill="F2F3F4"/>
          </w:tcPr>
          <w:p>
            <w:r/>
            <w:r>
              <w:rPr>
                <w:rFonts w:ascii="Arial" w:hAnsi="Arial"/>
                <w:sz w:val="18"/>
              </w:rPr>
              <w:t>see full output</w:t>
            </w:r>
          </w:p>
        </w:tc>
        <w:tc>
          <w:tcPr>
            <w:tcW w:type="dxa" w:w="1152"/>
            <w:shd w:fill="F2F3F4"/>
          </w:tcPr>
          <w:p>
            <w:r/>
            <w:r>
              <w:rPr>
                <w:rFonts w:ascii="Arial" w:hAnsi="Arial"/>
                <w:sz w:val="18"/>
              </w:rPr>
              <w:t>—</w:t>
            </w:r>
          </w:p>
        </w:tc>
        <w:tc>
          <w:tcPr>
            <w:tcW w:type="dxa" w:w="1152"/>
            <w:shd w:fill="F2F3F4"/>
          </w:tcPr>
          <w:p>
            <w:r/>
            <w:r>
              <w:rPr>
                <w:rFonts w:ascii="Arial" w:hAnsi="Arial"/>
                <w:sz w:val="18"/>
              </w:rPr>
              <w:t>see full output</w:t>
            </w:r>
          </w:p>
        </w:tc>
        <w:tc>
          <w:tcPr>
            <w:tcW w:type="dxa" w:w="1152"/>
            <w:shd w:fill="F2F3F4"/>
          </w:tcPr>
          <w:p>
            <w:r/>
            <w:r>
              <w:rPr>
                <w:rFonts w:ascii="Arial" w:hAnsi="Arial"/>
                <w:sz w:val="18"/>
              </w:rPr>
              <w:t>—</w:t>
            </w:r>
          </w:p>
        </w:tc>
      </w:tr>
      <w:tr>
        <w:tc>
          <w:tcPr>
            <w:tcW w:type="dxa" w:w="3600"/>
          </w:tcPr>
          <w:p>
            <w:r/>
            <w:r>
              <w:rPr>
                <w:rFonts w:ascii="Arial" w:hAnsi="Arial"/>
                <w:sz w:val="18"/>
              </w:rPr>
              <w:t>wind_ms</w:t>
            </w:r>
          </w:p>
        </w:tc>
        <w:tc>
          <w:tcPr>
            <w:tcW w:type="dxa" w:w="1152"/>
          </w:tcPr>
          <w:p>
            <w:r/>
            <w:r>
              <w:rPr>
                <w:rFonts w:ascii="Arial" w:hAnsi="Arial"/>
                <w:sz w:val="18"/>
              </w:rPr>
              <w:t>see full output</w:t>
            </w:r>
          </w:p>
        </w:tc>
        <w:tc>
          <w:tcPr>
            <w:tcW w:type="dxa" w:w="1152"/>
          </w:tcPr>
          <w:p>
            <w:r/>
            <w:r>
              <w:rPr>
                <w:rFonts w:ascii="Arial" w:hAnsi="Arial"/>
                <w:sz w:val="18"/>
              </w:rPr>
              <w:t>—</w:t>
            </w:r>
          </w:p>
        </w:tc>
        <w:tc>
          <w:tcPr>
            <w:tcW w:type="dxa" w:w="1152"/>
          </w:tcPr>
          <w:p>
            <w:r/>
            <w:r>
              <w:rPr>
                <w:rFonts w:ascii="Arial" w:hAnsi="Arial"/>
                <w:sz w:val="18"/>
              </w:rPr>
              <w:t>see full output</w:t>
            </w:r>
          </w:p>
        </w:tc>
        <w:tc>
          <w:tcPr>
            <w:tcW w:type="dxa" w:w="1152"/>
          </w:tcPr>
          <w:p>
            <w:r/>
            <w:r>
              <w:rPr>
                <w:rFonts w:ascii="Arial" w:hAnsi="Arial"/>
                <w:sz w:val="18"/>
              </w:rPr>
              <w:t>—</w:t>
            </w:r>
          </w:p>
        </w:tc>
      </w:tr>
      <w:tr>
        <w:tc>
          <w:tcPr>
            <w:tcW w:type="dxa" w:w="3600"/>
            <w:shd w:fill="F2F3F4"/>
          </w:tcPr>
          <w:p>
            <w:r/>
            <w:r>
              <w:rPr>
                <w:rFonts w:ascii="Arial" w:hAnsi="Arial"/>
                <w:sz w:val="18"/>
              </w:rPr>
              <w:t>rain_mm</w:t>
            </w:r>
          </w:p>
        </w:tc>
        <w:tc>
          <w:tcPr>
            <w:tcW w:type="dxa" w:w="1152"/>
            <w:shd w:fill="F2F3F4"/>
          </w:tcPr>
          <w:p>
            <w:r/>
            <w:r>
              <w:rPr>
                <w:rFonts w:ascii="Arial" w:hAnsi="Arial"/>
                <w:sz w:val="18"/>
              </w:rPr>
              <w:t>see full output</w:t>
            </w:r>
          </w:p>
        </w:tc>
        <w:tc>
          <w:tcPr>
            <w:tcW w:type="dxa" w:w="1152"/>
            <w:shd w:fill="F2F3F4"/>
          </w:tcPr>
          <w:p>
            <w:r/>
            <w:r>
              <w:rPr>
                <w:rFonts w:ascii="Arial" w:hAnsi="Arial"/>
                <w:sz w:val="18"/>
              </w:rPr>
              <w:t>—</w:t>
            </w:r>
          </w:p>
        </w:tc>
        <w:tc>
          <w:tcPr>
            <w:tcW w:type="dxa" w:w="1152"/>
            <w:shd w:fill="F2F3F4"/>
          </w:tcPr>
          <w:p>
            <w:r/>
            <w:r>
              <w:rPr>
                <w:rFonts w:ascii="Arial" w:hAnsi="Arial"/>
                <w:sz w:val="18"/>
              </w:rPr>
              <w:t>see full output</w:t>
            </w:r>
          </w:p>
        </w:tc>
        <w:tc>
          <w:tcPr>
            <w:tcW w:type="dxa" w:w="1152"/>
            <w:shd w:fill="F2F3F4"/>
          </w:tcPr>
          <w:p>
            <w:r/>
            <w:r>
              <w:rPr>
                <w:rFonts w:ascii="Arial" w:hAnsi="Arial"/>
                <w:sz w:val="18"/>
              </w:rPr>
              <w:t>—</w:t>
            </w:r>
          </w:p>
        </w:tc>
      </w:tr>
    </w:tbl>
    <w:p>
      <w:r>
        <w:br/>
        <w:t>Note: streetlights_z and businesses_z are z-standardised at the sensor level. A unit increase in streetlights_z corresponds to one standard deviation increase in streetlights within 50m. The full model also includes C(hour), C(dow), C(month), outcome-specific lag terms, and C(SensorNumber) fixed effects.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1B4F72"/>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Arial" w:hAnsi="Arial"/>
      <w:b/>
      <w:bCs/>
      <w:color w:val="1B4F72"/>
      <w:sz w:val="28"/>
      <w:szCs w:val="26"/>
    </w:rPr>
  </w:style>
  <w:style w:type="paragraph" w:styleId="Heading3">
    <w:name w:val="heading 3"/>
    <w:basedOn w:val="Normal"/>
    <w:next w:val="Normal"/>
    <w:link w:val="Heading3Char"/>
    <w:uiPriority w:val="9"/>
    <w:unhideWhenUsed/>
    <w:qFormat/>
    <w:rsid w:val="00FC693F"/>
    <w:pPr>
      <w:keepNext/>
      <w:keepLines/>
      <w:spacing w:before="360" w:after="160"/>
      <w:outlineLvl w:val="2"/>
    </w:pPr>
    <w:rPr>
      <w:rFonts w:asciiTheme="majorHAnsi" w:eastAsiaTheme="majorEastAsia" w:hAnsiTheme="majorHAnsi" w:cstheme="majorBidi" w:ascii="Arial" w:hAnsi="Arial"/>
      <w:b/>
      <w:bCs/>
      <w:color w:val="1B4F7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