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color w:val="8B6914"/>
          <w:sz w:val="48"/>
          <w:szCs w:val="48"/>
        </w:rPr>
        <w:t xml:space="preserve">✠</w:t>
      </w:r>
    </w:p>
    <w:p>
      <w:pPr>
        <w:spacing w:after="80" w:before="300"/>
        <w:jc w:val="center"/>
      </w:pPr>
      <w:r>
        <w:rPr>
          <w:rFonts w:ascii="Cambria" w:cs="Cambria" w:eastAsia="Cambria" w:hAnsi="Cambria"/>
          <w:b/>
          <w:bCs/>
          <w:color w:val="7A1F1F"/>
          <w:sz w:val="64"/>
          <w:szCs w:val="64"/>
        </w:rPr>
        <w:t xml:space="preserve">CHRIST IS GOD</w:t>
      </w:r>
    </w:p>
    <w:p>
      <w:pPr>
        <w:spacing w:after="60"/>
        <w:jc w:val="center"/>
      </w:pPr>
      <w:r>
        <w:rPr>
          <w:rFonts w:ascii="Cambria" w:cs="Cambria" w:eastAsia="Cambria" w:hAnsi="Cambria"/>
          <w:i/>
          <w:iCs/>
          <w:color w:val="1F2A44"/>
          <w:sz w:val="32"/>
          <w:szCs w:val="32"/>
        </w:rPr>
        <w:t xml:space="preserve">The Divinity of Christ</w:t>
      </w:r>
    </w:p>
    <w:p>
      <w:pPr>
        <w:spacing w:after="500"/>
        <w:jc w:val="center"/>
      </w:pPr>
      <w:r>
        <w:rPr>
          <w:color w:val="595959"/>
          <w:sz w:val="24"/>
          <w:szCs w:val="24"/>
        </w:rPr>
        <w:t xml:space="preserve">Catechetical Notes Expanded for Study, Devotion, and Apologetics</w:t>
      </w:r>
    </w:p>
    <w:p>
      <w:pPr>
        <w:spacing w:after="40"/>
        <w:jc w:val="center"/>
      </w:pPr>
      <w:r>
        <w:rPr>
          <w:i/>
          <w:iCs/>
          <w:color w:val="595959"/>
          <w:sz w:val="22"/>
          <w:szCs w:val="22"/>
        </w:rPr>
        <w:t xml:space="preserve">Coptic Orthodox Catechism</w:t>
      </w:r>
    </w:p>
    <w:p>
      <w:pPr>
        <w:spacing w:after="900"/>
        <w:jc w:val="center"/>
      </w:pPr>
      <w:r>
        <w:rPr>
          <w:color w:val="595959"/>
          <w:sz w:val="22"/>
          <w:szCs w:val="22"/>
        </w:rPr>
        <w:t xml:space="preserve">Notes dated 20 June 2026</w:t>
      </w:r>
    </w:p>
    <w:p>
      <w:pPr>
        <w:pBdr>
          <w:left w:val="single" w:color="8B6914" w:sz="18" w:space="10"/>
        </w:pBdr>
        <w:spacing w:after="200" w:before="120"/>
        <w:ind w:left="480" w:right="480"/>
        <w:jc w:val="left"/>
      </w:pPr>
      <w:r>
        <w:rPr>
          <w:i/>
          <w:iCs/>
          <w:color w:val="33302A"/>
          <w:sz w:val="22"/>
          <w:szCs w:val="22"/>
        </w:rPr>
        <w:t xml:space="preserve">I and the Father are one.</w:t>
      </w:r>
      <w:r>
        <w:rPr>
          <w:i/>
          <w:iCs/>
          <w:color w:val="595959"/>
          <w:sz w:val="20"/>
          <w:szCs w:val="20"/>
        </w:rPr>
        <w:br/>
        <w:t xml:space="preserve">  — John 10:30</w:t>
      </w:r>
    </w:p>
    <w:p>
      <w:pPr>
        <w:pBdr>
          <w:left w:val="single" w:color="8B6914" w:sz="18" w:space="10"/>
        </w:pBdr>
        <w:spacing w:after="200" w:before="120"/>
        <w:ind w:left="480" w:right="480"/>
        <w:jc w:val="left"/>
      </w:pPr>
      <w:r>
        <w:rPr>
          <w:i/>
          <w:iCs/>
          <w:color w:val="33302A"/>
          <w:sz w:val="22"/>
          <w:szCs w:val="22"/>
        </w:rPr>
        <w:t xml:space="preserve">The Word became flesh, that we might learn from a man how a man may become God.</w:t>
      </w:r>
      <w:r>
        <w:rPr>
          <w:i/>
          <w:iCs/>
          <w:color w:val="595959"/>
          <w:sz w:val="20"/>
          <w:szCs w:val="20"/>
        </w:rPr>
        <w:br/>
        <w:t xml:space="preserve">  — St. Athanasius the Apostolic, On the Incarnation</w:t>
      </w:r>
    </w:p>
    <w:p>
      <w:pPr>
        <w:pStyle w:val="Heading1"/>
        <w:pBdr>
          <w:bottom w:val="single" w:color="8B6914" w:sz="8" w:space="4"/>
        </w:pBdr>
        <w:spacing w:after="200" w:before="480"/>
      </w:pPr>
      <w:r>
        <w:rPr>
          <w:color w:val="7A1F1F"/>
        </w:rPr>
        <w:t xml:space="preserve">Contents</w:t>
      </w:r>
    </w:p>
    <w:p>
      <w:r>
        <w:t>I. Introduction — Why the Divinity of Christ Matters</w:t>
      </w:r>
    </w:p>
    <w:p>
      <w:r>
        <w:t>II. Romans 9:5 — The Anchor Text</w:t>
      </w:r>
    </w:p>
    <w:p>
      <w:r>
        <w:t>III. “Jesus Is God” — The Direct Witness of Scripture</w:t>
      </w:r>
    </w:p>
    <w:p>
      <w:r>
        <w:t>IV. Old Testament Theophanies — The Angel of the LORD</w:t>
      </w:r>
    </w:p>
    <w:p>
      <w:r>
        <w:t>V. The Divine Works of Christ</w:t>
      </w:r>
    </w:p>
    <w:p>
      <w:r>
        <w:t>VI. The Indirect but Unmistakable Claim</w:t>
      </w:r>
    </w:p>
    <w:p>
      <w:r>
        <w:t>VII. Worship Given to Christ</w:t>
      </w:r>
    </w:p>
    <w:p>
      <w:r>
        <w:t>VIII. The Omnipresence of Christ</w:t>
      </w:r>
    </w:p>
    <w:p>
      <w:r>
        <w:t>IX. The Holy Trinity — A Comparative Table</w:t>
      </w:r>
    </w:p>
    <w:p>
      <w:r>
        <w:t>X. The Witness of the Early Church Fathers</w:t>
      </w:r>
    </w:p>
    <w:p>
      <w:r>
        <w:t>XI. Islam's View of Christ</w:t>
      </w:r>
    </w:p>
    <w:p>
      <w:r>
        <w:t>XII. Anticipating Objections</w:t>
      </w:r>
    </w:p>
    <w:p>
      <w:r>
        <w:t>XIII. The Patristic and Liturgical Witness of the Coptic Church</w:t>
      </w:r>
    </w:p>
    <w:p>
      <w:r>
        <w:t>XIV. A Compact Apologetic Case</w:t>
      </w:r>
    </w:p>
    <w:p>
      <w:r>
        <w:t>XV. Conclusion — From Confession to Communion</w:t>
      </w:r>
    </w:p>
    <w:p>
      <w:r>
        <w:t>Sources Consulted</w:t>
      </w:r>
    </w:p>
    <w:p>
      <w:pPr>
        <w:pStyle w:val="Heading1"/>
        <w:pBdr>
          <w:bottom w:val="single" w:color="8B6914" w:sz="8" w:space="4"/>
        </w:pBdr>
        <w:spacing w:after="200" w:before="480"/>
      </w:pPr>
      <w:r>
        <w:rPr>
          <w:color w:val="7A1F1F"/>
        </w:rPr>
        <w:t xml:space="preserve">I. Introduction — Why the Divinity of Christ Matters</w:t>
      </w:r>
    </w:p>
    <w:p>
      <w:pPr>
        <w:spacing w:after="160" w:before="0" w:line="276"/>
        <w:jc w:val="both"/>
      </w:pPr>
      <w:r>
        <w:rPr>
          <w:sz w:val="23"/>
          <w:szCs w:val="23"/>
        </w:rPr>
        <w:t xml:space="preserve">The confession that Jesus Christ is true God is not a peripheral doctrine that can be softened for the sake of comfort or rationalist convenience. It is the hinge on which the entire economy of salvation turns. If the Word who became flesh (John 1:14) is anything less than fully and unreservedly God, then the Cross saves no one, the Eucharist communicates nothing divine, and the goal of the Christian life — theosis, our being conformed to the divine nature by grace (2 Peter 1:4) — collapses into mere moral self-improvement. St. Athanasius the Apostolic, the great defender of Nicene faith and twentieth Pope of Alexandria, stated the logic of the Incarnation with the precision for which the Alexandrian school is famous: God became what we are, so that we might become what He is. This exchange only holds if the One who assumed our nature is Himself the uncreated, eternal God; otherwise human nature is not healed, but merely instructed by a very holy creature.</w:t>
      </w:r>
    </w:p>
    <w:p>
      <w:pPr>
        <w:spacing w:after="160" w:before="0" w:line="276"/>
        <w:jc w:val="both"/>
      </w:pPr>
      <w:r>
        <w:rPr>
          <w:sz w:val="23"/>
          <w:szCs w:val="23"/>
        </w:rPr>
        <w:t xml:space="preserve">These notes gather and expand a catechetical study on the Divinity of Christ along four converging lines of evidence that the Church has always set before doubters and seekers alike: first, the direct ascription of the title “God” to Jesus in the New Testament; second, His exercise of works and prerogatives that belong to God alone; third, His indirect but unmistakable self-disclosure, especially the “I AM” sayings, understood against the backdrop of first-century Jewish blasphemy law; and fourth, the witness of the early Church — both in the sheer density of its earliest citations of the New Testament and in its mature articulation of Trinitarian theology. Wherever it sharpens the argument, the underlying Greek or Hebrew vocabulary is supplied, since much of the force of these texts rests on a single verb, a definite article, or a deliberate echo of the Divine Name.</w:t>
      </w:r>
    </w:p>
    <w:p>
      <w:pPr>
        <w:spacing w:after="160" w:before="0" w:line="276"/>
        <w:jc w:val="both"/>
      </w:pPr>
      <w:r>
        <w:rPr>
          <w:sz w:val="23"/>
          <w:szCs w:val="23"/>
        </w:rPr>
        <w:t xml:space="preserve">This is not an academic exercise conducted at arm's length from the soul. The Fathers insisted that correct confession of Christ (orthodoxia) and the path of repentance and ascetic struggle toward union with God (theosis) are inseparable; one cannot be united to a Christ one has misidentified. The data assembled below, therefore, serves a pastoral and doxological end as much as an apologetic one.</w:t>
      </w:r>
    </w:p>
    <w:p>
      <w:pPr>
        <w:pStyle w:val="Heading1"/>
        <w:pBdr>
          <w:bottom w:val="single" w:color="8B6914" w:sz="8" w:space="4"/>
        </w:pBdr>
        <w:spacing w:after="200" w:before="480"/>
      </w:pPr>
      <w:r>
        <w:rPr>
          <w:color w:val="7A1F1F"/>
        </w:rPr>
        <w:t xml:space="preserve">II. Romans 9:5 — The Anchor Text</w:t>
      </w:r>
    </w:p>
    <w:p>
      <w:pPr>
        <w:pBdr>
          <w:left w:val="single" w:color="8B6914" w:sz="12" w:space="8"/>
        </w:pBdr>
        <w:spacing w:after="180" w:before="0"/>
        <w:ind w:left="360"/>
      </w:pPr>
      <w:r>
        <w:rPr>
          <w:i/>
          <w:iCs/>
          <w:color w:val="1F2A44"/>
          <w:sz w:val="22"/>
          <w:szCs w:val="22"/>
        </w:rPr>
        <w:t xml:space="preserve">“...of whom is Christ as concerning the flesh, who is over all, God blessed forever. Amen.” (Romans 9:5)</w:t>
      </w:r>
    </w:p>
    <w:p>
      <w:pPr>
        <w:spacing w:after="160" w:before="0" w:line="276"/>
        <w:jc w:val="both"/>
      </w:pPr>
      <w:r>
        <w:rPr>
          <w:sz w:val="23"/>
          <w:szCs w:val="23"/>
        </w:rPr>
        <w:t xml:space="preserve">The catechism notes place Romans 9:5 at the head of the study, and rightly so: it is one of the most direct ascriptions of the title θεός (theos, “God”) to Christ found anywhere in the Pauline corpus. Paul has just finished lamenting Israel's unbelief and cataloguing her privileges — the adoption, the glory, the covenants, the giving of the Law, the patriarchs — and climaxes the list with Christ Himself, “who is over all (ὁ ὠν ἐπὶ πάντων), God blessed forever.” The phrase ὁ ὠν ἐπὶ πάντων θεός reads most naturally, on the rules of Greek grammar, as a single predication about Christ: He who is God over all things.</w:t>
      </w:r>
    </w:p>
    <w:p>
      <w:pPr>
        <w:spacing w:after="160" w:before="0" w:line="276"/>
        <w:jc w:val="both"/>
      </w:pPr>
      <w:r>
        <w:rPr>
          <w:sz w:val="23"/>
          <w:szCs w:val="23"/>
        </w:rPr>
        <w:t xml:space="preserve">Some modern translations punctuate the verse so that the final clause becomes a separate doxology addressed to God the Father (“...Christ, who is God over all. Blessed be God forever, Amen” becomes, in a different punctuation, “...Christ. God who is over all be blessed forever”). This is a punctuation decision, not a textual variant — the Greek manuscripts contain no punctuation marks at all, so the dividing of clauses is an editorial choice made centuries later. The overwhelming majority of Greek grammarians (including non-trinitarian scholars who have no doctrinal stake in the outcome) recognize that the natural, unforced reading of the Greek word order makes “God over all” a description of Christ, not an interjected blessing of the Father. The arrow drawn in the notes from this verse to “Trinity” is therefore well placed: Romans 9:5 is frequently invoked in Trinitarian argument precisely because it predicates full deity of the Son in the same breath that it affirms His genuine, fleshly humanity (“as concerning the flesh”) — the same union of natures the Coptic Church confesses as μία φύσις τοϱ Θεού Λόγου σεσαρκωμένη, “the one incarnate nature of God the Word,” the Cyrilline formula at the heart of our Christology.</w:t>
      </w:r>
    </w:p>
    <w:p>
      <w:r>
        <w:t>Two observations strengthen the traditional reading. First, the phrase “according to the flesh” naturally invites a second, higher statement about who Christ is beyond His Davidic and Israelite lineage. Second, Paul elsewhere reserves doxological language for God, but here the grammar most naturally binds “who is over all” and “God blessed forever” to Christ Himself. Tertullian, writing against Praxeas, explicitly appeals to Romans 9:5 and says that when Christ is considered in Himself, Paul can call Him God. The verse is therefore not a late medieval polemical invention but an early Christian proof-text already active in second- and third-century trinitarian argument.</w:t>
      </w:r>
    </w:p>
    <w:p>
      <w:pPr>
        <w:pStyle w:val="Heading1"/>
        <w:pBdr>
          <w:bottom w:val="single" w:color="8B6914" w:sz="8" w:space="4"/>
        </w:pBdr>
        <w:spacing w:after="200" w:before="480"/>
      </w:pPr>
      <w:r>
        <w:rPr>
          <w:color w:val="7A1F1F"/>
        </w:rPr>
        <w:t xml:space="preserve">III. “Jesus Is God” — The Direct Witness of Scripture</w:t>
      </w:r>
    </w:p>
    <w:p>
      <w:pPr>
        <w:spacing w:after="160" w:before="0" w:line="276"/>
        <w:jc w:val="both"/>
      </w:pPr>
      <w:r>
        <w:rPr>
          <w:sz w:val="23"/>
          <w:szCs w:val="23"/>
        </w:rPr>
        <w:t xml:space="preserve">Beyond Romans 9:5, the notes assemble a constellation of texts in which Scripture either names Jesus “God” outright or applies to Him language reserved in the Old Testament for YHWH alone. Taken individually each text can be disputed by a determined opponent; taken together, as the early Fathers argued, they form a rope of many strands that cannot be cut by isolating and reinterpreting any single fiber.</w:t>
      </w:r>
    </w:p>
    <w:p>
      <w:pPr>
        <w:pStyle w:val="Heading2"/>
        <w:spacing w:after="140" w:before="320"/>
      </w:pPr>
      <w:r>
        <w:rPr>
          <w:color w:val="1F2A44"/>
        </w:rPr>
        <w:t xml:space="preserve">Luke 1:35 — Conceived by the Holy Spirit</w:t>
      </w:r>
    </w:p>
    <w:p>
      <w:pPr>
        <w:spacing w:after="160" w:before="0" w:line="276"/>
        <w:jc w:val="both"/>
      </w:pPr>
      <w:r>
        <w:rPr>
          <w:sz w:val="23"/>
          <w:szCs w:val="23"/>
        </w:rPr>
        <w:t xml:space="preserve">The angel Gabriel tells Mary that the child to be born of her will be called “the Son of God” precisely because His origin is not natural generation but the direct overshadowing of “the power of the Highest.” The conception itself is a divine act without human paternity — the first sign in Luke's Gospel that this child's identity exceeds ordinary sonship.</w:t>
      </w:r>
    </w:p>
    <w:p>
      <w:pPr>
        <w:pStyle w:val="Heading2"/>
        <w:spacing w:after="140" w:before="320"/>
      </w:pPr>
      <w:r>
        <w:rPr>
          <w:color w:val="1F2A44"/>
        </w:rPr>
        <w:t xml:space="preserve">Mark 1:1–3 and Isaiah 40:3 — Preparing the Way of YHWH</w:t>
      </w:r>
    </w:p>
    <w:p>
      <w:pPr>
        <w:spacing w:after="160" w:before="0" w:line="276"/>
        <w:jc w:val="both"/>
      </w:pPr>
      <w:r>
        <w:rPr>
          <w:sz w:val="23"/>
          <w:szCs w:val="23"/>
        </w:rPr>
        <w:t xml:space="preserve">Mark opens his Gospel by quoting Isaiah's call to “prepare the way of the LORD (YHWH), make His paths straight” (Isaiah 40:3) and applies it directly to John the Baptist's preparation for the coming of Jesus. This is among the most striking of the implicit divine ascriptions in the New Testament: Isaiah is describing the coming of YHWH Himself to His people, and Mark identifies that coming with the arrival of Jesus of Nazareth. The Gospel writer is not being careless with a prophetic text — he is making a deliberate identification, in the very first sentence of his Gospel, between the God of Israel and the man about whom he is about to write.</w:t>
      </w:r>
    </w:p>
    <w:p>
      <w:pPr>
        <w:pStyle w:val="Heading2"/>
        <w:spacing w:after="140" w:before="320"/>
      </w:pPr>
      <w:r>
        <w:rPr>
          <w:color w:val="1F2A44"/>
        </w:rPr>
        <w:t xml:space="preserve">Acts 20:28 — Purchased with His Own Blood</w:t>
      </w:r>
    </w:p>
    <w:p>
      <w:pPr>
        <w:spacing w:after="160" w:before="0" w:line="276"/>
        <w:jc w:val="both"/>
      </w:pPr>
      <w:r>
        <w:rPr>
          <w:sz w:val="23"/>
          <w:szCs w:val="23"/>
        </w:rPr>
        <w:t xml:space="preserve">In his farewell address to the Ephesian elders, Paul charges them to shepherd “the church of God, which He purchased with His own blood.” Whoever shed the blood that purchased the Church is identified as God. (A small number of later manuscripts read “the church of the Lord” rather than “the church of God” here, but even on that reading the blood that purchases the Church is still attributed to the divine κύριος; the substance of the ascription is not weakened by the variant.)</w:t>
      </w:r>
    </w:p>
    <w:p>
      <w:pPr>
        <w:pStyle w:val="Heading2"/>
        <w:spacing w:after="140" w:before="320"/>
      </w:pPr>
      <w:r>
        <w:rPr>
          <w:color w:val="1F2A44"/>
        </w:rPr>
        <w:t xml:space="preserve">John 20:28–29 — “My Lord and My God”</w:t>
      </w:r>
    </w:p>
    <w:p>
      <w:pPr>
        <w:spacing w:after="160" w:before="0" w:line="276"/>
        <w:jc w:val="both"/>
      </w:pPr>
      <w:r>
        <w:rPr>
          <w:sz w:val="23"/>
          <w:szCs w:val="23"/>
        </w:rPr>
        <w:t xml:space="preserve">Confronted with the wounds of the risen Christ, Thomas does not merely exclaim in astonishment — he confesses, ὁ κύριός μου καὶ ὁ θεός μου, “My Lord and my God.” The double possessive personalizes the confession; this is not a generic exclamation but worship directed at Jesus. Crucially, Jesus does not correct him. He accepts the confession and pronounces a blessing on those who, without Thomas's privilege of sight, will nonetheless believe — placing every subsequent believer's faith on the same footing as Thomas's confession that the risen Jesus is God.</w:t>
      </w:r>
    </w:p>
    <w:p>
      <w:pPr>
        <w:pStyle w:val="Heading2"/>
        <w:spacing w:after="140" w:before="320"/>
      </w:pPr>
      <w:r>
        <w:rPr>
          <w:color w:val="1F2A44"/>
        </w:rPr>
        <w:t xml:space="preserve">1 Timothy 3:16 — God Manifested in the Flesh</w:t>
      </w:r>
    </w:p>
    <w:p>
      <w:pPr>
        <w:spacing w:after="160" w:before="0" w:line="276"/>
        <w:jc w:val="both"/>
      </w:pPr>
      <w:r>
        <w:t>Paul (or the hymn he is quoting) confesses: “Great is the mystery of godliness: God was manifested in the flesh, justified in the Spirit, seen of angels, preached unto the Gentiles, believed on in the world, received up into glory.” A textual note belongs here. The King James reading “God was manifested in the flesh” reflects the later Byzantine tradition and the theological confession is entirely orthodox; nevertheless, many modern critical editions read “He who” or “who.” Even on that reading, the hymn still moves from incarnation to angelic witness, worldwide proclamation, faith among the nations, and reception into glory. The doctrine does not depend on one disputed pronoun, because the wider New Testament already identifies the incarnate One as the divine Son, the Creator, the Judge, and the Lord who receives worship.</w:t>
      </w:r>
    </w:p>
    <w:p>
      <w:pPr>
        <w:pStyle w:val="Heading2"/>
        <w:spacing w:after="140" w:before="320"/>
      </w:pPr>
      <w:r>
        <w:rPr>
          <w:color w:val="1F2A44"/>
        </w:rPr>
        <w:t xml:space="preserve">Isaiah 9:6 — Mighty God, Everlasting Father</w:t>
      </w:r>
    </w:p>
    <w:p>
      <w:pPr>
        <w:spacing w:after="160" w:before="0" w:line="276"/>
        <w:jc w:val="both"/>
      </w:pPr>
      <w:r>
        <w:rPr>
          <w:sz w:val="23"/>
          <w:szCs w:val="23"/>
        </w:rPr>
        <w:t xml:space="preserve">The prophecy of the child to be born is given titles that no merely human king could bear: “Wonderful, Counselor, The mighty God, The everlasting Father, The Prince of Peace.” “The mighty God” (אֵל גִּבּוֹר, El Gibbor) is the identical title given to YHWH four chapters later in Isaiah 10:21. The prophet is not describing an unusually gifted statesman; he is describing the divine Son who will reign on David's throne.</w:t>
      </w:r>
    </w:p>
    <w:p>
      <w:pPr>
        <w:pStyle w:val="Heading2"/>
        <w:spacing w:after="140" w:before="320"/>
      </w:pPr>
      <w:r>
        <w:rPr>
          <w:color w:val="1F2A44"/>
        </w:rPr>
        <w:t xml:space="preserve">John 1:1 and 1:14 — The Word Was God; The Word Became Flesh</w:t>
      </w:r>
    </w:p>
    <w:p>
      <w:pPr>
        <w:spacing w:after="160" w:before="0" w:line="276"/>
        <w:jc w:val="both"/>
      </w:pPr>
      <w:r>
        <w:rPr>
          <w:sz w:val="23"/>
          <w:szCs w:val="23"/>
        </w:rPr>
        <w:t xml:space="preserve">Ἐν ἀρχῇ ἦν ὁ λόγος, καὶ ὁ λόγος ἦν πρός τὸν θεόν, καὶ θεός ἦν ὁ λόγος. The grammar is precise and deliberate: θεόν (with the article, “the God,” referring to the Father) is distinguished in person from θεός (without the article, predicating the divine nature) which is said of the Word. John is neither collapsing the Word into the Father (which would erase the distinction “with God” just stated) nor demoting the Word to a lesser, created god (the anarthrous predicate noun before the verb, by ordinary Greek usage, functions qualitatively rather than indefinitely). The Word possesses the very nature of God while remaining a distinct person in relation to the Father — the seed of all later Trinitarian grammar. Verse 14 then supplies the scandal proper to the Incarnation: καὶ ὁ λόγος σάρξ ἐγένετο, “and the Word became flesh.” The eternal, uncreated Logos who was God took to Himself a created, mortal nature without ceasing to be what He eternally was.</w:t>
      </w:r>
    </w:p>
    <w:p>
      <w:pPr>
        <w:pStyle w:val="Heading2"/>
        <w:spacing w:after="140" w:before="320"/>
      </w:pPr>
      <w:r>
        <w:rPr>
          <w:color w:val="1F2A44"/>
        </w:rPr>
        <w:t xml:space="preserve">Hebrews 1:8 — Your Throne, O God</w:t>
      </w:r>
    </w:p>
    <w:p>
      <w:pPr>
        <w:pStyle w:val="Heading2"/>
        <w:keepNext/>
      </w:pPr>
      <w:r>
        <w:t>1 Corinthians 8:6 — Jesus Inside the Shema</w:t>
      </w:r>
    </w:p>
    <w:p>
      <w:r>
        <w:t>Paul's confession in 1 Corinthians 8:6 is one of the most compact and powerful arguments for Christ's deity. He begins from Jewish monotheism: “there is no other God but one.” Then, instead of placing Jesus outside that confession, he reshapes the language around “one God, the Father” and “one Lord Jesus Christ.” The Father is the source “of whom are all things”; the Son is the mediator “through whom are all things.” This is not a demotion of Jesus into the category of creature. It is a christological rereading of the Shema: the one God of Israel is confessed with the Father and the Lord Jesus Christ without abandoning monotheism.</w:t>
      </w:r>
    </w:p>
    <w:p>
      <w:pPr>
        <w:pStyle w:val="Heading2"/>
        <w:keepNext/>
      </w:pPr>
      <w:r>
        <w:t>Philippians 2:5–11 and Isaiah 45 — The Divine Name and Universal Worship</w:t>
      </w:r>
    </w:p>
    <w:p>
      <w:r>
        <w:t>Philippians 2 says that Christ existed in the form of God, humbled Himself in true humanity, and was then exalted so that every knee should bow and every tongue confess that Jesus Christ is Lord. Paul is deliberately echoing Isaiah 45, where YHWH alone declares that He is God and there is no other, and then swears that every knee will bow to Him. The apostolic claim is astonishing: the worship promised to YHWH is rendered to Jesus, and this glorifies the Father rather than competing with Him. The Son shares the divine Name and receives the divine homage because He belongs within the identity of the one God.</w:t>
      </w:r>
    </w:p>
    <w:p>
      <w:pPr>
        <w:pStyle w:val="Heading2"/>
        <w:keepNext/>
      </w:pPr>
      <w:r>
        <w:t>Colossians 1:15–20 — Creator, Sustainer, Reconciler</w:t>
      </w:r>
    </w:p>
    <w:p>
      <w:r>
        <w:t>Colossians calls Christ “the image of the invisible God” and “firstborn over all creation,” then immediately explains that all things were created by Him, through Him, and for Him. “Firstborn” therefore cannot mean “first creature,” because the Son is placed on the Creator side of the Creator-creature distinction. All visible and invisible powers are created through Him; He is before all things; in Him all things hold together. The same passage moves from creation to redemption: the One through whom all things were made is the One through whose blood all things are reconciled.</w:t>
      </w:r>
    </w:p>
    <w:p>
      <w:pPr>
        <w:spacing w:after="160" w:before="0" w:line="276"/>
        <w:jc w:val="both"/>
      </w:pPr>
      <w:r>
        <w:rPr>
          <w:sz w:val="23"/>
          <w:szCs w:val="23"/>
        </w:rPr>
        <w:t xml:space="preserve">The author of Hebrews, building a case for the Son's superiority to angels, quotes Psalm 45:6 and applies it directly to the Son: “But unto the Son He saith, Thy throne, O God, is for ever and ever.” The Father Himself, in the author's argument, addresses the Son with the vocative “O God.” This is among the clearest texts in the New Testament in which God the Father is depicted speaking to God the Son and naming Him θεός in direct address.</w:t>
      </w:r>
    </w:p>
    <w:p>
      <w:pPr>
        <w:pStyle w:val="Heading1"/>
        <w:keepNext/>
      </w:pPr>
      <w:r>
        <w:t>IV. Old Testament Theophanies — The Angel of the LORD</w:t>
      </w:r>
    </w:p>
    <w:p>
      <w:r>
        <w:t>The divinity of Christ does not appear suddenly in the New Testament as though the apostles invented a new doctrine. The Old Testament already contains a mysterious pattern: the Angel of the LORD appears as a messenger distinct from God, and yet speaks as God, receives divine fear, reveals the divine Name, and is identified by the narrator with the LORD Himself. Christian tradition has often seen in these appearances not the created angelic hosts, but pre-incarnate manifestations of the Word who would later become flesh.</w:t>
      </w:r>
    </w:p>
    <w:p>
      <w:pPr>
        <w:pStyle w:val="Heading2"/>
        <w:keepNext/>
      </w:pPr>
      <w:r>
        <w:t>Genesis 16; Genesis 22; Exodus 3 — Distinct, Yet Divine</w:t>
      </w:r>
    </w:p>
    <w:p>
      <w:r>
        <w:t>In Genesis 16 the Angel of the LORD speaks to Hagar in the first person as the One who will multiply her descendants, and Hagar responds by naming the LORD who spoke to her. In Genesis 22, the Angel calls from heaven and says, “By Myself I have sworn,” language proper to God alone. In Exodus 3, the Angel of the LORD appears in the burning bush, yet the text immediately says that God called to Moses from the bush; Moses hides his face because he is afraid to look upon God. The messenger is not a rival deity and not a mere creature speaking independently, but the divine Presence personally revealed.</w:t>
      </w:r>
    </w:p>
    <w:p>
      <w:pPr>
        <w:pStyle w:val="Heading2"/>
        <w:keepNext/>
      </w:pPr>
      <w:r>
        <w:t>Judges 13 — Manoah's Fear</w:t>
      </w:r>
    </w:p>
    <w:p>
      <w:r>
        <w:t>The parents of Samson encounter the Angel of the LORD, who accepts an offering ascending in the flame of the altar. Manoah then says, “We shall surely die, because we have seen God.” His wife corrects the conclusion that they will die, but not the identification that the encounter was divine. This pattern matters for Christology because John later writes that no one has seen God the Father in His unveiled essence, while the only-begotten Son makes Him known. The Son is therefore the visible self-revelation of the invisible God.</w:t>
      </w:r>
    </w:p>
    <w:p>
      <w:pPr>
        <w:pStyle w:val="Heading1"/>
        <w:pBdr>
          <w:bottom w:val="single" w:color="8B6914" w:sz="8" w:space="4"/>
        </w:pBdr>
        <w:spacing w:after="200" w:before="480"/>
      </w:pPr>
      <w:r>
        <w:t>V. The Divine Works of Christ</w:t>
      </w:r>
    </w:p>
    <w:p>
      <w:pPr>
        <w:spacing w:after="160" w:before="0" w:line="276"/>
        <w:jc w:val="both"/>
      </w:pPr>
      <w:r>
        <w:rPr>
          <w:sz w:val="23"/>
          <w:szCs w:val="23"/>
        </w:rPr>
        <w:t xml:space="preserve">Titles can be disputed by appeal to honorific or representative usage (Moses and the judges of Israel are occasionally called “gods” in a derivative sense, Psalm 82:6; John 10:34–36). Works are harder to relativize. The catechism notes therefore turn from confession to action: six categories of deed that the Old Testament reserves to God alone, each of which the Gospels show Jesus performing in His own right and on His own authority — not as a prophet relaying a power lent to him, but as one who possesses the prerogative inherently.</w:t>
      </w:r>
    </w:p>
    <w:p>
      <w:pPr>
        <w:pStyle w:val="Heading2"/>
        <w:spacing w:after="140" w:before="320"/>
      </w:pPr>
      <w:r>
        <w:rPr>
          <w:color w:val="1F2A44"/>
        </w:rPr>
        <w:t xml:space="preserve">1. Christ Forgives Sins</w:t>
      </w:r>
    </w:p>
    <w:p>
      <w:pPr>
        <w:pBdr>
          <w:left w:val="single" w:color="8B6914" w:sz="12" w:space="8"/>
        </w:pBdr>
        <w:spacing w:after="180" w:before="0"/>
        <w:ind w:left="360"/>
      </w:pPr>
      <w:r>
        <w:rPr>
          <w:i/>
          <w:iCs/>
          <w:color w:val="1F2A44"/>
          <w:sz w:val="22"/>
          <w:szCs w:val="22"/>
        </w:rPr>
        <w:t xml:space="preserve">Daniel 9:9; Isaiah 43:25; Mark 2:5–7</w:t>
      </w:r>
    </w:p>
    <w:p>
      <w:pPr>
        <w:spacing w:after="160" w:before="0" w:line="276"/>
        <w:jc w:val="both"/>
      </w:pPr>
      <w:r>
        <w:rPr>
          <w:sz w:val="23"/>
          <w:szCs w:val="23"/>
        </w:rPr>
        <w:t xml:space="preserve">“To the Lord our God belong mercy and forgiveness, although we have rebelled against Him” (Daniel 9:9). “I, even I, am He who blots out your transgressions for My own sake” (Isaiah 43:25) — note the divine self-naming, “I, even I,” and the ground given for forgiveness: “for My own sake,” since only the offended party (God, against whom all sin is ultimately committed, Psalm 51:4) can forgive sin as a matter of right rather than mere mediation. When Jesus says to the paralytic, “Son, thy sins be forgiven thee,” the scribes reason correctly according to their theology, even while drawing the wrong conclusion about Jesus: “Who can forgive sins but God only?” (Mark 2:7). Jesus does not correct their premise. He instead heals the man as visible proof of the invisible, divine authority He has just exercised, deliberately accepting the very prerogative the scribes rightly say belongs to God alone.</w:t>
      </w:r>
    </w:p>
    <w:p>
      <w:pPr>
        <w:pStyle w:val="Heading2"/>
        <w:spacing w:after="140" w:before="320"/>
      </w:pPr>
      <w:r>
        <w:rPr>
          <w:color w:val="1F2A44"/>
        </w:rPr>
        <w:t xml:space="preserve">2. Christ Is Judge at the Last Day, and Lawgiver</w:t>
      </w:r>
    </w:p>
    <w:p>
      <w:pPr>
        <w:pBdr>
          <w:left w:val="single" w:color="8B6914" w:sz="12" w:space="8"/>
        </w:pBdr>
        <w:spacing w:after="180" w:before="0"/>
        <w:ind w:left="360"/>
      </w:pPr>
      <w:r>
        <w:rPr>
          <w:i/>
          <w:iCs/>
          <w:color w:val="1F2A44"/>
          <w:sz w:val="22"/>
          <w:szCs w:val="22"/>
        </w:rPr>
        <w:t xml:space="preserve">Isaiah 33:22; 1 Samuel 2:10; Matthew 16:27; Matthew 13:40–42; Revelation 22:12</w:t>
      </w:r>
    </w:p>
    <w:p>
      <w:pPr>
        <w:spacing w:after="160" w:before="0" w:line="276"/>
        <w:jc w:val="both"/>
      </w:pPr>
      <w:r>
        <w:rPr>
          <w:sz w:val="23"/>
          <w:szCs w:val="23"/>
        </w:rPr>
        <w:t xml:space="preserve">Isaiah 33:22 binds three offices together in a single divine confession: “For the LORD is our judge, the LORD is our lawgiver, the LORD is our king; He will save us.” All three offices — judge, lawgiver, and king — belong to YHWH. The New Testament transfers each of them to Christ without embarrassment. He will “come in the glory of His Father with His angels, and then He shall reward every man according to his works” (Matthew 16:27); at the close of the age He will dispatch His angels to separate the righteous from the wicked, who will be cast into a furnace of fire (Matthew 13:40–42); and in the closing words of Scripture itself He declares, “Behold, I come quickly, and My reward is with Me, to give every man according as his work shall be” (Revelation 22:12) — language indistinguishable from YHWH's own self-description as universal Judge (cf. 1 Samuel 2:10, “The LORD shall judge the ends of the earth”). The same verse that makes YHWH “lawgiver” illuminates Christ's authority, displayed throughout the Sermon on the Mount, to reissue and fulfill the Torah on His own word (“But I say unto you...”, Matthew 5:21–48) — the voice not of an interpreter of the Law but of the One who gave it.</w:t>
      </w:r>
    </w:p>
    <w:p>
      <w:pPr>
        <w:pStyle w:val="Heading2"/>
        <w:spacing w:after="140" w:before="320"/>
      </w:pPr>
      <w:r>
        <w:rPr>
          <w:color w:val="1F2A44"/>
        </w:rPr>
        <w:t xml:space="preserve">3. Christ Is Lord of the Sabbath</w:t>
      </w:r>
    </w:p>
    <w:p>
      <w:pPr>
        <w:pBdr>
          <w:left w:val="single" w:color="8B6914" w:sz="12" w:space="8"/>
        </w:pBdr>
        <w:spacing w:after="180" w:before="0"/>
        <w:ind w:left="360"/>
      </w:pPr>
      <w:r>
        <w:rPr>
          <w:i/>
          <w:iCs/>
          <w:color w:val="1F2A44"/>
          <w:sz w:val="22"/>
          <w:szCs w:val="22"/>
        </w:rPr>
        <w:t xml:space="preserve">Exodus 20:10; Matthew 12:7–9; Mark 2:27–28</w:t>
      </w:r>
    </w:p>
    <w:p>
      <w:pPr>
        <w:spacing w:after="160" w:before="0" w:line="276"/>
        <w:jc w:val="both"/>
      </w:pPr>
      <w:r>
        <w:rPr>
          <w:sz w:val="23"/>
          <w:szCs w:val="23"/>
        </w:rPr>
        <w:t xml:space="preserve">The Sabbath is explicitly “a sabbath unto the LORD thy God” (Exodus 20:10) — it belongs to YHWH as His own institution, marking creation and covenant. When the Pharisees accuse His disciples of breaking it, Jesus does not appeal to a special dispensation; He claims outright ownership: “The Sabbath was made for man, and not man for the Sabbath: therefore the Son of Man is Lord even of the Sabbath” (Mark 2:27–28). To claim lordship over an institution that Scripture says belongs to YHWH alone is to claim, in substance, to be YHWH.</w:t>
      </w:r>
    </w:p>
    <w:p>
      <w:pPr>
        <w:pStyle w:val="Heading2"/>
        <w:spacing w:after="140" w:before="320"/>
      </w:pPr>
      <w:r>
        <w:rPr>
          <w:color w:val="1F2A44"/>
        </w:rPr>
        <w:t xml:space="preserve">4. Christ Walks on Water and Calms the Storm</w:t>
      </w:r>
    </w:p>
    <w:p>
      <w:pPr>
        <w:pBdr>
          <w:left w:val="single" w:color="8B6914" w:sz="12" w:space="8"/>
        </w:pBdr>
        <w:spacing w:after="180" w:before="0"/>
        <w:ind w:left="360"/>
      </w:pPr>
      <w:r>
        <w:rPr>
          <w:i/>
          <w:iCs/>
          <w:color w:val="1F2A44"/>
          <w:sz w:val="22"/>
          <w:szCs w:val="22"/>
        </w:rPr>
        <w:t xml:space="preserve">Job 9:8; Psalm 107:29; Matthew 8:26; Matthew 14:25</w:t>
      </w:r>
    </w:p>
    <w:p>
      <w:pPr>
        <w:spacing w:after="160" w:before="0" w:line="276"/>
        <w:jc w:val="both"/>
      </w:pPr>
      <w:r>
        <w:rPr>
          <w:sz w:val="23"/>
          <w:szCs w:val="23"/>
        </w:rPr>
        <w:t xml:space="preserve">Job praises God as the One “who alone stretches out the heavens, and treads on the waves of the sea” (Job 9:8) — in the Hebrew imagination, walking upon the sea is an act peculiar to the Creator, since the sea represents chaos that only God can master. The Psalmist likewise praises YHWH: “He stilleth the storm, so that the waves thereof are still” (Psalm 107:29). Both acts — treading the sea and stilling the storm — are performed by Jesus in His own person and by His own command: He walks to the disciples across the water (Matthew 14:25) and rebukes the wind and sea with a single word, after which “there was a great calm” (Matthew 8:26). The disciples' question — “What manner of man is this, that even the winds and the sea obey Him?” — is the right question; the only adequate answer is the one the Old Testament has already supplied.</w:t>
      </w:r>
    </w:p>
    <w:p>
      <w:pPr>
        <w:pStyle w:val="Heading2"/>
        <w:spacing w:after="140" w:before="320"/>
      </w:pPr>
      <w:r>
        <w:rPr>
          <w:color w:val="1F2A44"/>
        </w:rPr>
        <w:t xml:space="preserve">5. Christ Is the Creator</w:t>
      </w:r>
    </w:p>
    <w:p>
      <w:pPr>
        <w:pBdr>
          <w:left w:val="single" w:color="8B6914" w:sz="12" w:space="8"/>
        </w:pBdr>
        <w:spacing w:after="180" w:before="0"/>
        <w:ind w:left="360"/>
      </w:pPr>
      <w:r>
        <w:rPr>
          <w:i/>
          <w:iCs/>
          <w:color w:val="1F2A44"/>
          <w:sz w:val="22"/>
          <w:szCs w:val="22"/>
        </w:rPr>
        <w:t xml:space="preserve">Genesis 1:1; Psalm 146:8; Isaiah 35:5; John 9:6–7, 32</w:t>
      </w:r>
    </w:p>
    <w:p>
      <w:pPr>
        <w:spacing w:after="160" w:before="0" w:line="276"/>
        <w:jc w:val="both"/>
      </w:pPr>
      <w:r>
        <w:rPr>
          <w:sz w:val="23"/>
          <w:szCs w:val="23"/>
        </w:rPr>
        <w:t xml:space="preserve">This category gathers an especially elegant chain of texts. Genesis 1:1 establishes that creation is the defining divine act: “In the beginning God created the heavens and the earth.” Psalm 146:8 then specifies a particular divine work that the catechism notes link to creation: “The LORD openeth the eyes of the blind.” Isaiah 35:5 places this same act within the expected signs of the messianic age: “Then the eyes of the blind shall be opened.” John's Gospel records Jesus performing exactly this sign — and performing it, notably, by an act that mimics the original creation of man from the dust of the earth: He “spat on the ground, and made clay of the spittle, and He anointed the eyes of the blind man” (John 9:6–7), echoing the forming of Adam from the dust and the breath of life (Genesis 2:7). The man born blind himself draws the theological conclusion that escapes the Pharisees: “Since the world began was it not heard that any man opened the eyes of one that was born blind” (John 9:32) — this had never happened before, because it is not a healing in the ordinary sense (restoring sight that was lost) but a creative act, supplying a faculty that had never existed. John 1:3 and Colossians 1:16 make the same point with full generality: “All things were made by Him; and without Him was not any thing made that was made” — not one part of creation, visible or invisible, came into being apart from the Word.</w:t>
      </w:r>
    </w:p>
    <w:p>
      <w:pPr>
        <w:pStyle w:val="Heading2"/>
        <w:spacing w:after="140" w:before="320"/>
      </w:pPr>
      <w:r>
        <w:rPr>
          <w:color w:val="1F2A44"/>
        </w:rPr>
        <w:t xml:space="preserve">6. Christ Is Maker of the Law</w:t>
      </w:r>
    </w:p>
    <w:p>
      <w:pPr>
        <w:pStyle w:val="Heading2"/>
        <w:keepNext/>
      </w:pPr>
      <w:r>
        <w:t>7. Christ Sustains All Things</w:t>
      </w:r>
    </w:p>
    <w:p>
      <w:r>
        <w:t>Creation is not only an event in the past; it is also God's continual sustaining of all that exists. Hebrews 1 says that the Son upholds all things by the word of His power, and Colossians 1 says that in Him all things hold together. This is not the work of an angelic deputy who merely executes orders. To sustain being itself is a divine act. Every breath, atom, power, throne, and principality remains in existence because the Son is not one item within creation but the Lord through whom creation is held in being.</w:t>
      </w:r>
    </w:p>
    <w:p>
      <w:pPr>
        <w:pStyle w:val="Heading2"/>
        <w:keepNext/>
      </w:pPr>
      <w:r>
        <w:t>8. Christ Is Invoked in Prayer</w:t>
      </w:r>
    </w:p>
    <w:p>
      <w:r>
        <w:t>The earliest Christians do not merely speak about Jesus; they call upon Him. Stephen prays, “Lord Jesus, receive my spirit” (Acts 7:59). Paul describes Christians as those who call upon the name of our Lord Jesus Christ (1 Corinthians 1:2). The Aramaic prayer Maranatha, “Our Lord, come,” preserved in 1 Corinthians 16:22 and echoed at the end of Revelation, shows devotion to Jesus embedded in the worshiping life of the apostolic Church. Prayer offered to Christ is not an ornamental detail; it is lived Christology.</w:t>
      </w:r>
    </w:p>
    <w:p>
      <w:pPr>
        <w:pBdr>
          <w:left w:val="single" w:color="8B6914" w:sz="12" w:space="8"/>
        </w:pBdr>
        <w:spacing w:after="180" w:before="0"/>
        <w:ind w:left="360"/>
      </w:pPr>
      <w:r>
        <w:rPr>
          <w:i/>
          <w:iCs/>
          <w:color w:val="1F2A44"/>
          <w:sz w:val="22"/>
          <w:szCs w:val="22"/>
        </w:rPr>
        <w:t xml:space="preserve">Isaiah 33:22</w:t>
      </w:r>
    </w:p>
    <w:p>
      <w:pPr>
        <w:spacing w:after="160" w:before="0" w:line="276"/>
        <w:jc w:val="both"/>
      </w:pPr>
      <w:r>
        <w:rPr>
          <w:sz w:val="23"/>
          <w:szCs w:val="23"/>
        </w:rPr>
        <w:t xml:space="preserve">As noted above, Isaiah 33:22 names YHWH Himself as Israel's lawgiver (מחֹּקֵק, mechoqeq). The New Testament shows Christ exercising exactly this authority: He does not merely transmit or comment upon the Mosaic Law as a rabbi among rabbis; He speaks as One with the standing to deepen, fulfill, and in certain particulars supersede it on His own authority (“I say unto you,” repeated six times in Matthew 5), precisely as the One who gave it at Sinai in the first place (cf. 1 Corinthians 10:4, where Paul identifies the “spiritual Rock that followed” Israel in the wilderness as Christ Himself).</w:t>
      </w:r>
    </w:p>
    <w:p>
      <w:pPr>
        <w:pStyle w:val="Heading1"/>
        <w:pBdr>
          <w:bottom w:val="single" w:color="8B6914" w:sz="8" w:space="4"/>
        </w:pBdr>
        <w:spacing w:after="200" w:before="480"/>
      </w:pPr>
      <w:r>
        <w:t>VI. The Indirect but Unmistakable Claim</w:t>
      </w:r>
    </w:p>
    <w:p>
      <w:pPr>
        <w:pStyle w:val="Heading2"/>
        <w:spacing w:after="140" w:before="320"/>
      </w:pPr>
      <w:r>
        <w:rPr>
          <w:color w:val="1F2A44"/>
        </w:rPr>
        <w:t xml:space="preserve">Why Jesus Did Not Simply Say, “I Am God, Worship Me”</w:t>
      </w:r>
    </w:p>
    <w:p>
      <w:pPr>
        <w:spacing w:after="160" w:before="0" w:line="276"/>
        <w:jc w:val="both"/>
      </w:pPr>
      <w:r>
        <w:t>A frequent objection — raised often, in many contemporary apologetic conversations, by Jehovah's Witnesses and other non-trinitarian interlocutors — is that Jesus never uttered the bare sentence “I am God; worship Me.” The catechism notes anticipate this objection directly: Jesus did not say this because to do so, in plain and unqualified terms, before a Sanhedrin empowered to execute blasphemers, would have ended His ministry before its appointed hour. Leviticus 24:16 prescribes death by stoning for “whosoever blasphemeth the name of the LORD,” and first-century Jewish jurisprudence treated an explicit claim to be YHWH as the paradigm case of blasphemy. The Gospel record shows, again and again, that whenever Jesus made His identity unmistakably clear — through claims that could not be heard any other way by His audience — the response was an attempt to kill Him on the spot, which is itself strong evidence of how His contemporaries actually understood His words, as opposed to how a modern reader detached from that legal context might construe them.</w:t>
      </w:r>
    </w:p>
    <w:p>
      <w:pPr>
        <w:pStyle w:val="Heading2"/>
        <w:spacing w:after="140" w:before="320"/>
      </w:pPr>
      <w:r>
        <w:rPr>
          <w:color w:val="1F2A44"/>
        </w:rPr>
        <w:t xml:space="preserve">“I and the Father Are One”</w:t>
      </w:r>
    </w:p>
    <w:p>
      <w:pPr>
        <w:pBdr>
          <w:left w:val="single" w:color="8B6914" w:sz="12" w:space="8"/>
        </w:pBdr>
        <w:spacing w:after="180" w:before="0"/>
        <w:ind w:left="360"/>
      </w:pPr>
      <w:r>
        <w:rPr>
          <w:i/>
          <w:iCs/>
          <w:color w:val="1F2A44"/>
          <w:sz w:val="22"/>
          <w:szCs w:val="22"/>
        </w:rPr>
        <w:t xml:space="preserve">John 10:30–33</w:t>
      </w:r>
    </w:p>
    <w:p>
      <w:pPr>
        <w:spacing w:after="160" w:before="0" w:line="276"/>
        <w:jc w:val="both"/>
      </w:pPr>
      <w:r>
        <w:rPr>
          <w:sz w:val="23"/>
          <w:szCs w:val="23"/>
        </w:rPr>
        <w:t xml:space="preserve">“I and My Father are one” (ἐγὼ καὶ ὁ πατὴρ ἑν ἐσμεν) — the neuter ἑν, “one thing,” rather than the masculine “one person,” indicates a oneness of nature and power rather than a collapsing of the Father and Son into a single person, which is exactly the distinction the later doctrine of the Trinity preserves. The Jews who heard Him did not need a seminary education to grasp His meaning: “Then the Jews took up stones again to stone Him”, explaining their action without ambiguity: “for blasphemy; and because that Thou, being a man, makest Thyself God.”</w:t>
      </w:r>
    </w:p>
    <w:p>
      <w:pPr>
        <w:pStyle w:val="Heading2"/>
        <w:spacing w:after="140" w:before="320"/>
      </w:pPr>
      <w:r>
        <w:rPr>
          <w:color w:val="1F2A44"/>
        </w:rPr>
        <w:t xml:space="preserve">Equal Authority to Give Life and to Judge</w:t>
      </w:r>
    </w:p>
    <w:p>
      <w:pPr>
        <w:pBdr>
          <w:left w:val="single" w:color="8B6914" w:sz="12" w:space="8"/>
        </w:pBdr>
        <w:spacing w:after="180" w:before="0"/>
        <w:ind w:left="360"/>
      </w:pPr>
      <w:r>
        <w:rPr>
          <w:i/>
          <w:iCs/>
          <w:color w:val="1F2A44"/>
          <w:sz w:val="22"/>
          <w:szCs w:val="22"/>
        </w:rPr>
        <w:t xml:space="preserve">John 5:21–22</w:t>
      </w:r>
    </w:p>
    <w:p>
      <w:pPr>
        <w:spacing w:after="160" w:before="0" w:line="276"/>
        <w:jc w:val="both"/>
      </w:pPr>
      <w:r>
        <w:rPr>
          <w:sz w:val="23"/>
          <w:szCs w:val="23"/>
        </w:rPr>
        <w:t xml:space="preserve">“For as the Father raiseth up the dead, and quickeneth them; even so the Son quickeneth whom He will... For the Father judgeth no man, but hath committed all judgment unto the Son.” Giving life and exercising final judgment are functions the Old Testament assigns to God alone (Deuteronomy 32:39; Psalm 9:8); Jesus claims both as His own, exercised with the same freedom (“whom He will”) the Father exercises.</w:t>
      </w:r>
    </w:p>
    <w:p>
      <w:pPr>
        <w:pStyle w:val="Heading2"/>
        <w:spacing w:after="140" w:before="320"/>
      </w:pPr>
      <w:r>
        <w:rPr>
          <w:color w:val="1F2A44"/>
        </w:rPr>
        <w:t xml:space="preserve">“My Father” — Making Himself Equal with God</w:t>
      </w:r>
    </w:p>
    <w:p>
      <w:pPr>
        <w:pBdr>
          <w:left w:val="single" w:color="8B6914" w:sz="12" w:space="8"/>
        </w:pBdr>
        <w:spacing w:after="180" w:before="0"/>
        <w:ind w:left="360"/>
      </w:pPr>
      <w:r>
        <w:rPr>
          <w:i/>
          <w:iCs/>
          <w:color w:val="1F2A44"/>
          <w:sz w:val="22"/>
          <w:szCs w:val="22"/>
        </w:rPr>
        <w:t xml:space="preserve">John 5:17–18</w:t>
      </w:r>
    </w:p>
    <w:p>
      <w:pPr>
        <w:spacing w:after="160" w:before="0" w:line="276"/>
        <w:jc w:val="both"/>
      </w:pPr>
      <w:r>
        <w:rPr>
          <w:sz w:val="23"/>
          <w:szCs w:val="23"/>
        </w:rPr>
        <w:t xml:space="preserve">“My Father worketh, and I work... Therefore the Jews sought the more to kill Him, because He not only had broken the Sabbath, but said also that God was His Father, making Himself equal with God.” The Evangelist is explicit about how the claim was received: not as a pious metaphor available to any devout Israelite (all Israel could call God “Father” in a covenantal sense, cf. Deuteronomy 32:6), but as a claim to a unique and equal sonship that placed Jesus on God's own level.</w:t>
      </w:r>
    </w:p>
    <w:p>
      <w:pPr>
        <w:pStyle w:val="Heading2"/>
        <w:spacing w:after="140" w:before="320"/>
      </w:pPr>
      <w:r>
        <w:rPr>
          <w:color w:val="1F2A44"/>
        </w:rPr>
        <w:t xml:space="preserve">“Before Abraham Was, I AM”</w:t>
      </w:r>
    </w:p>
    <w:p>
      <w:pPr>
        <w:pBdr>
          <w:left w:val="single" w:color="8B6914" w:sz="12" w:space="8"/>
        </w:pBdr>
        <w:spacing w:after="180" w:before="0"/>
        <w:ind w:left="360"/>
      </w:pPr>
      <w:r>
        <w:rPr>
          <w:i/>
          <w:iCs/>
          <w:color w:val="1F2A44"/>
          <w:sz w:val="22"/>
          <w:szCs w:val="22"/>
        </w:rPr>
        <w:t xml:space="preserve">John 8:58–59; Exodus 3:13–14</w:t>
      </w:r>
    </w:p>
    <w:p>
      <w:pPr>
        <w:spacing w:after="160" w:before="0" w:line="276"/>
        <w:jc w:val="both"/>
      </w:pPr>
      <w:r>
        <w:rPr>
          <w:sz w:val="23"/>
          <w:szCs w:val="23"/>
        </w:rPr>
        <w:t xml:space="preserve">When Moses asks God's name at the burning bush, the answer given is אֶהַיֶה אֲשֶּר אֶהַיֶה (Ehyeh Asher Ehyeh), “I AM WHO I AM,” the very root of the Divine Name YHWH (Exodus 3:14). When Jesus says, ἀμὴν ἀμὴν λέγω ὑμῖν, πρὶν Ἀβραὰμ γενέσθαι ἐγὼ εἰμί, “Before Abraham was, I AM” — not “I was,” which would simply claim pre-existence, but the present-tense ἐγὼ εἰμί, deliberately echoing the Septuagint's ἐγὼ εἰμι in Exodus 3:14 — His hearers respond exactly as they did at the Sabbath controversy and the “one with the Father” claim: “Then took they up stones to cast at Him.” They understood He was claiming the Divine Name itself, not merely a long lifespan.</w:t>
      </w:r>
    </w:p>
    <w:p>
      <w:pPr>
        <w:pStyle w:val="Heading2"/>
        <w:spacing w:after="140" w:before="320"/>
      </w:pPr>
      <w:r>
        <w:rPr>
          <w:color w:val="1F2A44"/>
        </w:rPr>
        <w:t xml:space="preserve">The Sanhedrin's Verdict: Blasphemy</w:t>
      </w:r>
    </w:p>
    <w:p>
      <w:pPr>
        <w:pBdr>
          <w:left w:val="single" w:color="8B6914" w:sz="12" w:space="8"/>
        </w:pBdr>
        <w:spacing w:after="180" w:before="0"/>
        <w:ind w:left="360"/>
      </w:pPr>
      <w:r>
        <w:rPr>
          <w:i/>
          <w:iCs/>
          <w:color w:val="1F2A44"/>
          <w:sz w:val="22"/>
          <w:szCs w:val="22"/>
        </w:rPr>
        <w:t xml:space="preserve">Matthew 26:63–65; Mark 14:61–62; Daniel 7:13</w:t>
      </w:r>
    </w:p>
    <w:p>
      <w:pPr>
        <w:spacing w:after="160" w:before="0" w:line="276"/>
        <w:jc w:val="both"/>
      </w:pPr>
      <w:r>
        <w:rPr>
          <w:sz w:val="23"/>
          <w:szCs w:val="23"/>
        </w:rPr>
        <w:t xml:space="preserve">At His trial, the high priest puts the question directly: “Art Thou the Christ, the Son of God?” Jesus answers, “Thou hast said” (Matthew) / “I am” (Mark), and then deliberately invokes Daniel 7:13–14 — the vision of “one like the Son of Man” who comes on the clouds of heaven to receive an everlasting, universal dominion from the Ancient of Days, a figure understood in Second Temple Jewish exegesis to share in divine prerogatives. The high priest's reaction is recorded precisely: he tears his garments and declares, “He hath spoken blasphemy... what think ye?” and the council answers, “He is guilty of death.” The charge brought against Jesus, in the Sanhedrin's own legal judgment, was a claim to divine identity — confirming, from the mouths of His accusers, exactly what His self-disclosures had been understood to mean throughout His ministry.</w:t>
      </w:r>
    </w:p>
    <w:p>
      <w:pPr>
        <w:pStyle w:val="Heading2"/>
        <w:spacing w:after="140" w:before="320"/>
      </w:pPr>
      <w:r>
        <w:rPr>
          <w:color w:val="1F2A44"/>
        </w:rPr>
        <w:t xml:space="preserve">The First and the Last</w:t>
      </w:r>
    </w:p>
    <w:p>
      <w:pPr>
        <w:pBdr>
          <w:left w:val="single" w:color="8B6914" w:sz="12" w:space="8"/>
        </w:pBdr>
        <w:spacing w:after="180" w:before="0"/>
        <w:ind w:left="360"/>
      </w:pPr>
      <w:r>
        <w:rPr>
          <w:i/>
          <w:iCs/>
          <w:color w:val="1F2A44"/>
          <w:sz w:val="22"/>
          <w:szCs w:val="22"/>
        </w:rPr>
        <w:t xml:space="preserve">Revelation 1:17–18; Isaiah 44:6</w:t>
      </w:r>
    </w:p>
    <w:p>
      <w:pPr>
        <w:spacing w:after="160" w:before="0" w:line="276"/>
        <w:jc w:val="both"/>
      </w:pPr>
      <w:r>
        <w:rPr>
          <w:sz w:val="23"/>
          <w:szCs w:val="23"/>
        </w:rPr>
        <w:t xml:space="preserve">YHWH declares through Isaiah, “I am the first, and I am the last; and besides Me there is no God” (Isaiah 44:6) — a self-description meant to exclude any rival. The risen Christ appears to John and applies this very title to Himself without qualification: “I am the first and the last: I am He that liveth, and was dead; and, behold, I am alive for evermore” (Revelation 1:17–18). The same title that YHWH uses to assert His uniqueness over against all false gods is taken up, in the closing book of the Christian Scriptures, by the glorified Jesus.</w:t>
      </w:r>
    </w:p>
    <w:p>
      <w:pPr>
        <w:pStyle w:val="Heading1"/>
        <w:keepNext/>
      </w:pPr>
      <w:r>
        <w:t>VII. Worship Given to Christ</w:t>
      </w:r>
    </w:p>
    <w:p>
      <w:r>
        <w:t>Scripture does not merely call Christ by divine titles or attribute divine works to Him; it shows Him receiving the kind of reverence that belongs to God. This is especially important because both the Old and New Testaments fiercely reject worship offered to creatures. Angels refuse it. Apostles refuse it. God alone is to be served and adored. Yet Jesus receives worship without rebuke, and the heavenly liturgy centers on the Lamb.</w:t>
      </w:r>
    </w:p>
    <w:p>
      <w:pPr>
        <w:pStyle w:val="Heading2"/>
        <w:keepNext/>
      </w:pPr>
      <w:r>
        <w:t>Matthew 14:33; Matthew 28:9, 17 — Worship After Revelation</w:t>
      </w:r>
    </w:p>
    <w:p>
      <w:r>
        <w:t>After Jesus walks on the sea and stills the fear of the disciples, those in the boat worship Him and confess, “Truly You are the Son of God.” After the Resurrection, the women take hold of His feet and worship Him; the eleven also worship on the mountain in Galilee. These scenes are not accidental gestures of respect. They follow revelations of divine authority over creation and death.</w:t>
      </w:r>
    </w:p>
    <w:p>
      <w:pPr>
        <w:pStyle w:val="Heading2"/>
        <w:keepNext/>
      </w:pPr>
      <w:r>
        <w:t>John 9:35–38 and Hebrews 1:6 — Worship Commanded</w:t>
      </w:r>
    </w:p>
    <w:p>
      <w:r>
        <w:t>When the man born blind confesses faith in the Son of God, he worships Jesus, and Jesus accepts it. Hebrews goes further: when the Firstborn is brought into the world, the angels of God are commanded to worship Him. A created angel may not receive worship, but the Son is worshiped by angels because He is not a fellow creature. He is the radiance of the Father's glory and the exact image of His hypostasis.</w:t>
      </w:r>
    </w:p>
    <w:p>
      <w:pPr>
        <w:pStyle w:val="Heading2"/>
        <w:keepNext/>
      </w:pPr>
      <w:r>
        <w:t>Revelation 5 — The Lamb on the Throne</w:t>
      </w:r>
    </w:p>
    <w:p>
      <w:pPr>
        <w:pStyle w:val="Heading2"/>
        <w:keepNext/>
      </w:pPr>
      <w:r>
        <w:t>Maranatha and the Earliest Prayer to Jesus</w:t>
      </w:r>
    </w:p>
    <w:p>
      <w:r>
        <w:t>Maranatha matters because it is Aramaic, not later Greek theological vocabulary. It likely reaches back into the earliest Semitic-speaking Christian communities. A prayer asking the Lord Jesus to come assumes that He is alive, heavenly, able to answer, and worthy to be addressed in worship. This is not a fourth-century invention projected backward; it is embedded in Paul's first-century letters.</w:t>
      </w:r>
    </w:p>
    <w:p>
      <w:pPr>
        <w:pStyle w:val="Heading2"/>
        <w:keepNext/>
      </w:pPr>
      <w:r>
        <w:t>Pliny the Younger — A Pagan Witness to Christian Worship</w:t>
      </w:r>
    </w:p>
    <w:p>
      <w:r>
        <w:t>Around AD 112, the Roman governor Pliny wrote to Trajan that Christians met before dawn and sang a hymn to Christ “as to a god.” Pliny was not trying to defend Christianity; he was interrogating Christians as a Roman official. That makes his testimony valuable: from outside the Church, he confirms that worship of Christ was already a recognizable marker of Christian identity at the beginning of the second century.</w:t>
      </w:r>
    </w:p>
    <w:p>
      <w:pPr>
        <w:pStyle w:val="Heading2"/>
        <w:keepNext/>
      </w:pPr>
      <w:r>
        <w:t>Justin Martyr — Worship of Father, Son, and Spirit</w:t>
      </w:r>
    </w:p>
    <w:p>
      <w:r>
        <w:t>By the mid-second century, St. Justin Martyr could explain Christian worship to the Roman emperor by saying that Christians worship the true God, the Son who came from Him, and the prophetic Spirit. Justin's language is not yet the later technical vocabulary of Nicaea, but the devotional pattern is unmistakably trinitarian in seed: Christian worship is directed to the Father through and with the Son in the Holy Spirit.</w:t>
      </w:r>
    </w:p>
    <w:p>
      <w:r>
        <w:t>Revelation 5 places the slain and risen Lamb inside the worship of heaven. Blessing, honor, glory, and power are given “to Him who sits on the throne, and to the Lamb.” The doxology does not split worship between God and a creature; it reveals the one divine worship shared by the Father and the Son. This is why Christian prayer, hymnody, and liturgy are christological without becoming idolatrous.</w:t>
      </w:r>
    </w:p>
    <w:p>
      <w:pPr>
        <w:pStyle w:val="Heading1"/>
        <w:pBdr>
          <w:bottom w:val="single" w:color="8B6914" w:sz="8" w:space="4"/>
        </w:pBdr>
        <w:spacing w:after="200" w:before="480"/>
      </w:pPr>
      <w:r>
        <w:t>VIII. The Omnipresence of Christ</w:t>
      </w:r>
    </w:p>
    <w:p>
      <w:pPr>
        <w:pBdr>
          <w:left w:val="single" w:color="8B6914" w:sz="12" w:space="8"/>
        </w:pBdr>
        <w:spacing w:after="180" w:before="0"/>
        <w:ind w:left="360"/>
      </w:pPr>
      <w:r>
        <w:rPr>
          <w:i/>
          <w:iCs/>
          <w:color w:val="1F2A44"/>
          <w:sz w:val="22"/>
          <w:szCs w:val="22"/>
        </w:rPr>
        <w:t xml:space="preserve">Matthew 18:20; Matthew 28:20</w:t>
      </w:r>
    </w:p>
    <w:p>
      <w:pPr>
        <w:spacing w:after="160" w:before="0" w:line="276"/>
        <w:jc w:val="both"/>
      </w:pPr>
      <w:r>
        <w:rPr>
          <w:sz w:val="23"/>
          <w:szCs w:val="23"/>
        </w:rPr>
        <w:t xml:space="preserve">Omnipresence — being wholly present everywhere at once, without division or diminishment — is not a creaturely attribute; even the holiest angel or saint is present in only one place at a time. Jesus claims this attribute of Himself in two deliberately universal promises. To His Church gathered for prayer and discipline, however small the gathering, He promises: “For where two or three are gathered together in My name, there am I in the midst of them” (Matthew 18:20) — not symbolically remembered, but personally present, in every such gathering, in every place, simultaneously. And in the Great Commission, His final promise extends across both space and time: “Lo, I am with you always, even unto the end of the world” (Matthew 28:20). This is the theological ground of the Church's confidence that Christ is truly present in the Liturgy and in the Eucharist celebrated simultaneously in countless churches across the world — a confidence that presupposes exactly the attribute claimed in these two verses.</w:t>
      </w:r>
    </w:p>
    <w:p>
      <w:pPr>
        <w:pStyle w:val="Heading1"/>
        <w:pBdr>
          <w:bottom w:val="single" w:color="8B6914" w:sz="8" w:space="4"/>
        </w:pBdr>
        <w:spacing w:after="200" w:before="480"/>
      </w:pPr>
      <w:r>
        <w:t>IX. The Holy Trinity — A Comparative Table</w:t>
      </w:r>
    </w:p>
    <w:p>
      <w:pPr>
        <w:spacing w:after="160" w:before="0" w:line="276"/>
        <w:jc w:val="both"/>
      </w:pPr>
      <w:r>
        <w:t>The comparative table below sets out a classic instructional device: eight divine attributes and activities, each demonstrated in Scripture for all three Persons of the Godhead — Father, Son, and Holy Spirit — individually. The argument is cumulative rather than dependent on any single proof text: if Scripture independently calls each Person “God,” ascribes creation to each, asserts the omnipresence and omniscience of each, calls each eternal, attributes will, speech, and love to each, then the only way to remain faithful to all of these texts at once — without either denying plain Scripture or confessing three gods — is the doctrine the Church has always taught: one God in three co-equal, co-eternal, consubstantial Persons.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400"/>
        <w:gridCol w:w="2320"/>
        <w:gridCol w:w="2320"/>
        <w:gridCol w:w="2320"/>
      </w:tblGrid>
      <w:tr>
        <w:trPr>
          <w:tblHeader/>
        </w:trPr>
        <w:tc>
          <w:tcPr>
            <w:tcW w:type="dxa" w:w="2400"/>
            <w:tcBorders>
              <w:top w:val="single" w:color="B8A874" w:sz="2"/>
              <w:left w:val="single" w:color="B8A874" w:sz="2"/>
              <w:bottom w:val="single" w:color="B8A874" w:sz="2"/>
              <w:right w:val="single" w:color="B8A874" w:sz="2"/>
            </w:tcBorders>
            <w:shd w:fill="1F2A44" w:val="clear"/>
            <w:tcMar>
              <w:top w:type="dxa" w:w="90"/>
              <w:left w:type="dxa" w:w="120"/>
              <w:bottom w:type="dxa" w:w="90"/>
              <w:right w:type="dxa" w:w="120"/>
            </w:tcMar>
            <w:vAlign w:val="center"/>
          </w:tcPr>
          <w:p>
            <w:pPr>
              <w:jc w:val="center"/>
            </w:pPr>
            <w:r>
              <w:rPr>
                <w:b/>
                <w:bCs/>
                <w:color w:val="FFFFFF"/>
                <w:sz w:val="21"/>
                <w:szCs w:val="21"/>
              </w:rPr>
              <w:t xml:space="preserve">Attribute</w:t>
            </w:r>
          </w:p>
        </w:tc>
        <w:tc>
          <w:tcPr>
            <w:tcW w:type="dxa" w:w="2320"/>
            <w:tcBorders>
              <w:top w:val="single" w:color="B8A874" w:sz="2"/>
              <w:left w:val="single" w:color="B8A874" w:sz="2"/>
              <w:bottom w:val="single" w:color="B8A874" w:sz="2"/>
              <w:right w:val="single" w:color="B8A874" w:sz="2"/>
            </w:tcBorders>
            <w:shd w:fill="1F2A44" w:val="clear"/>
            <w:tcMar>
              <w:top w:type="dxa" w:w="90"/>
              <w:left w:type="dxa" w:w="120"/>
              <w:bottom w:type="dxa" w:w="90"/>
              <w:right w:type="dxa" w:w="120"/>
            </w:tcMar>
            <w:vAlign w:val="center"/>
          </w:tcPr>
          <w:p>
            <w:pPr>
              <w:jc w:val="center"/>
            </w:pPr>
            <w:r>
              <w:rPr>
                <w:b/>
                <w:bCs/>
                <w:color w:val="FFFFFF"/>
                <w:sz w:val="21"/>
                <w:szCs w:val="21"/>
              </w:rPr>
              <w:t xml:space="preserve">Father</w:t>
            </w:r>
          </w:p>
        </w:tc>
        <w:tc>
          <w:tcPr>
            <w:tcW w:type="dxa" w:w="2320"/>
            <w:tcBorders>
              <w:top w:val="single" w:color="B8A874" w:sz="2"/>
              <w:left w:val="single" w:color="B8A874" w:sz="2"/>
              <w:bottom w:val="single" w:color="B8A874" w:sz="2"/>
              <w:right w:val="single" w:color="B8A874" w:sz="2"/>
            </w:tcBorders>
            <w:shd w:fill="1F2A44" w:val="clear"/>
            <w:tcMar>
              <w:top w:type="dxa" w:w="90"/>
              <w:left w:type="dxa" w:w="120"/>
              <w:bottom w:type="dxa" w:w="90"/>
              <w:right w:type="dxa" w:w="120"/>
            </w:tcMar>
            <w:vAlign w:val="center"/>
          </w:tcPr>
          <w:p>
            <w:pPr>
              <w:jc w:val="center"/>
            </w:pPr>
            <w:r>
              <w:rPr>
                <w:b/>
                <w:bCs/>
                <w:color w:val="FFFFFF"/>
                <w:sz w:val="21"/>
                <w:szCs w:val="21"/>
              </w:rPr>
              <w:t xml:space="preserve">Son</w:t>
            </w:r>
          </w:p>
        </w:tc>
        <w:tc>
          <w:tcPr>
            <w:tcW w:type="dxa" w:w="2320"/>
            <w:tcBorders>
              <w:top w:val="single" w:color="B8A874" w:sz="2"/>
              <w:left w:val="single" w:color="B8A874" w:sz="2"/>
              <w:bottom w:val="single" w:color="B8A874" w:sz="2"/>
              <w:right w:val="single" w:color="B8A874" w:sz="2"/>
            </w:tcBorders>
            <w:shd w:fill="1F2A44" w:val="clear"/>
            <w:tcMar>
              <w:top w:type="dxa" w:w="90"/>
              <w:left w:type="dxa" w:w="120"/>
              <w:bottom w:type="dxa" w:w="90"/>
              <w:right w:type="dxa" w:w="120"/>
            </w:tcMar>
            <w:vAlign w:val="center"/>
          </w:tcPr>
          <w:p>
            <w:pPr>
              <w:jc w:val="center"/>
            </w:pPr>
            <w:r>
              <w:rPr>
                <w:b/>
                <w:bCs/>
                <w:color w:val="FFFFFF"/>
                <w:sz w:val="21"/>
                <w:szCs w:val="21"/>
              </w:rPr>
              <w:t xml:space="preserve">Holy Spirit</w:t>
            </w:r>
          </w:p>
        </w:tc>
      </w:tr>
      <w:tr>
        <w:tc>
          <w:tcPr>
            <w:tcW w:type="dxa" w:w="2400"/>
            <w:tcBorders>
              <w:top w:val="single" w:color="B8A874" w:sz="2"/>
              <w:left w:val="single" w:color="B8A874" w:sz="2"/>
              <w:bottom w:val="single" w:color="B8A874" w:sz="2"/>
              <w:right w:val="single" w:color="B8A874" w:sz="2"/>
            </w:tcBorders>
            <w:shd w:fill="F2E8D5" w:val="clear"/>
            <w:tcMar>
              <w:top w:type="dxa" w:w="90"/>
              <w:left w:type="dxa" w:w="120"/>
              <w:bottom w:type="dxa" w:w="90"/>
              <w:right w:type="dxa" w:w="120"/>
            </w:tcMar>
            <w:vAlign w:val="center"/>
          </w:tcPr>
          <w:p>
            <w:pPr>
              <w:jc w:val="left"/>
            </w:pPr>
            <w:r>
              <w:rPr>
                <w:b/>
                <w:bCs/>
                <w:color w:val="1A1A1A"/>
                <w:sz w:val="21"/>
                <w:szCs w:val="21"/>
              </w:rPr>
              <w:t xml:space="preserve">Called God</w:t>
            </w:r>
          </w:p>
        </w:tc>
        <w:tc>
          <w:tcPr>
            <w:tcW w:type="dxa" w:w="232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left"/>
            </w:pPr>
            <w:r>
              <w:rPr>
                <w:color w:val="1A1A1A"/>
                <w:sz w:val="21"/>
                <w:szCs w:val="21"/>
              </w:rPr>
              <w:t xml:space="preserve">Phil. 1:2</w:t>
            </w:r>
          </w:p>
        </w:tc>
        <w:tc>
          <w:tcPr>
            <w:tcW w:type="dxa" w:w="232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left"/>
            </w:pPr>
            <w:r>
              <w:rPr>
                <w:color w:val="1A1A1A"/>
                <w:sz w:val="21"/>
                <w:szCs w:val="21"/>
              </w:rPr>
              <w:t xml:space="preserve">John 1:1, 14</w:t>
            </w:r>
          </w:p>
        </w:tc>
        <w:tc>
          <w:tcPr>
            <w:tcW w:type="dxa" w:w="232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left"/>
            </w:pPr>
            <w:r>
              <w:rPr>
                <w:color w:val="1A1A1A"/>
                <w:sz w:val="21"/>
                <w:szCs w:val="21"/>
              </w:rPr>
              <w:t xml:space="preserve">Acts 5:3–4</w:t>
            </w:r>
          </w:p>
        </w:tc>
      </w:tr>
      <w:tr>
        <w:tc>
          <w:tcPr>
            <w:tcW w:type="dxa" w:w="2400"/>
            <w:tcBorders>
              <w:top w:val="single" w:color="B8A874" w:sz="2"/>
              <w:left w:val="single" w:color="B8A874" w:sz="2"/>
              <w:bottom w:val="single" w:color="B8A874" w:sz="2"/>
              <w:right w:val="single" w:color="B8A874" w:sz="2"/>
            </w:tcBorders>
            <w:shd w:fill="F2E8D5" w:val="clear"/>
            <w:tcMar>
              <w:top w:type="dxa" w:w="90"/>
              <w:left w:type="dxa" w:w="120"/>
              <w:bottom w:type="dxa" w:w="90"/>
              <w:right w:type="dxa" w:w="120"/>
            </w:tcMar>
            <w:vAlign w:val="center"/>
          </w:tcPr>
          <w:p>
            <w:pPr>
              <w:jc w:val="left"/>
            </w:pPr>
            <w:r>
              <w:rPr>
                <w:b/>
                <w:bCs/>
                <w:color w:val="1A1A1A"/>
                <w:sz w:val="21"/>
                <w:szCs w:val="21"/>
              </w:rPr>
              <w:t xml:space="preserve">Creator</w:t>
            </w:r>
          </w:p>
        </w:tc>
        <w:tc>
          <w:tcPr>
            <w:tcW w:type="dxa" w:w="2320"/>
            <w:tcBorders>
              <w:top w:val="single" w:color="B8A874" w:sz="2"/>
              <w:left w:val="single" w:color="B8A874" w:sz="2"/>
              <w:bottom w:val="single" w:color="B8A874" w:sz="2"/>
              <w:right w:val="single" w:color="B8A874" w:sz="2"/>
            </w:tcBorders>
            <w:shd w:fill="E8EEF5" w:val="clear"/>
            <w:tcMar>
              <w:top w:type="dxa" w:w="90"/>
              <w:left w:type="dxa" w:w="120"/>
              <w:bottom w:type="dxa" w:w="90"/>
              <w:right w:type="dxa" w:w="120"/>
            </w:tcMar>
            <w:vAlign w:val="center"/>
          </w:tcPr>
          <w:p>
            <w:pPr>
              <w:jc w:val="left"/>
            </w:pPr>
            <w:r>
              <w:rPr>
                <w:color w:val="1A1A1A"/>
                <w:sz w:val="21"/>
                <w:szCs w:val="21"/>
              </w:rPr>
              <w:t xml:space="preserve">Isaiah 64:8</w:t>
            </w:r>
          </w:p>
        </w:tc>
        <w:tc>
          <w:tcPr>
            <w:tcW w:type="dxa" w:w="2320"/>
            <w:tcBorders>
              <w:top w:val="single" w:color="B8A874" w:sz="2"/>
              <w:left w:val="single" w:color="B8A874" w:sz="2"/>
              <w:bottom w:val="single" w:color="B8A874" w:sz="2"/>
              <w:right w:val="single" w:color="B8A874" w:sz="2"/>
            </w:tcBorders>
            <w:shd w:fill="E8EEF5" w:val="clear"/>
            <w:tcMar>
              <w:top w:type="dxa" w:w="90"/>
              <w:left w:type="dxa" w:w="120"/>
              <w:bottom w:type="dxa" w:w="90"/>
              <w:right w:type="dxa" w:w="120"/>
            </w:tcMar>
            <w:vAlign w:val="center"/>
          </w:tcPr>
          <w:p>
            <w:pPr>
              <w:jc w:val="left"/>
            </w:pPr>
            <w:r>
              <w:rPr>
                <w:color w:val="1A1A1A"/>
                <w:sz w:val="21"/>
                <w:szCs w:val="21"/>
              </w:rPr>
              <w:t xml:space="preserve">John 1:3</w:t>
            </w:r>
          </w:p>
        </w:tc>
        <w:tc>
          <w:tcPr>
            <w:tcW w:type="dxa" w:w="2320"/>
            <w:tcBorders>
              <w:top w:val="single" w:color="B8A874" w:sz="2"/>
              <w:left w:val="single" w:color="B8A874" w:sz="2"/>
              <w:bottom w:val="single" w:color="B8A874" w:sz="2"/>
              <w:right w:val="single" w:color="B8A874" w:sz="2"/>
            </w:tcBorders>
            <w:shd w:fill="E8EEF5" w:val="clear"/>
            <w:tcMar>
              <w:top w:type="dxa" w:w="90"/>
              <w:left w:type="dxa" w:w="120"/>
              <w:bottom w:type="dxa" w:w="90"/>
              <w:right w:type="dxa" w:w="120"/>
            </w:tcMar>
            <w:vAlign w:val="center"/>
          </w:tcPr>
          <w:p>
            <w:pPr>
              <w:jc w:val="left"/>
            </w:pPr>
            <w:r>
              <w:rPr>
                <w:color w:val="1A1A1A"/>
                <w:sz w:val="21"/>
                <w:szCs w:val="21"/>
              </w:rPr>
              <w:t xml:space="preserve">Job 33:4; 26:13</w:t>
            </w:r>
          </w:p>
        </w:tc>
      </w:tr>
      <w:tr>
        <w:tc>
          <w:tcPr>
            <w:tcW w:type="dxa" w:w="2400"/>
            <w:tcBorders>
              <w:top w:val="single" w:color="B8A874" w:sz="2"/>
              <w:left w:val="single" w:color="B8A874" w:sz="2"/>
              <w:bottom w:val="single" w:color="B8A874" w:sz="2"/>
              <w:right w:val="single" w:color="B8A874" w:sz="2"/>
            </w:tcBorders>
            <w:shd w:fill="F2E8D5" w:val="clear"/>
            <w:tcMar>
              <w:top w:type="dxa" w:w="90"/>
              <w:left w:type="dxa" w:w="120"/>
              <w:bottom w:type="dxa" w:w="90"/>
              <w:right w:type="dxa" w:w="120"/>
            </w:tcMar>
            <w:vAlign w:val="center"/>
          </w:tcPr>
          <w:p>
            <w:pPr>
              <w:jc w:val="left"/>
            </w:pPr>
            <w:r>
              <w:rPr>
                <w:b/>
                <w:bCs/>
                <w:color w:val="1A1A1A"/>
                <w:sz w:val="21"/>
                <w:szCs w:val="21"/>
              </w:rPr>
              <w:t xml:space="preserve">Everywhere (Omnipresent)</w:t>
            </w:r>
          </w:p>
        </w:tc>
        <w:tc>
          <w:tcPr>
            <w:tcW w:type="dxa" w:w="232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left"/>
            </w:pPr>
            <w:r>
              <w:rPr>
                <w:color w:val="1A1A1A"/>
                <w:sz w:val="21"/>
                <w:szCs w:val="21"/>
              </w:rPr>
              <w:t xml:space="preserve">1 Kings 8:27</w:t>
            </w:r>
          </w:p>
        </w:tc>
        <w:tc>
          <w:tcPr>
            <w:tcW w:type="dxa" w:w="232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left"/>
            </w:pPr>
            <w:r>
              <w:rPr>
                <w:color w:val="1A1A1A"/>
                <w:sz w:val="21"/>
                <w:szCs w:val="21"/>
              </w:rPr>
              <w:t xml:space="preserve">Matthew 28:20</w:t>
            </w:r>
          </w:p>
        </w:tc>
        <w:tc>
          <w:tcPr>
            <w:tcW w:type="dxa" w:w="232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left"/>
            </w:pPr>
            <w:r>
              <w:rPr>
                <w:color w:val="1A1A1A"/>
                <w:sz w:val="21"/>
                <w:szCs w:val="21"/>
              </w:rPr>
              <w:t xml:space="preserve">Psalm 139:7–10</w:t>
            </w:r>
          </w:p>
        </w:tc>
      </w:tr>
      <w:tr>
        <w:tc>
          <w:tcPr>
            <w:tcW w:type="dxa" w:w="2400"/>
            <w:tcBorders>
              <w:top w:val="single" w:color="B8A874" w:sz="2"/>
              <w:left w:val="single" w:color="B8A874" w:sz="2"/>
              <w:bottom w:val="single" w:color="B8A874" w:sz="2"/>
              <w:right w:val="single" w:color="B8A874" w:sz="2"/>
            </w:tcBorders>
            <w:shd w:fill="F2E8D5" w:val="clear"/>
            <w:tcMar>
              <w:top w:type="dxa" w:w="90"/>
              <w:left w:type="dxa" w:w="120"/>
              <w:bottom w:type="dxa" w:w="90"/>
              <w:right w:type="dxa" w:w="120"/>
            </w:tcMar>
            <w:vAlign w:val="center"/>
          </w:tcPr>
          <w:p>
            <w:pPr>
              <w:jc w:val="left"/>
            </w:pPr>
            <w:r>
              <w:rPr>
                <w:b/>
                <w:bCs/>
                <w:color w:val="1A1A1A"/>
                <w:sz w:val="21"/>
                <w:szCs w:val="21"/>
              </w:rPr>
              <w:t xml:space="preserve">All-Knowing (Omniscient)</w:t>
            </w:r>
          </w:p>
        </w:tc>
        <w:tc>
          <w:tcPr>
            <w:tcW w:type="dxa" w:w="2320"/>
            <w:tcBorders>
              <w:top w:val="single" w:color="B8A874" w:sz="2"/>
              <w:left w:val="single" w:color="B8A874" w:sz="2"/>
              <w:bottom w:val="single" w:color="B8A874" w:sz="2"/>
              <w:right w:val="single" w:color="B8A874" w:sz="2"/>
            </w:tcBorders>
            <w:shd w:fill="E8EEF5" w:val="clear"/>
            <w:tcMar>
              <w:top w:type="dxa" w:w="90"/>
              <w:left w:type="dxa" w:w="120"/>
              <w:bottom w:type="dxa" w:w="90"/>
              <w:right w:type="dxa" w:w="120"/>
            </w:tcMar>
            <w:vAlign w:val="center"/>
          </w:tcPr>
          <w:p>
            <w:pPr>
              <w:jc w:val="left"/>
            </w:pPr>
            <w:r>
              <w:rPr>
                <w:color w:val="1A1A1A"/>
                <w:sz w:val="21"/>
                <w:szCs w:val="21"/>
              </w:rPr>
              <w:t xml:space="preserve">1 John 3:20</w:t>
            </w:r>
          </w:p>
        </w:tc>
        <w:tc>
          <w:tcPr>
            <w:tcW w:type="dxa" w:w="2320"/>
            <w:tcBorders>
              <w:top w:val="single" w:color="B8A874" w:sz="2"/>
              <w:left w:val="single" w:color="B8A874" w:sz="2"/>
              <w:bottom w:val="single" w:color="B8A874" w:sz="2"/>
              <w:right w:val="single" w:color="B8A874" w:sz="2"/>
            </w:tcBorders>
            <w:shd w:fill="E8EEF5" w:val="clear"/>
            <w:tcMar>
              <w:top w:type="dxa" w:w="90"/>
              <w:left w:type="dxa" w:w="120"/>
              <w:bottom w:type="dxa" w:w="90"/>
              <w:right w:type="dxa" w:w="120"/>
            </w:tcMar>
            <w:vAlign w:val="center"/>
          </w:tcPr>
          <w:p>
            <w:pPr>
              <w:jc w:val="left"/>
            </w:pPr>
            <w:r>
              <w:rPr>
                <w:color w:val="1A1A1A"/>
                <w:sz w:val="21"/>
                <w:szCs w:val="21"/>
              </w:rPr>
              <w:t xml:space="preserve">John 16:30; 21:17</w:t>
            </w:r>
          </w:p>
        </w:tc>
        <w:tc>
          <w:tcPr>
            <w:tcW w:type="dxa" w:w="2320"/>
            <w:tcBorders>
              <w:top w:val="single" w:color="B8A874" w:sz="2"/>
              <w:left w:val="single" w:color="B8A874" w:sz="2"/>
              <w:bottom w:val="single" w:color="B8A874" w:sz="2"/>
              <w:right w:val="single" w:color="B8A874" w:sz="2"/>
            </w:tcBorders>
            <w:shd w:fill="E8EEF5" w:val="clear"/>
            <w:tcMar>
              <w:top w:type="dxa" w:w="90"/>
              <w:left w:type="dxa" w:w="120"/>
              <w:bottom w:type="dxa" w:w="90"/>
              <w:right w:type="dxa" w:w="120"/>
            </w:tcMar>
            <w:vAlign w:val="center"/>
          </w:tcPr>
          <w:p>
            <w:pPr>
              <w:jc w:val="left"/>
            </w:pPr>
            <w:r>
              <w:rPr>
                <w:color w:val="1A1A1A"/>
                <w:sz w:val="21"/>
                <w:szCs w:val="21"/>
              </w:rPr>
              <w:t xml:space="preserve">1 Corinthians 2:10–11</w:t>
            </w:r>
          </w:p>
        </w:tc>
      </w:tr>
      <w:tr>
        <w:tc>
          <w:tcPr>
            <w:tcW w:type="dxa" w:w="2400"/>
            <w:tcBorders>
              <w:top w:val="single" w:color="B8A874" w:sz="2"/>
              <w:left w:val="single" w:color="B8A874" w:sz="2"/>
              <w:bottom w:val="single" w:color="B8A874" w:sz="2"/>
              <w:right w:val="single" w:color="B8A874" w:sz="2"/>
            </w:tcBorders>
            <w:shd w:fill="F2E8D5" w:val="clear"/>
            <w:tcMar>
              <w:top w:type="dxa" w:w="90"/>
              <w:left w:type="dxa" w:w="120"/>
              <w:bottom w:type="dxa" w:w="90"/>
              <w:right w:type="dxa" w:w="120"/>
            </w:tcMar>
            <w:vAlign w:val="center"/>
          </w:tcPr>
          <w:p>
            <w:pPr>
              <w:jc w:val="left"/>
            </w:pPr>
            <w:r>
              <w:rPr>
                <w:b/>
                <w:bCs/>
                <w:color w:val="1A1A1A"/>
                <w:sz w:val="21"/>
                <w:szCs w:val="21"/>
              </w:rPr>
              <w:t xml:space="preserve">Eternal</w:t>
            </w:r>
          </w:p>
        </w:tc>
        <w:tc>
          <w:tcPr>
            <w:tcW w:type="dxa" w:w="232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left"/>
            </w:pPr>
            <w:r>
              <w:rPr>
                <w:color w:val="1A1A1A"/>
                <w:sz w:val="21"/>
                <w:szCs w:val="21"/>
              </w:rPr>
              <w:t xml:space="preserve">Psalm 90:2</w:t>
            </w:r>
          </w:p>
        </w:tc>
        <w:tc>
          <w:tcPr>
            <w:tcW w:type="dxa" w:w="232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left"/>
            </w:pPr>
            <w:r>
              <w:rPr>
                <w:color w:val="1A1A1A"/>
                <w:sz w:val="21"/>
                <w:szCs w:val="21"/>
              </w:rPr>
              <w:t xml:space="preserve">Micah 5:1–2</w:t>
            </w:r>
          </w:p>
        </w:tc>
        <w:tc>
          <w:tcPr>
            <w:tcW w:type="dxa" w:w="232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left"/>
            </w:pPr>
            <w:r>
              <w:rPr>
                <w:color w:val="1A1A1A"/>
                <w:sz w:val="21"/>
                <w:szCs w:val="21"/>
              </w:rPr>
              <w:t xml:space="preserve">Romans 8:11; Hebrews 9:14</w:t>
            </w:r>
          </w:p>
        </w:tc>
      </w:tr>
      <w:tr>
        <w:tc>
          <w:tcPr>
            <w:tcW w:type="dxa" w:w="2400"/>
            <w:tcBorders>
              <w:top w:val="single" w:color="B8A874" w:sz="2"/>
              <w:left w:val="single" w:color="B8A874" w:sz="2"/>
              <w:bottom w:val="single" w:color="B8A874" w:sz="2"/>
              <w:right w:val="single" w:color="B8A874" w:sz="2"/>
            </w:tcBorders>
            <w:shd w:fill="F2E8D5" w:val="clear"/>
            <w:tcMar>
              <w:top w:type="dxa" w:w="90"/>
              <w:left w:type="dxa" w:w="120"/>
              <w:bottom w:type="dxa" w:w="90"/>
              <w:right w:type="dxa" w:w="120"/>
            </w:tcMar>
            <w:vAlign w:val="center"/>
          </w:tcPr>
          <w:p>
            <w:pPr>
              <w:jc w:val="left"/>
            </w:pPr>
            <w:r>
              <w:rPr>
                <w:b/>
                <w:bCs/>
                <w:color w:val="1A1A1A"/>
                <w:sz w:val="21"/>
                <w:szCs w:val="21"/>
              </w:rPr>
              <w:t xml:space="preserve">Has a Will</w:t>
            </w:r>
          </w:p>
        </w:tc>
        <w:tc>
          <w:tcPr>
            <w:tcW w:type="dxa" w:w="2320"/>
            <w:tcBorders>
              <w:top w:val="single" w:color="B8A874" w:sz="2"/>
              <w:left w:val="single" w:color="B8A874" w:sz="2"/>
              <w:bottom w:val="single" w:color="B8A874" w:sz="2"/>
              <w:right w:val="single" w:color="B8A874" w:sz="2"/>
            </w:tcBorders>
            <w:shd w:fill="E8EEF5" w:val="clear"/>
            <w:tcMar>
              <w:top w:type="dxa" w:w="90"/>
              <w:left w:type="dxa" w:w="120"/>
              <w:bottom w:type="dxa" w:w="90"/>
              <w:right w:type="dxa" w:w="120"/>
            </w:tcMar>
            <w:vAlign w:val="center"/>
          </w:tcPr>
          <w:p>
            <w:pPr>
              <w:jc w:val="left"/>
            </w:pPr>
            <w:r>
              <w:rPr>
                <w:color w:val="1A1A1A"/>
                <w:sz w:val="21"/>
                <w:szCs w:val="21"/>
              </w:rPr>
              <w:t xml:space="preserve">Luke 22:42</w:t>
            </w:r>
          </w:p>
        </w:tc>
        <w:tc>
          <w:tcPr>
            <w:tcW w:type="dxa" w:w="2320"/>
            <w:tcBorders>
              <w:top w:val="single" w:color="B8A874" w:sz="2"/>
              <w:left w:val="single" w:color="B8A874" w:sz="2"/>
              <w:bottom w:val="single" w:color="B8A874" w:sz="2"/>
              <w:right w:val="single" w:color="B8A874" w:sz="2"/>
            </w:tcBorders>
            <w:shd w:fill="E8EEF5" w:val="clear"/>
            <w:tcMar>
              <w:top w:type="dxa" w:w="90"/>
              <w:left w:type="dxa" w:w="120"/>
              <w:bottom w:type="dxa" w:w="90"/>
              <w:right w:type="dxa" w:w="120"/>
            </w:tcMar>
            <w:vAlign w:val="center"/>
          </w:tcPr>
          <w:p>
            <w:pPr>
              <w:jc w:val="left"/>
            </w:pPr>
            <w:r>
              <w:rPr>
                <w:color w:val="1A1A1A"/>
                <w:sz w:val="21"/>
                <w:szCs w:val="21"/>
              </w:rPr>
              <w:t xml:space="preserve">Luke 22:42</w:t>
            </w:r>
          </w:p>
        </w:tc>
        <w:tc>
          <w:tcPr>
            <w:tcW w:type="dxa" w:w="2320"/>
            <w:tcBorders>
              <w:top w:val="single" w:color="B8A874" w:sz="2"/>
              <w:left w:val="single" w:color="B8A874" w:sz="2"/>
              <w:bottom w:val="single" w:color="B8A874" w:sz="2"/>
              <w:right w:val="single" w:color="B8A874" w:sz="2"/>
            </w:tcBorders>
            <w:shd w:fill="E8EEF5" w:val="clear"/>
            <w:tcMar>
              <w:top w:type="dxa" w:w="90"/>
              <w:left w:type="dxa" w:w="120"/>
              <w:bottom w:type="dxa" w:w="90"/>
              <w:right w:type="dxa" w:w="120"/>
            </w:tcMar>
            <w:vAlign w:val="center"/>
          </w:tcPr>
          <w:p>
            <w:pPr>
              <w:jc w:val="left"/>
            </w:pPr>
            <w:r>
              <w:rPr>
                <w:color w:val="1A1A1A"/>
                <w:sz w:val="21"/>
                <w:szCs w:val="21"/>
              </w:rPr>
              <w:t xml:space="preserve">1 Corinthians 12:11</w:t>
            </w:r>
          </w:p>
        </w:tc>
      </w:tr>
      <w:tr>
        <w:tc>
          <w:tcPr>
            <w:tcW w:type="dxa" w:w="2400"/>
            <w:tcBorders>
              <w:top w:val="single" w:color="B8A874" w:sz="2"/>
              <w:left w:val="single" w:color="B8A874" w:sz="2"/>
              <w:bottom w:val="single" w:color="B8A874" w:sz="2"/>
              <w:right w:val="single" w:color="B8A874" w:sz="2"/>
            </w:tcBorders>
            <w:shd w:fill="F2E8D5" w:val="clear"/>
            <w:tcMar>
              <w:top w:type="dxa" w:w="90"/>
              <w:left w:type="dxa" w:w="120"/>
              <w:bottom w:type="dxa" w:w="90"/>
              <w:right w:type="dxa" w:w="120"/>
            </w:tcMar>
            <w:vAlign w:val="center"/>
          </w:tcPr>
          <w:p>
            <w:pPr>
              <w:jc w:val="left"/>
            </w:pPr>
            <w:r>
              <w:rPr>
                <w:b/>
                <w:bCs/>
                <w:color w:val="1A1A1A"/>
                <w:sz w:val="21"/>
                <w:szCs w:val="21"/>
              </w:rPr>
              <w:t xml:space="preserve">Speaks</w:t>
            </w:r>
          </w:p>
        </w:tc>
        <w:tc>
          <w:tcPr>
            <w:tcW w:type="dxa" w:w="232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left"/>
            </w:pPr>
            <w:r>
              <w:rPr>
                <w:color w:val="1A1A1A"/>
                <w:sz w:val="21"/>
                <w:szCs w:val="21"/>
              </w:rPr>
              <w:t xml:space="preserve">Matthew 3:17</w:t>
            </w:r>
          </w:p>
        </w:tc>
        <w:tc>
          <w:tcPr>
            <w:tcW w:type="dxa" w:w="232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left"/>
            </w:pPr>
            <w:r>
              <w:rPr>
                <w:color w:val="1A1A1A"/>
                <w:sz w:val="21"/>
                <w:szCs w:val="21"/>
              </w:rPr>
              <w:t xml:space="preserve">John 5:25</w:t>
            </w:r>
          </w:p>
        </w:tc>
        <w:tc>
          <w:tcPr>
            <w:tcW w:type="dxa" w:w="232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left"/>
            </w:pPr>
            <w:r>
              <w:rPr>
                <w:color w:val="1A1A1A"/>
                <w:sz w:val="21"/>
                <w:szCs w:val="21"/>
              </w:rPr>
              <w:t xml:space="preserve">Acts 8:29; 11:12; 13:2</w:t>
            </w:r>
          </w:p>
        </w:tc>
      </w:tr>
      <w:tr>
        <w:tc>
          <w:tcPr>
            <w:tcW w:type="dxa" w:w="2400"/>
            <w:tcBorders>
              <w:top w:val="single" w:color="B8A874" w:sz="2"/>
              <w:left w:val="single" w:color="B8A874" w:sz="2"/>
              <w:bottom w:val="single" w:color="B8A874" w:sz="2"/>
              <w:right w:val="single" w:color="B8A874" w:sz="2"/>
            </w:tcBorders>
            <w:shd w:fill="F2E8D5" w:val="clear"/>
            <w:tcMar>
              <w:top w:type="dxa" w:w="90"/>
              <w:left w:type="dxa" w:w="120"/>
              <w:bottom w:type="dxa" w:w="90"/>
              <w:right w:type="dxa" w:w="120"/>
            </w:tcMar>
            <w:vAlign w:val="center"/>
          </w:tcPr>
          <w:p>
            <w:pPr>
              <w:jc w:val="left"/>
            </w:pPr>
            <w:r>
              <w:rPr>
                <w:b/>
                <w:bCs/>
                <w:color w:val="1A1A1A"/>
                <w:sz w:val="21"/>
                <w:szCs w:val="21"/>
              </w:rPr>
              <w:t xml:space="preserve">Loves</w:t>
            </w:r>
          </w:p>
        </w:tc>
        <w:tc>
          <w:tcPr>
            <w:tcW w:type="dxa" w:w="2320"/>
            <w:tcBorders>
              <w:top w:val="single" w:color="B8A874" w:sz="2"/>
              <w:left w:val="single" w:color="B8A874" w:sz="2"/>
              <w:bottom w:val="single" w:color="B8A874" w:sz="2"/>
              <w:right w:val="single" w:color="B8A874" w:sz="2"/>
            </w:tcBorders>
            <w:shd w:fill="E8EEF5" w:val="clear"/>
            <w:tcMar>
              <w:top w:type="dxa" w:w="90"/>
              <w:left w:type="dxa" w:w="120"/>
              <w:bottom w:type="dxa" w:w="90"/>
              <w:right w:type="dxa" w:w="120"/>
            </w:tcMar>
            <w:vAlign w:val="center"/>
          </w:tcPr>
          <w:p>
            <w:pPr>
              <w:jc w:val="left"/>
            </w:pPr>
            <w:r>
              <w:rPr>
                <w:color w:val="1A1A1A"/>
                <w:sz w:val="21"/>
                <w:szCs w:val="21"/>
              </w:rPr>
              <w:t xml:space="preserve">John 3:16</w:t>
            </w:r>
          </w:p>
        </w:tc>
        <w:tc>
          <w:tcPr>
            <w:tcW w:type="dxa" w:w="2320"/>
            <w:tcBorders>
              <w:top w:val="single" w:color="B8A874" w:sz="2"/>
              <w:left w:val="single" w:color="B8A874" w:sz="2"/>
              <w:bottom w:val="single" w:color="B8A874" w:sz="2"/>
              <w:right w:val="single" w:color="B8A874" w:sz="2"/>
            </w:tcBorders>
            <w:shd w:fill="E8EEF5" w:val="clear"/>
            <w:tcMar>
              <w:top w:type="dxa" w:w="90"/>
              <w:left w:type="dxa" w:w="120"/>
              <w:bottom w:type="dxa" w:w="90"/>
              <w:right w:type="dxa" w:w="120"/>
            </w:tcMar>
            <w:vAlign w:val="center"/>
          </w:tcPr>
          <w:p>
            <w:pPr>
              <w:jc w:val="left"/>
            </w:pPr>
            <w:r>
              <w:rPr>
                <w:color w:val="1A1A1A"/>
                <w:sz w:val="21"/>
                <w:szCs w:val="21"/>
              </w:rPr>
              <w:t xml:space="preserve">Ephesians 5:25</w:t>
            </w:r>
          </w:p>
        </w:tc>
        <w:tc>
          <w:tcPr>
            <w:tcW w:type="dxa" w:w="2320"/>
            <w:tcBorders>
              <w:top w:val="single" w:color="B8A874" w:sz="2"/>
              <w:left w:val="single" w:color="B8A874" w:sz="2"/>
              <w:bottom w:val="single" w:color="B8A874" w:sz="2"/>
              <w:right w:val="single" w:color="B8A874" w:sz="2"/>
            </w:tcBorders>
            <w:shd w:fill="E8EEF5" w:val="clear"/>
            <w:tcMar>
              <w:top w:type="dxa" w:w="90"/>
              <w:left w:type="dxa" w:w="120"/>
              <w:bottom w:type="dxa" w:w="90"/>
              <w:right w:type="dxa" w:w="120"/>
            </w:tcMar>
            <w:vAlign w:val="center"/>
          </w:tcPr>
          <w:p>
            <w:pPr>
              <w:jc w:val="left"/>
            </w:pPr>
            <w:r>
              <w:rPr>
                <w:color w:val="1A1A1A"/>
                <w:sz w:val="21"/>
                <w:szCs w:val="21"/>
              </w:rPr>
              <w:t xml:space="preserve">Romans 15:30</w:t>
            </w:r>
          </w:p>
        </w:tc>
      </w:tr>
    </w:tbl>
    <w:p>
      <w:pPr>
        <w:spacing w:after="160" w:before="0" w:line="276"/>
        <w:jc w:val="both"/>
      </w:pPr>
      <w:r>
        <w:rPr>
          <w:sz w:val="23"/>
          <w:szCs w:val="23"/>
        </w:rPr>
        <w:t xml:space="preserve">A note on method: this chart is a teaching device, not itself a proof of the Trinity from a single verse; its force lies in the convergence of independent texts across very different books, authors, and centuries, all attributing the same set of incommunicable divine attributes to three distinct Persons who are nonetheless together confessed as the one God of Israel (Deuteronomy 6:4; 1 Corinthians 8:6).</w:t>
      </w:r>
    </w:p>
    <w:p>
      <w:pPr>
        <w:pStyle w:val="Heading1"/>
        <w:pBdr>
          <w:bottom w:val="single" w:color="8B6914" w:sz="8" w:space="4"/>
        </w:pBdr>
        <w:spacing w:after="200" w:before="480"/>
      </w:pPr>
      <w:r>
        <w:t>X. The Witness of the Early Church Fathers</w:t>
      </w:r>
    </w:p>
    <w:p>
      <w:pPr>
        <w:spacing w:after="160" w:before="0" w:line="276"/>
        <w:jc w:val="both"/>
      </w:pPr>
      <w:r>
        <w:rPr>
          <w:sz w:val="23"/>
          <w:szCs w:val="23"/>
        </w:rPr>
        <w:t xml:space="preserve">The second image attached to the catechism notes records a well-known apologetic statistic: a tally of explicit New Testament quotations found within the surviving works of seven early Christian writers, spanning roughly the second through fourth centuries. The figures, reproduced in the table below, trace back to the monumental (and still unpublished) sixteen-volume Index of Scripture quotations compiled in the nineteenth century by Dean John William Burgon of Chichester Cathedral, who catalogued more than 86,000 patristic citations of the New Testament from his study of the Greek and Latin Fathers. A commonly circulated popular condensation of Burgon's work — the version reflected in the photographed table — totals 36,289 citations across these seven witnesses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860"/>
        <w:gridCol w:w="1300"/>
        <w:gridCol w:w="1100"/>
        <w:gridCol w:w="1300"/>
        <w:gridCol w:w="1200"/>
        <w:gridCol w:w="1300"/>
        <w:gridCol w:w="1300"/>
      </w:tblGrid>
      <w:tr>
        <w:trPr>
          <w:tblHeader/>
        </w:trPr>
        <w:tc>
          <w:tcPr>
            <w:tcW w:type="dxa" w:w="1860"/>
            <w:tcBorders>
              <w:top w:val="single" w:color="B8A874" w:sz="2"/>
              <w:left w:val="single" w:color="B8A874" w:sz="2"/>
              <w:bottom w:val="single" w:color="B8A874" w:sz="2"/>
              <w:right w:val="single" w:color="B8A874" w:sz="2"/>
            </w:tcBorders>
            <w:shd w:fill="7A1F1F" w:val="clear"/>
            <w:tcMar>
              <w:top w:type="dxa" w:w="90"/>
              <w:left w:type="dxa" w:w="120"/>
              <w:bottom w:type="dxa" w:w="90"/>
              <w:right w:type="dxa" w:w="120"/>
            </w:tcMar>
            <w:vAlign w:val="center"/>
          </w:tcPr>
          <w:p>
            <w:pPr>
              <w:jc w:val="left"/>
            </w:pPr>
            <w:r>
              <w:rPr>
                <w:b/>
                <w:bCs/>
                <w:color w:val="FFFFFF"/>
                <w:sz w:val="21"/>
                <w:szCs w:val="21"/>
              </w:rPr>
              <w:t xml:space="preserve">Writer</w:t>
            </w:r>
          </w:p>
        </w:tc>
        <w:tc>
          <w:tcPr>
            <w:tcW w:type="dxa" w:w="1300"/>
            <w:tcBorders>
              <w:top w:val="single" w:color="B8A874" w:sz="2"/>
              <w:left w:val="single" w:color="B8A874" w:sz="2"/>
              <w:bottom w:val="single" w:color="B8A874" w:sz="2"/>
              <w:right w:val="single" w:color="B8A874" w:sz="2"/>
            </w:tcBorders>
            <w:shd w:fill="7A1F1F" w:val="clear"/>
            <w:tcMar>
              <w:top w:type="dxa" w:w="90"/>
              <w:left w:type="dxa" w:w="120"/>
              <w:bottom w:type="dxa" w:w="90"/>
              <w:right w:type="dxa" w:w="120"/>
            </w:tcMar>
            <w:vAlign w:val="center"/>
          </w:tcPr>
          <w:p>
            <w:pPr>
              <w:jc w:val="center"/>
            </w:pPr>
            <w:r>
              <w:rPr>
                <w:b/>
                <w:bCs/>
                <w:color w:val="FFFFFF"/>
                <w:sz w:val="21"/>
                <w:szCs w:val="21"/>
              </w:rPr>
              <w:t xml:space="preserve">Gospels</w:t>
            </w:r>
          </w:p>
        </w:tc>
        <w:tc>
          <w:tcPr>
            <w:tcW w:type="dxa" w:w="1100"/>
            <w:tcBorders>
              <w:top w:val="single" w:color="B8A874" w:sz="2"/>
              <w:left w:val="single" w:color="B8A874" w:sz="2"/>
              <w:bottom w:val="single" w:color="B8A874" w:sz="2"/>
              <w:right w:val="single" w:color="B8A874" w:sz="2"/>
            </w:tcBorders>
            <w:shd w:fill="7A1F1F" w:val="clear"/>
            <w:tcMar>
              <w:top w:type="dxa" w:w="90"/>
              <w:left w:type="dxa" w:w="120"/>
              <w:bottom w:type="dxa" w:w="90"/>
              <w:right w:type="dxa" w:w="120"/>
            </w:tcMar>
            <w:vAlign w:val="center"/>
          </w:tcPr>
          <w:p>
            <w:pPr>
              <w:jc w:val="center"/>
            </w:pPr>
            <w:r>
              <w:rPr>
                <w:b/>
                <w:bCs/>
                <w:color w:val="FFFFFF"/>
                <w:sz w:val="21"/>
                <w:szCs w:val="21"/>
              </w:rPr>
              <w:t xml:space="preserve">Acts</w:t>
            </w:r>
          </w:p>
        </w:tc>
        <w:tc>
          <w:tcPr>
            <w:tcW w:type="dxa" w:w="1300"/>
            <w:tcBorders>
              <w:top w:val="single" w:color="B8A874" w:sz="2"/>
              <w:left w:val="single" w:color="B8A874" w:sz="2"/>
              <w:bottom w:val="single" w:color="B8A874" w:sz="2"/>
              <w:right w:val="single" w:color="B8A874" w:sz="2"/>
            </w:tcBorders>
            <w:shd w:fill="7A1F1F" w:val="clear"/>
            <w:tcMar>
              <w:top w:type="dxa" w:w="90"/>
              <w:left w:type="dxa" w:w="120"/>
              <w:bottom w:type="dxa" w:w="90"/>
              <w:right w:type="dxa" w:w="120"/>
            </w:tcMar>
            <w:vAlign w:val="center"/>
          </w:tcPr>
          <w:p>
            <w:pPr>
              <w:jc w:val="center"/>
            </w:pPr>
            <w:r>
              <w:rPr>
                <w:b/>
                <w:bCs/>
                <w:color w:val="FFFFFF"/>
                <w:sz w:val="21"/>
                <w:szCs w:val="21"/>
              </w:rPr>
              <w:t xml:space="preserve">Pauline</w:t>
            </w:r>
          </w:p>
        </w:tc>
        <w:tc>
          <w:tcPr>
            <w:tcW w:type="dxa" w:w="1200"/>
            <w:tcBorders>
              <w:top w:val="single" w:color="B8A874" w:sz="2"/>
              <w:left w:val="single" w:color="B8A874" w:sz="2"/>
              <w:bottom w:val="single" w:color="B8A874" w:sz="2"/>
              <w:right w:val="single" w:color="B8A874" w:sz="2"/>
            </w:tcBorders>
            <w:shd w:fill="7A1F1F" w:val="clear"/>
            <w:tcMar>
              <w:top w:type="dxa" w:w="90"/>
              <w:left w:type="dxa" w:w="120"/>
              <w:bottom w:type="dxa" w:w="90"/>
              <w:right w:type="dxa" w:w="120"/>
            </w:tcMar>
            <w:vAlign w:val="center"/>
          </w:tcPr>
          <w:p>
            <w:pPr>
              <w:jc w:val="center"/>
            </w:pPr>
            <w:r>
              <w:rPr>
                <w:b/>
                <w:bCs/>
                <w:color w:val="FFFFFF"/>
                <w:sz w:val="21"/>
                <w:szCs w:val="21"/>
              </w:rPr>
              <w:t xml:space="preserve">General</w:t>
            </w:r>
          </w:p>
        </w:tc>
        <w:tc>
          <w:tcPr>
            <w:tcW w:type="dxa" w:w="1300"/>
            <w:tcBorders>
              <w:top w:val="single" w:color="B8A874" w:sz="2"/>
              <w:left w:val="single" w:color="B8A874" w:sz="2"/>
              <w:bottom w:val="single" w:color="B8A874" w:sz="2"/>
              <w:right w:val="single" w:color="B8A874" w:sz="2"/>
            </w:tcBorders>
            <w:shd w:fill="7A1F1F" w:val="clear"/>
            <w:tcMar>
              <w:top w:type="dxa" w:w="90"/>
              <w:left w:type="dxa" w:w="120"/>
              <w:bottom w:type="dxa" w:w="90"/>
              <w:right w:type="dxa" w:w="120"/>
            </w:tcMar>
            <w:vAlign w:val="center"/>
          </w:tcPr>
          <w:p>
            <w:pPr>
              <w:jc w:val="center"/>
            </w:pPr>
            <w:r>
              <w:rPr>
                <w:b/>
                <w:bCs/>
                <w:color w:val="FFFFFF"/>
                <w:sz w:val="21"/>
                <w:szCs w:val="21"/>
              </w:rPr>
              <w:t xml:space="preserve">Revelation</w:t>
            </w:r>
          </w:p>
        </w:tc>
        <w:tc>
          <w:tcPr>
            <w:tcW w:type="dxa" w:w="1300"/>
            <w:tcBorders>
              <w:top w:val="single" w:color="B8A874" w:sz="2"/>
              <w:left w:val="single" w:color="B8A874" w:sz="2"/>
              <w:bottom w:val="single" w:color="B8A874" w:sz="2"/>
              <w:right w:val="single" w:color="B8A874" w:sz="2"/>
            </w:tcBorders>
            <w:shd w:fill="7A1F1F" w:val="clear"/>
            <w:tcMar>
              <w:top w:type="dxa" w:w="90"/>
              <w:left w:type="dxa" w:w="120"/>
              <w:bottom w:type="dxa" w:w="90"/>
              <w:right w:type="dxa" w:w="120"/>
            </w:tcMar>
            <w:vAlign w:val="center"/>
          </w:tcPr>
          <w:p>
            <w:pPr>
              <w:jc w:val="center"/>
            </w:pPr>
            <w:r>
              <w:rPr>
                <w:b/>
                <w:bCs/>
                <w:color w:val="FFFFFF"/>
                <w:sz w:val="21"/>
                <w:szCs w:val="21"/>
              </w:rPr>
              <w:t xml:space="preserve">Total</w:t>
            </w:r>
          </w:p>
        </w:tc>
      </w:tr>
      <w:tr>
        <w:tc>
          <w:tcPr>
            <w:tcW w:type="dxa" w:w="186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left"/>
            </w:pPr>
            <w:r>
              <w:rPr>
                <w:b/>
                <w:bCs/>
                <w:color w:val="1A1A1A"/>
                <w:sz w:val="21"/>
                <w:szCs w:val="21"/>
              </w:rPr>
              <w:t xml:space="preserve">Justin Martyr</w:t>
            </w:r>
          </w:p>
        </w:tc>
        <w:tc>
          <w:tcPr>
            <w:tcW w:type="dxa" w:w="13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268</w:t>
            </w:r>
          </w:p>
        </w:tc>
        <w:tc>
          <w:tcPr>
            <w:tcW w:type="dxa" w:w="11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10</w:t>
            </w:r>
          </w:p>
        </w:tc>
        <w:tc>
          <w:tcPr>
            <w:tcW w:type="dxa" w:w="13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43</w:t>
            </w:r>
          </w:p>
        </w:tc>
        <w:tc>
          <w:tcPr>
            <w:tcW w:type="dxa" w:w="12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6</w:t>
            </w:r>
          </w:p>
        </w:tc>
        <w:tc>
          <w:tcPr>
            <w:tcW w:type="dxa" w:w="13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3</w:t>
            </w:r>
          </w:p>
        </w:tc>
        <w:tc>
          <w:tcPr>
            <w:tcW w:type="dxa" w:w="13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330</w:t>
            </w:r>
          </w:p>
        </w:tc>
      </w:tr>
      <w:tr>
        <w:tc>
          <w:tcPr>
            <w:tcW w:type="dxa" w:w="1860"/>
            <w:tcBorders>
              <w:top w:val="single" w:color="B8A874" w:sz="2"/>
              <w:left w:val="single" w:color="B8A874" w:sz="2"/>
              <w:bottom w:val="single" w:color="B8A874" w:sz="2"/>
              <w:right w:val="single" w:color="B8A874" w:sz="2"/>
            </w:tcBorders>
            <w:shd w:fill="FBEDEA" w:val="clear"/>
            <w:tcMar>
              <w:top w:type="dxa" w:w="90"/>
              <w:left w:type="dxa" w:w="120"/>
              <w:bottom w:type="dxa" w:w="90"/>
              <w:right w:type="dxa" w:w="120"/>
            </w:tcMar>
            <w:vAlign w:val="center"/>
          </w:tcPr>
          <w:p>
            <w:pPr>
              <w:jc w:val="left"/>
            </w:pPr>
            <w:r>
              <w:rPr>
                <w:b/>
                <w:bCs/>
                <w:color w:val="1A1A1A"/>
                <w:sz w:val="21"/>
                <w:szCs w:val="21"/>
              </w:rPr>
              <w:t xml:space="preserve">Irenaeus</w:t>
            </w:r>
          </w:p>
        </w:tc>
        <w:tc>
          <w:tcPr>
            <w:tcW w:type="dxa" w:w="1300"/>
            <w:tcBorders>
              <w:top w:val="single" w:color="B8A874" w:sz="2"/>
              <w:left w:val="single" w:color="B8A874" w:sz="2"/>
              <w:bottom w:val="single" w:color="B8A874" w:sz="2"/>
              <w:right w:val="single" w:color="B8A874" w:sz="2"/>
            </w:tcBorders>
            <w:shd w:fill="FBEDEA" w:val="clear"/>
            <w:tcMar>
              <w:top w:type="dxa" w:w="90"/>
              <w:left w:type="dxa" w:w="120"/>
              <w:bottom w:type="dxa" w:w="90"/>
              <w:right w:type="dxa" w:w="120"/>
            </w:tcMar>
            <w:vAlign w:val="center"/>
          </w:tcPr>
          <w:p>
            <w:pPr>
              <w:jc w:val="center"/>
            </w:pPr>
            <w:r>
              <w:rPr>
                <w:b w:val="false"/>
                <w:bCs w:val="false"/>
                <w:color w:val="1A1A1A"/>
                <w:sz w:val="21"/>
                <w:szCs w:val="21"/>
              </w:rPr>
              <w:t xml:space="preserve">1,038</w:t>
            </w:r>
          </w:p>
        </w:tc>
        <w:tc>
          <w:tcPr>
            <w:tcW w:type="dxa" w:w="1100"/>
            <w:tcBorders>
              <w:top w:val="single" w:color="B8A874" w:sz="2"/>
              <w:left w:val="single" w:color="B8A874" w:sz="2"/>
              <w:bottom w:val="single" w:color="B8A874" w:sz="2"/>
              <w:right w:val="single" w:color="B8A874" w:sz="2"/>
            </w:tcBorders>
            <w:shd w:fill="FBEDEA" w:val="clear"/>
            <w:tcMar>
              <w:top w:type="dxa" w:w="90"/>
              <w:left w:type="dxa" w:w="120"/>
              <w:bottom w:type="dxa" w:w="90"/>
              <w:right w:type="dxa" w:w="120"/>
            </w:tcMar>
            <w:vAlign w:val="center"/>
          </w:tcPr>
          <w:p>
            <w:pPr>
              <w:jc w:val="center"/>
            </w:pPr>
            <w:r>
              <w:rPr>
                <w:b w:val="false"/>
                <w:bCs w:val="false"/>
                <w:color w:val="1A1A1A"/>
                <w:sz w:val="21"/>
                <w:szCs w:val="21"/>
              </w:rPr>
              <w:t xml:space="preserve">194</w:t>
            </w:r>
          </w:p>
        </w:tc>
        <w:tc>
          <w:tcPr>
            <w:tcW w:type="dxa" w:w="1300"/>
            <w:tcBorders>
              <w:top w:val="single" w:color="B8A874" w:sz="2"/>
              <w:left w:val="single" w:color="B8A874" w:sz="2"/>
              <w:bottom w:val="single" w:color="B8A874" w:sz="2"/>
              <w:right w:val="single" w:color="B8A874" w:sz="2"/>
            </w:tcBorders>
            <w:shd w:fill="FBEDEA" w:val="clear"/>
            <w:tcMar>
              <w:top w:type="dxa" w:w="90"/>
              <w:left w:type="dxa" w:w="120"/>
              <w:bottom w:type="dxa" w:w="90"/>
              <w:right w:type="dxa" w:w="120"/>
            </w:tcMar>
            <w:vAlign w:val="center"/>
          </w:tcPr>
          <w:p>
            <w:pPr>
              <w:jc w:val="center"/>
            </w:pPr>
            <w:r>
              <w:rPr>
                <w:b w:val="false"/>
                <w:bCs w:val="false"/>
                <w:color w:val="1A1A1A"/>
                <w:sz w:val="21"/>
                <w:szCs w:val="21"/>
              </w:rPr>
              <w:t xml:space="preserve">499</w:t>
            </w:r>
          </w:p>
        </w:tc>
        <w:tc>
          <w:tcPr>
            <w:tcW w:type="dxa" w:w="1200"/>
            <w:tcBorders>
              <w:top w:val="single" w:color="B8A874" w:sz="2"/>
              <w:left w:val="single" w:color="B8A874" w:sz="2"/>
              <w:bottom w:val="single" w:color="B8A874" w:sz="2"/>
              <w:right w:val="single" w:color="B8A874" w:sz="2"/>
            </w:tcBorders>
            <w:shd w:fill="FBEDEA" w:val="clear"/>
            <w:tcMar>
              <w:top w:type="dxa" w:w="90"/>
              <w:left w:type="dxa" w:w="120"/>
              <w:bottom w:type="dxa" w:w="90"/>
              <w:right w:type="dxa" w:w="120"/>
            </w:tcMar>
            <w:vAlign w:val="center"/>
          </w:tcPr>
          <w:p>
            <w:pPr>
              <w:jc w:val="center"/>
            </w:pPr>
            <w:r>
              <w:rPr>
                <w:b w:val="false"/>
                <w:bCs w:val="false"/>
                <w:color w:val="1A1A1A"/>
                <w:sz w:val="21"/>
                <w:szCs w:val="21"/>
              </w:rPr>
              <w:t xml:space="preserve">23</w:t>
            </w:r>
          </w:p>
        </w:tc>
        <w:tc>
          <w:tcPr>
            <w:tcW w:type="dxa" w:w="1300"/>
            <w:tcBorders>
              <w:top w:val="single" w:color="B8A874" w:sz="2"/>
              <w:left w:val="single" w:color="B8A874" w:sz="2"/>
              <w:bottom w:val="single" w:color="B8A874" w:sz="2"/>
              <w:right w:val="single" w:color="B8A874" w:sz="2"/>
            </w:tcBorders>
            <w:shd w:fill="FBEDEA" w:val="clear"/>
            <w:tcMar>
              <w:top w:type="dxa" w:w="90"/>
              <w:left w:type="dxa" w:w="120"/>
              <w:bottom w:type="dxa" w:w="90"/>
              <w:right w:type="dxa" w:w="120"/>
            </w:tcMar>
            <w:vAlign w:val="center"/>
          </w:tcPr>
          <w:p>
            <w:pPr>
              <w:jc w:val="center"/>
            </w:pPr>
            <w:r>
              <w:rPr>
                <w:b w:val="false"/>
                <w:bCs w:val="false"/>
                <w:color w:val="1A1A1A"/>
                <w:sz w:val="21"/>
                <w:szCs w:val="21"/>
              </w:rPr>
              <w:t xml:space="preserve">65</w:t>
            </w:r>
          </w:p>
        </w:tc>
        <w:tc>
          <w:tcPr>
            <w:tcW w:type="dxa" w:w="1300"/>
            <w:tcBorders>
              <w:top w:val="single" w:color="B8A874" w:sz="2"/>
              <w:left w:val="single" w:color="B8A874" w:sz="2"/>
              <w:bottom w:val="single" w:color="B8A874" w:sz="2"/>
              <w:right w:val="single" w:color="B8A874" w:sz="2"/>
            </w:tcBorders>
            <w:shd w:fill="FBEDEA" w:val="clear"/>
            <w:tcMar>
              <w:top w:type="dxa" w:w="90"/>
              <w:left w:type="dxa" w:w="120"/>
              <w:bottom w:type="dxa" w:w="90"/>
              <w:right w:type="dxa" w:w="120"/>
            </w:tcMar>
            <w:vAlign w:val="center"/>
          </w:tcPr>
          <w:p>
            <w:pPr>
              <w:jc w:val="center"/>
            </w:pPr>
            <w:r>
              <w:rPr>
                <w:b w:val="false"/>
                <w:bCs w:val="false"/>
                <w:color w:val="1A1A1A"/>
                <w:sz w:val="21"/>
                <w:szCs w:val="21"/>
              </w:rPr>
              <w:t xml:space="preserve">1,819</w:t>
            </w:r>
          </w:p>
        </w:tc>
      </w:tr>
      <w:tr>
        <w:tc>
          <w:tcPr>
            <w:tcW w:type="dxa" w:w="186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left"/>
            </w:pPr>
            <w:r>
              <w:rPr>
                <w:b/>
                <w:bCs/>
                <w:color w:val="1A1A1A"/>
                <w:sz w:val="21"/>
                <w:szCs w:val="21"/>
              </w:rPr>
              <w:t xml:space="preserve">Clement of Alexandria</w:t>
            </w:r>
          </w:p>
        </w:tc>
        <w:tc>
          <w:tcPr>
            <w:tcW w:type="dxa" w:w="13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1,107</w:t>
            </w:r>
          </w:p>
        </w:tc>
        <w:tc>
          <w:tcPr>
            <w:tcW w:type="dxa" w:w="11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44</w:t>
            </w:r>
          </w:p>
        </w:tc>
        <w:tc>
          <w:tcPr>
            <w:tcW w:type="dxa" w:w="13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1,127</w:t>
            </w:r>
          </w:p>
        </w:tc>
        <w:tc>
          <w:tcPr>
            <w:tcW w:type="dxa" w:w="12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207</w:t>
            </w:r>
          </w:p>
        </w:tc>
        <w:tc>
          <w:tcPr>
            <w:tcW w:type="dxa" w:w="13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11</w:t>
            </w:r>
          </w:p>
        </w:tc>
        <w:tc>
          <w:tcPr>
            <w:tcW w:type="dxa" w:w="13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2,406</w:t>
            </w:r>
          </w:p>
        </w:tc>
      </w:tr>
      <w:tr>
        <w:tc>
          <w:tcPr>
            <w:tcW w:type="dxa" w:w="1860"/>
            <w:tcBorders>
              <w:top w:val="single" w:color="B8A874" w:sz="2"/>
              <w:left w:val="single" w:color="B8A874" w:sz="2"/>
              <w:bottom w:val="single" w:color="B8A874" w:sz="2"/>
              <w:right w:val="single" w:color="B8A874" w:sz="2"/>
            </w:tcBorders>
            <w:shd w:fill="FBEDEA" w:val="clear"/>
            <w:tcMar>
              <w:top w:type="dxa" w:w="90"/>
              <w:left w:type="dxa" w:w="120"/>
              <w:bottom w:type="dxa" w:w="90"/>
              <w:right w:type="dxa" w:w="120"/>
            </w:tcMar>
            <w:vAlign w:val="center"/>
          </w:tcPr>
          <w:p>
            <w:pPr>
              <w:jc w:val="left"/>
            </w:pPr>
            <w:r>
              <w:rPr>
                <w:b/>
                <w:bCs/>
                <w:color w:val="1A1A1A"/>
                <w:sz w:val="21"/>
                <w:szCs w:val="21"/>
              </w:rPr>
              <w:t xml:space="preserve">Origen</w:t>
            </w:r>
          </w:p>
        </w:tc>
        <w:tc>
          <w:tcPr>
            <w:tcW w:type="dxa" w:w="1300"/>
            <w:tcBorders>
              <w:top w:val="single" w:color="B8A874" w:sz="2"/>
              <w:left w:val="single" w:color="B8A874" w:sz="2"/>
              <w:bottom w:val="single" w:color="B8A874" w:sz="2"/>
              <w:right w:val="single" w:color="B8A874" w:sz="2"/>
            </w:tcBorders>
            <w:shd w:fill="FBEDEA" w:val="clear"/>
            <w:tcMar>
              <w:top w:type="dxa" w:w="90"/>
              <w:left w:type="dxa" w:w="120"/>
              <w:bottom w:type="dxa" w:w="90"/>
              <w:right w:type="dxa" w:w="120"/>
            </w:tcMar>
            <w:vAlign w:val="center"/>
          </w:tcPr>
          <w:p>
            <w:pPr>
              <w:jc w:val="center"/>
            </w:pPr>
            <w:r>
              <w:rPr>
                <w:b w:val="false"/>
                <w:bCs w:val="false"/>
                <w:color w:val="1A1A1A"/>
                <w:sz w:val="21"/>
                <w:szCs w:val="21"/>
              </w:rPr>
              <w:t xml:space="preserve">9,231</w:t>
            </w:r>
          </w:p>
        </w:tc>
        <w:tc>
          <w:tcPr>
            <w:tcW w:type="dxa" w:w="1100"/>
            <w:tcBorders>
              <w:top w:val="single" w:color="B8A874" w:sz="2"/>
              <w:left w:val="single" w:color="B8A874" w:sz="2"/>
              <w:bottom w:val="single" w:color="B8A874" w:sz="2"/>
              <w:right w:val="single" w:color="B8A874" w:sz="2"/>
            </w:tcBorders>
            <w:shd w:fill="FBEDEA" w:val="clear"/>
            <w:tcMar>
              <w:top w:type="dxa" w:w="90"/>
              <w:left w:type="dxa" w:w="120"/>
              <w:bottom w:type="dxa" w:w="90"/>
              <w:right w:type="dxa" w:w="120"/>
            </w:tcMar>
            <w:vAlign w:val="center"/>
          </w:tcPr>
          <w:p>
            <w:pPr>
              <w:jc w:val="center"/>
            </w:pPr>
            <w:r>
              <w:rPr>
                <w:b w:val="false"/>
                <w:bCs w:val="false"/>
                <w:color w:val="1A1A1A"/>
                <w:sz w:val="21"/>
                <w:szCs w:val="21"/>
              </w:rPr>
              <w:t xml:space="preserve">349</w:t>
            </w:r>
          </w:p>
        </w:tc>
        <w:tc>
          <w:tcPr>
            <w:tcW w:type="dxa" w:w="1300"/>
            <w:tcBorders>
              <w:top w:val="single" w:color="B8A874" w:sz="2"/>
              <w:left w:val="single" w:color="B8A874" w:sz="2"/>
              <w:bottom w:val="single" w:color="B8A874" w:sz="2"/>
              <w:right w:val="single" w:color="B8A874" w:sz="2"/>
            </w:tcBorders>
            <w:shd w:fill="FBEDEA" w:val="clear"/>
            <w:tcMar>
              <w:top w:type="dxa" w:w="90"/>
              <w:left w:type="dxa" w:w="120"/>
              <w:bottom w:type="dxa" w:w="90"/>
              <w:right w:type="dxa" w:w="120"/>
            </w:tcMar>
            <w:vAlign w:val="center"/>
          </w:tcPr>
          <w:p>
            <w:pPr>
              <w:jc w:val="center"/>
            </w:pPr>
            <w:r>
              <w:rPr>
                <w:b w:val="false"/>
                <w:bCs w:val="false"/>
                <w:color w:val="1A1A1A"/>
                <w:sz w:val="21"/>
                <w:szCs w:val="21"/>
              </w:rPr>
              <w:t xml:space="preserve">7,778</w:t>
            </w:r>
          </w:p>
        </w:tc>
        <w:tc>
          <w:tcPr>
            <w:tcW w:type="dxa" w:w="1200"/>
            <w:tcBorders>
              <w:top w:val="single" w:color="B8A874" w:sz="2"/>
              <w:left w:val="single" w:color="B8A874" w:sz="2"/>
              <w:bottom w:val="single" w:color="B8A874" w:sz="2"/>
              <w:right w:val="single" w:color="B8A874" w:sz="2"/>
            </w:tcBorders>
            <w:shd w:fill="FBEDEA" w:val="clear"/>
            <w:tcMar>
              <w:top w:type="dxa" w:w="90"/>
              <w:left w:type="dxa" w:w="120"/>
              <w:bottom w:type="dxa" w:w="90"/>
              <w:right w:type="dxa" w:w="120"/>
            </w:tcMar>
            <w:vAlign w:val="center"/>
          </w:tcPr>
          <w:p>
            <w:pPr>
              <w:jc w:val="center"/>
            </w:pPr>
            <w:r>
              <w:rPr>
                <w:b w:val="false"/>
                <w:bCs w:val="false"/>
                <w:color w:val="1A1A1A"/>
                <w:sz w:val="21"/>
                <w:szCs w:val="21"/>
              </w:rPr>
              <w:t xml:space="preserve">399</w:t>
            </w:r>
          </w:p>
        </w:tc>
        <w:tc>
          <w:tcPr>
            <w:tcW w:type="dxa" w:w="1300"/>
            <w:tcBorders>
              <w:top w:val="single" w:color="B8A874" w:sz="2"/>
              <w:left w:val="single" w:color="B8A874" w:sz="2"/>
              <w:bottom w:val="single" w:color="B8A874" w:sz="2"/>
              <w:right w:val="single" w:color="B8A874" w:sz="2"/>
            </w:tcBorders>
            <w:shd w:fill="FBEDEA" w:val="clear"/>
            <w:tcMar>
              <w:top w:type="dxa" w:w="90"/>
              <w:left w:type="dxa" w:w="120"/>
              <w:bottom w:type="dxa" w:w="90"/>
              <w:right w:type="dxa" w:w="120"/>
            </w:tcMar>
            <w:vAlign w:val="center"/>
          </w:tcPr>
          <w:p>
            <w:pPr>
              <w:jc w:val="center"/>
            </w:pPr>
            <w:r>
              <w:rPr>
                <w:b w:val="false"/>
                <w:bCs w:val="false"/>
                <w:color w:val="1A1A1A"/>
                <w:sz w:val="21"/>
                <w:szCs w:val="21"/>
              </w:rPr>
              <w:t xml:space="preserve">165</w:t>
            </w:r>
          </w:p>
        </w:tc>
        <w:tc>
          <w:tcPr>
            <w:tcW w:type="dxa" w:w="1300"/>
            <w:tcBorders>
              <w:top w:val="single" w:color="B8A874" w:sz="2"/>
              <w:left w:val="single" w:color="B8A874" w:sz="2"/>
              <w:bottom w:val="single" w:color="B8A874" w:sz="2"/>
              <w:right w:val="single" w:color="B8A874" w:sz="2"/>
            </w:tcBorders>
            <w:shd w:fill="FBEDEA" w:val="clear"/>
            <w:tcMar>
              <w:top w:type="dxa" w:w="90"/>
              <w:left w:type="dxa" w:w="120"/>
              <w:bottom w:type="dxa" w:w="90"/>
              <w:right w:type="dxa" w:w="120"/>
            </w:tcMar>
            <w:vAlign w:val="center"/>
          </w:tcPr>
          <w:p>
            <w:pPr>
              <w:jc w:val="center"/>
            </w:pPr>
            <w:r>
              <w:rPr>
                <w:b w:val="false"/>
                <w:bCs w:val="false"/>
                <w:color w:val="1A1A1A"/>
                <w:sz w:val="21"/>
                <w:szCs w:val="21"/>
              </w:rPr>
              <w:t xml:space="preserve">17,922</w:t>
            </w:r>
          </w:p>
        </w:tc>
      </w:tr>
      <w:tr>
        <w:tc>
          <w:tcPr>
            <w:tcW w:type="dxa" w:w="186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left"/>
            </w:pPr>
            <w:r>
              <w:rPr>
                <w:b/>
                <w:bCs/>
                <w:color w:val="1A1A1A"/>
                <w:sz w:val="21"/>
                <w:szCs w:val="21"/>
              </w:rPr>
              <w:t xml:space="preserve">Tertullian</w:t>
            </w:r>
          </w:p>
        </w:tc>
        <w:tc>
          <w:tcPr>
            <w:tcW w:type="dxa" w:w="13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3,822</w:t>
            </w:r>
          </w:p>
        </w:tc>
        <w:tc>
          <w:tcPr>
            <w:tcW w:type="dxa" w:w="11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502</w:t>
            </w:r>
          </w:p>
        </w:tc>
        <w:tc>
          <w:tcPr>
            <w:tcW w:type="dxa" w:w="13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2,609</w:t>
            </w:r>
          </w:p>
        </w:tc>
        <w:tc>
          <w:tcPr>
            <w:tcW w:type="dxa" w:w="12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120</w:t>
            </w:r>
          </w:p>
        </w:tc>
        <w:tc>
          <w:tcPr>
            <w:tcW w:type="dxa" w:w="13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205</w:t>
            </w:r>
          </w:p>
        </w:tc>
        <w:tc>
          <w:tcPr>
            <w:tcW w:type="dxa" w:w="13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7,258</w:t>
            </w:r>
          </w:p>
        </w:tc>
      </w:tr>
      <w:tr>
        <w:tc>
          <w:tcPr>
            <w:tcW w:type="dxa" w:w="1860"/>
            <w:tcBorders>
              <w:top w:val="single" w:color="B8A874" w:sz="2"/>
              <w:left w:val="single" w:color="B8A874" w:sz="2"/>
              <w:bottom w:val="single" w:color="B8A874" w:sz="2"/>
              <w:right w:val="single" w:color="B8A874" w:sz="2"/>
            </w:tcBorders>
            <w:shd w:fill="FBEDEA" w:val="clear"/>
            <w:tcMar>
              <w:top w:type="dxa" w:w="90"/>
              <w:left w:type="dxa" w:w="120"/>
              <w:bottom w:type="dxa" w:w="90"/>
              <w:right w:type="dxa" w:w="120"/>
            </w:tcMar>
            <w:vAlign w:val="center"/>
          </w:tcPr>
          <w:p>
            <w:pPr>
              <w:jc w:val="left"/>
            </w:pPr>
            <w:r>
              <w:rPr>
                <w:b/>
                <w:bCs/>
                <w:color w:val="1A1A1A"/>
                <w:sz w:val="21"/>
                <w:szCs w:val="21"/>
              </w:rPr>
              <w:t xml:space="preserve">Hippolytus</w:t>
            </w:r>
          </w:p>
        </w:tc>
        <w:tc>
          <w:tcPr>
            <w:tcW w:type="dxa" w:w="1300"/>
            <w:tcBorders>
              <w:top w:val="single" w:color="B8A874" w:sz="2"/>
              <w:left w:val="single" w:color="B8A874" w:sz="2"/>
              <w:bottom w:val="single" w:color="B8A874" w:sz="2"/>
              <w:right w:val="single" w:color="B8A874" w:sz="2"/>
            </w:tcBorders>
            <w:shd w:fill="FBEDEA" w:val="clear"/>
            <w:tcMar>
              <w:top w:type="dxa" w:w="90"/>
              <w:left w:type="dxa" w:w="120"/>
              <w:bottom w:type="dxa" w:w="90"/>
              <w:right w:type="dxa" w:w="120"/>
            </w:tcMar>
            <w:vAlign w:val="center"/>
          </w:tcPr>
          <w:p>
            <w:pPr>
              <w:jc w:val="center"/>
            </w:pPr>
            <w:r>
              <w:rPr>
                <w:b w:val="false"/>
                <w:bCs w:val="false"/>
                <w:color w:val="1A1A1A"/>
                <w:sz w:val="21"/>
                <w:szCs w:val="21"/>
              </w:rPr>
              <w:t xml:space="preserve">734</w:t>
            </w:r>
          </w:p>
        </w:tc>
        <w:tc>
          <w:tcPr>
            <w:tcW w:type="dxa" w:w="1100"/>
            <w:tcBorders>
              <w:top w:val="single" w:color="B8A874" w:sz="2"/>
              <w:left w:val="single" w:color="B8A874" w:sz="2"/>
              <w:bottom w:val="single" w:color="B8A874" w:sz="2"/>
              <w:right w:val="single" w:color="B8A874" w:sz="2"/>
            </w:tcBorders>
            <w:shd w:fill="FBEDEA" w:val="clear"/>
            <w:tcMar>
              <w:top w:type="dxa" w:w="90"/>
              <w:left w:type="dxa" w:w="120"/>
              <w:bottom w:type="dxa" w:w="90"/>
              <w:right w:type="dxa" w:w="120"/>
            </w:tcMar>
            <w:vAlign w:val="center"/>
          </w:tcPr>
          <w:p>
            <w:pPr>
              <w:jc w:val="center"/>
            </w:pPr>
            <w:r>
              <w:rPr>
                <w:b w:val="false"/>
                <w:bCs w:val="false"/>
                <w:color w:val="1A1A1A"/>
                <w:sz w:val="21"/>
                <w:szCs w:val="21"/>
              </w:rPr>
              <w:t xml:space="preserve">42</w:t>
            </w:r>
          </w:p>
        </w:tc>
        <w:tc>
          <w:tcPr>
            <w:tcW w:type="dxa" w:w="1300"/>
            <w:tcBorders>
              <w:top w:val="single" w:color="B8A874" w:sz="2"/>
              <w:left w:val="single" w:color="B8A874" w:sz="2"/>
              <w:bottom w:val="single" w:color="B8A874" w:sz="2"/>
              <w:right w:val="single" w:color="B8A874" w:sz="2"/>
            </w:tcBorders>
            <w:shd w:fill="FBEDEA" w:val="clear"/>
            <w:tcMar>
              <w:top w:type="dxa" w:w="90"/>
              <w:left w:type="dxa" w:w="120"/>
              <w:bottom w:type="dxa" w:w="90"/>
              <w:right w:type="dxa" w:w="120"/>
            </w:tcMar>
            <w:vAlign w:val="center"/>
          </w:tcPr>
          <w:p>
            <w:pPr>
              <w:jc w:val="center"/>
            </w:pPr>
            <w:r>
              <w:rPr>
                <w:b w:val="false"/>
                <w:bCs w:val="false"/>
                <w:color w:val="1A1A1A"/>
                <w:sz w:val="21"/>
                <w:szCs w:val="21"/>
              </w:rPr>
              <w:t xml:space="preserve">387</w:t>
            </w:r>
          </w:p>
        </w:tc>
        <w:tc>
          <w:tcPr>
            <w:tcW w:type="dxa" w:w="1200"/>
            <w:tcBorders>
              <w:top w:val="single" w:color="B8A874" w:sz="2"/>
              <w:left w:val="single" w:color="B8A874" w:sz="2"/>
              <w:bottom w:val="single" w:color="B8A874" w:sz="2"/>
              <w:right w:val="single" w:color="B8A874" w:sz="2"/>
            </w:tcBorders>
            <w:shd w:fill="FBEDEA" w:val="clear"/>
            <w:tcMar>
              <w:top w:type="dxa" w:w="90"/>
              <w:left w:type="dxa" w:w="120"/>
              <w:bottom w:type="dxa" w:w="90"/>
              <w:right w:type="dxa" w:w="120"/>
            </w:tcMar>
            <w:vAlign w:val="center"/>
          </w:tcPr>
          <w:p>
            <w:pPr>
              <w:jc w:val="center"/>
            </w:pPr>
            <w:r>
              <w:rPr>
                <w:b w:val="false"/>
                <w:bCs w:val="false"/>
                <w:color w:val="1A1A1A"/>
                <w:sz w:val="21"/>
                <w:szCs w:val="21"/>
              </w:rPr>
              <w:t xml:space="preserve">27</w:t>
            </w:r>
          </w:p>
        </w:tc>
        <w:tc>
          <w:tcPr>
            <w:tcW w:type="dxa" w:w="1300"/>
            <w:tcBorders>
              <w:top w:val="single" w:color="B8A874" w:sz="2"/>
              <w:left w:val="single" w:color="B8A874" w:sz="2"/>
              <w:bottom w:val="single" w:color="B8A874" w:sz="2"/>
              <w:right w:val="single" w:color="B8A874" w:sz="2"/>
            </w:tcBorders>
            <w:shd w:fill="FBEDEA" w:val="clear"/>
            <w:tcMar>
              <w:top w:type="dxa" w:w="90"/>
              <w:left w:type="dxa" w:w="120"/>
              <w:bottom w:type="dxa" w:w="90"/>
              <w:right w:type="dxa" w:w="120"/>
            </w:tcMar>
            <w:vAlign w:val="center"/>
          </w:tcPr>
          <w:p>
            <w:pPr>
              <w:jc w:val="center"/>
            </w:pPr>
            <w:r>
              <w:rPr>
                <w:b w:val="false"/>
                <w:bCs w:val="false"/>
                <w:color w:val="1A1A1A"/>
                <w:sz w:val="21"/>
                <w:szCs w:val="21"/>
              </w:rPr>
              <w:t xml:space="preserve">188</w:t>
            </w:r>
          </w:p>
        </w:tc>
        <w:tc>
          <w:tcPr>
            <w:tcW w:type="dxa" w:w="1300"/>
            <w:tcBorders>
              <w:top w:val="single" w:color="B8A874" w:sz="2"/>
              <w:left w:val="single" w:color="B8A874" w:sz="2"/>
              <w:bottom w:val="single" w:color="B8A874" w:sz="2"/>
              <w:right w:val="single" w:color="B8A874" w:sz="2"/>
            </w:tcBorders>
            <w:shd w:fill="FBEDEA" w:val="clear"/>
            <w:tcMar>
              <w:top w:type="dxa" w:w="90"/>
              <w:left w:type="dxa" w:w="120"/>
              <w:bottom w:type="dxa" w:w="90"/>
              <w:right w:type="dxa" w:w="120"/>
            </w:tcMar>
            <w:vAlign w:val="center"/>
          </w:tcPr>
          <w:p>
            <w:pPr>
              <w:jc w:val="center"/>
            </w:pPr>
            <w:r>
              <w:rPr>
                <w:b w:val="false"/>
                <w:bCs w:val="false"/>
                <w:color w:val="1A1A1A"/>
                <w:sz w:val="21"/>
                <w:szCs w:val="21"/>
              </w:rPr>
              <w:t xml:space="preserve">1,378</w:t>
            </w:r>
          </w:p>
        </w:tc>
      </w:tr>
      <w:tr>
        <w:tc>
          <w:tcPr>
            <w:tcW w:type="dxa" w:w="186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left"/>
            </w:pPr>
            <w:r>
              <w:rPr>
                <w:b/>
                <w:bCs/>
                <w:color w:val="1A1A1A"/>
                <w:sz w:val="21"/>
                <w:szCs w:val="21"/>
              </w:rPr>
              <w:t xml:space="preserve">Eusebius</w:t>
            </w:r>
          </w:p>
        </w:tc>
        <w:tc>
          <w:tcPr>
            <w:tcW w:type="dxa" w:w="13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3,258</w:t>
            </w:r>
          </w:p>
        </w:tc>
        <w:tc>
          <w:tcPr>
            <w:tcW w:type="dxa" w:w="11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211</w:t>
            </w:r>
          </w:p>
        </w:tc>
        <w:tc>
          <w:tcPr>
            <w:tcW w:type="dxa" w:w="13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1,592</w:t>
            </w:r>
          </w:p>
        </w:tc>
        <w:tc>
          <w:tcPr>
            <w:tcW w:type="dxa" w:w="12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88</w:t>
            </w:r>
          </w:p>
        </w:tc>
        <w:tc>
          <w:tcPr>
            <w:tcW w:type="dxa" w:w="13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27</w:t>
            </w:r>
          </w:p>
        </w:tc>
        <w:tc>
          <w:tcPr>
            <w:tcW w:type="dxa" w:w="13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5,176</w:t>
            </w:r>
          </w:p>
        </w:tc>
      </w:tr>
      <w:tr>
        <w:tc>
          <w:tcPr>
            <w:tcW w:type="dxa" w:w="1860"/>
            <w:tcBorders>
              <w:top w:val="single" w:color="B8A874" w:sz="2"/>
              <w:left w:val="single" w:color="B8A874" w:sz="2"/>
              <w:bottom w:val="single" w:color="B8A874" w:sz="2"/>
              <w:right w:val="single" w:color="B8A874" w:sz="2"/>
            </w:tcBorders>
            <w:shd w:fill="F2E8D5" w:val="clear"/>
            <w:tcMar>
              <w:top w:type="dxa" w:w="90"/>
              <w:left w:type="dxa" w:w="120"/>
              <w:bottom w:type="dxa" w:w="90"/>
              <w:right w:type="dxa" w:w="120"/>
            </w:tcMar>
            <w:vAlign w:val="center"/>
          </w:tcPr>
          <w:p>
            <w:pPr>
              <w:jc w:val="left"/>
            </w:pPr>
            <w:r>
              <w:rPr>
                <w:b/>
                <w:bCs/>
                <w:color w:val="1A1A1A"/>
                <w:sz w:val="21"/>
                <w:szCs w:val="21"/>
              </w:rPr>
              <w:t xml:space="preserve">Grand Total</w:t>
            </w:r>
          </w:p>
        </w:tc>
        <w:tc>
          <w:tcPr>
            <w:tcW w:type="dxa" w:w="1300"/>
            <w:tcBorders>
              <w:top w:val="single" w:color="B8A874" w:sz="2"/>
              <w:left w:val="single" w:color="B8A874" w:sz="2"/>
              <w:bottom w:val="single" w:color="B8A874" w:sz="2"/>
              <w:right w:val="single" w:color="B8A874" w:sz="2"/>
            </w:tcBorders>
            <w:shd w:fill="F2E8D5" w:val="clear"/>
            <w:tcMar>
              <w:top w:type="dxa" w:w="90"/>
              <w:left w:type="dxa" w:w="120"/>
              <w:bottom w:type="dxa" w:w="90"/>
              <w:right w:type="dxa" w:w="120"/>
            </w:tcMar>
            <w:vAlign w:val="center"/>
          </w:tcPr>
          <w:p>
            <w:pPr>
              <w:jc w:val="center"/>
            </w:pPr>
            <w:r>
              <w:rPr>
                <w:b/>
                <w:bCs/>
                <w:color w:val="1A1A1A"/>
                <w:sz w:val="21"/>
                <w:szCs w:val="21"/>
              </w:rPr>
              <w:t xml:space="preserve">19,458</w:t>
            </w:r>
          </w:p>
        </w:tc>
        <w:tc>
          <w:tcPr>
            <w:tcW w:type="dxa" w:w="1100"/>
            <w:tcBorders>
              <w:top w:val="single" w:color="B8A874" w:sz="2"/>
              <w:left w:val="single" w:color="B8A874" w:sz="2"/>
              <w:bottom w:val="single" w:color="B8A874" w:sz="2"/>
              <w:right w:val="single" w:color="B8A874" w:sz="2"/>
            </w:tcBorders>
            <w:shd w:fill="F2E8D5" w:val="clear"/>
            <w:tcMar>
              <w:top w:type="dxa" w:w="90"/>
              <w:left w:type="dxa" w:w="120"/>
              <w:bottom w:type="dxa" w:w="90"/>
              <w:right w:type="dxa" w:w="120"/>
            </w:tcMar>
            <w:vAlign w:val="center"/>
          </w:tcPr>
          <w:p>
            <w:pPr>
              <w:jc w:val="center"/>
            </w:pPr>
            <w:r>
              <w:rPr>
                <w:b/>
                <w:bCs/>
                <w:color w:val="1A1A1A"/>
                <w:sz w:val="21"/>
                <w:szCs w:val="21"/>
              </w:rPr>
              <w:t xml:space="preserve">1,352</w:t>
            </w:r>
          </w:p>
        </w:tc>
        <w:tc>
          <w:tcPr>
            <w:tcW w:type="dxa" w:w="1300"/>
            <w:tcBorders>
              <w:top w:val="single" w:color="B8A874" w:sz="2"/>
              <w:left w:val="single" w:color="B8A874" w:sz="2"/>
              <w:bottom w:val="single" w:color="B8A874" w:sz="2"/>
              <w:right w:val="single" w:color="B8A874" w:sz="2"/>
            </w:tcBorders>
            <w:shd w:fill="F2E8D5" w:val="clear"/>
            <w:tcMar>
              <w:top w:type="dxa" w:w="90"/>
              <w:left w:type="dxa" w:w="120"/>
              <w:bottom w:type="dxa" w:w="90"/>
              <w:right w:type="dxa" w:w="120"/>
            </w:tcMar>
            <w:vAlign w:val="center"/>
          </w:tcPr>
          <w:p>
            <w:pPr>
              <w:jc w:val="center"/>
            </w:pPr>
            <w:r>
              <w:rPr>
                <w:b/>
                <w:bCs/>
                <w:color w:val="1A1A1A"/>
                <w:sz w:val="21"/>
                <w:szCs w:val="21"/>
              </w:rPr>
              <w:t xml:space="preserve">14,035</w:t>
            </w:r>
          </w:p>
        </w:tc>
        <w:tc>
          <w:tcPr>
            <w:tcW w:type="dxa" w:w="1200"/>
            <w:tcBorders>
              <w:top w:val="single" w:color="B8A874" w:sz="2"/>
              <w:left w:val="single" w:color="B8A874" w:sz="2"/>
              <w:bottom w:val="single" w:color="B8A874" w:sz="2"/>
              <w:right w:val="single" w:color="B8A874" w:sz="2"/>
            </w:tcBorders>
            <w:shd w:fill="F2E8D5" w:val="clear"/>
            <w:tcMar>
              <w:top w:type="dxa" w:w="90"/>
              <w:left w:type="dxa" w:w="120"/>
              <w:bottom w:type="dxa" w:w="90"/>
              <w:right w:type="dxa" w:w="120"/>
            </w:tcMar>
            <w:vAlign w:val="center"/>
          </w:tcPr>
          <w:p>
            <w:pPr>
              <w:jc w:val="center"/>
            </w:pPr>
            <w:r>
              <w:rPr>
                <w:b/>
                <w:bCs/>
                <w:color w:val="1A1A1A"/>
                <w:sz w:val="21"/>
                <w:szCs w:val="21"/>
              </w:rPr>
              <w:t xml:space="preserve">870</w:t>
            </w:r>
          </w:p>
        </w:tc>
        <w:tc>
          <w:tcPr>
            <w:tcW w:type="dxa" w:w="1300"/>
            <w:tcBorders>
              <w:top w:val="single" w:color="B8A874" w:sz="2"/>
              <w:left w:val="single" w:color="B8A874" w:sz="2"/>
              <w:bottom w:val="single" w:color="B8A874" w:sz="2"/>
              <w:right w:val="single" w:color="B8A874" w:sz="2"/>
            </w:tcBorders>
            <w:shd w:fill="F2E8D5" w:val="clear"/>
            <w:tcMar>
              <w:top w:type="dxa" w:w="90"/>
              <w:left w:type="dxa" w:w="120"/>
              <w:bottom w:type="dxa" w:w="90"/>
              <w:right w:type="dxa" w:w="120"/>
            </w:tcMar>
            <w:vAlign w:val="center"/>
          </w:tcPr>
          <w:p>
            <w:pPr>
              <w:jc w:val="center"/>
            </w:pPr>
            <w:r>
              <w:rPr>
                <w:b/>
                <w:bCs/>
                <w:color w:val="1A1A1A"/>
                <w:sz w:val="21"/>
                <w:szCs w:val="21"/>
              </w:rPr>
              <w:t xml:space="preserve">664</w:t>
            </w:r>
          </w:p>
        </w:tc>
        <w:tc>
          <w:tcPr>
            <w:tcW w:type="dxa" w:w="1300"/>
            <w:tcBorders>
              <w:top w:val="single" w:color="B8A874" w:sz="2"/>
              <w:left w:val="single" w:color="B8A874" w:sz="2"/>
              <w:bottom w:val="single" w:color="B8A874" w:sz="2"/>
              <w:right w:val="single" w:color="B8A874" w:sz="2"/>
            </w:tcBorders>
            <w:shd w:fill="F2E8D5" w:val="clear"/>
            <w:tcMar>
              <w:top w:type="dxa" w:w="90"/>
              <w:left w:type="dxa" w:w="120"/>
              <w:bottom w:type="dxa" w:w="90"/>
              <w:right w:type="dxa" w:w="120"/>
            </w:tcMar>
            <w:vAlign w:val="center"/>
          </w:tcPr>
          <w:p>
            <w:pPr>
              <w:jc w:val="center"/>
            </w:pPr>
            <w:r>
              <w:rPr>
                <w:b/>
                <w:bCs/>
                <w:color w:val="1A1A1A"/>
                <w:sz w:val="21"/>
                <w:szCs w:val="21"/>
              </w:rPr>
              <w:t xml:space="preserve">36,289</w:t>
            </w:r>
          </w:p>
        </w:tc>
      </w:tr>
    </w:tbl>
    <w:p>
      <w:pPr>
        <w:spacing w:after="160" w:before="0" w:line="276"/>
        <w:jc w:val="both"/>
      </w:pPr>
      <w:r>
        <w:rPr>
          <w:sz w:val="23"/>
          <w:szCs w:val="23"/>
        </w:rPr>
        <w:t xml:space="preserve">The apologetic point made from this data, often repeated in evangelistic and catechetical settings, is that the New Testament's text and core doctrinal content (including, centrally, the divinity of Christ on which Origen, Tertullian, and the others comment extensively) is independently and massively attested within living memory of the apostolic age — long before the Council of Nicaea (325) is sometimes wrongly credited, in popular skepticism, with having “invented” Christ's divinity. Tertullian alone, writing circa 200 A.D., already employs the Latin term trinitas and treats the full deity of the Son as settled Christian teaching; Origen, writing in the early third century, comments verse by verse on nearly the whole New Testament, including its most exalted Christological texts.</w:t>
      </w:r>
    </w:p>
    <w:p>
      <w:pPr>
        <w:spacing w:after="160" w:before="0" w:line="276"/>
        <w:jc w:val="both"/>
      </w:pPr>
      <w:r>
        <w:rPr>
          <w:sz w:val="23"/>
          <w:szCs w:val="23"/>
        </w:rPr>
        <w:t xml:space="preserve">In fairness to the historical record — and in keeping with the careful, evidence-weighing instinct this study tries to model — two caveats belong alongside the impressive totals. First, Burgon's tallies include paraphrases, allusions, and loose memory-citations alongside exact quotations, and do not by themselves establish the precise wording of the text a given Father had before him; text-critical scholars (Frederic Kenyon among the first) have noted this limitation even while praising the scale of Burgon's labor. Second, the chart's real value for catechesis is not as a tool of manuscript reconstruction but as a demonstration of doctrinal continuity: the figures show, beyond reasonable dispute, that the New Testament writings were already received, copied, and theologically mined verse by verse by Christian writers within a few generations of the apostles — the same generations, not incidentally, that produced St. Ignatius of Antioch's explicit confession of “our God, Jesus Christ” within a decade or two of the apostle John's death.</w:t>
      </w:r>
    </w:p>
    <w:p>
      <w:r>
        <w:t>This means the Burgon-style table is best used as cumulative corroboration rather than as a stand-alone proof. It shows that the New Testament was deeply embedded in the preaching, controversy, commentary, and liturgy of the early Church; it should not be pressed as though the Fathers alone reproduce every verse in a mechanically complete critical edition. Its real force is historical atmosphere: the same Church that preserved, quoted, preached, and suffered for these writings also confessed Christ as God.</w:t>
      </w:r>
    </w:p>
    <w:p>
      <w:pPr>
        <w:pStyle w:val="Heading1"/>
        <w:keepNext/>
      </w:pPr>
      <w:r>
        <w:t>XI. Islam's View of Christ</w:t>
      </w:r>
    </w:p>
    <w:p>
      <w:r>
        <w:t>Because this study is intended for public apologetic use, it is worth naming Islam's view of Christ with accuracy and charity. The Qur'an honors Jesus as Messiah, son of Mary, prophet, messenger, Word from God, and spirit from Him; it affirms His virginal conception and gives Mary an unusually honored place. At the same time, it explicitly denies that Jesus is God, denies divine sonship as Christianity understands it, rejects the Trinity, and presents Jesus as a servant and prophet who calls Israel to worship Allah alone.</w:t>
      </w:r>
    </w:p>
    <w:p>
      <w:pPr>
        <w:pStyle w:val="Heading2"/>
        <w:keepNext/>
      </w:pPr>
      <w:r>
        <w:t>The Qur'anic Affirmations</w:t>
      </w:r>
    </w:p>
    <w:p>
      <w:r>
        <w:t>Qur'an 4:171 calls Jesus the Messiah, son of Mary, a messenger of Allah, His Word cast to Mary, and a spirit from Him. Qur'an 19:30 presents Jesus as saying that he is the servant of Allah and a prophet. These affirmations are significant for conversation: Islam does not treat Jesus as a false prophet or ordinary man. It preserves a high view of His birth, mission, and eschatological importance.</w:t>
      </w:r>
    </w:p>
    <w:p>
      <w:pPr>
        <w:pStyle w:val="Heading2"/>
        <w:keepNext/>
      </w:pPr>
      <w:r>
        <w:t>The Qur'anic Denials</w:t>
      </w:r>
    </w:p>
    <w:p>
      <w:r>
        <w:t>The same passages mark the decisive disagreement. Qur'an 4:171 warns against saying “three” and denies that God has a son. Qur'an 5:72 rejects the claim that Allah is the Messiah, son of Mary. Qur'an 5:116 portrays Jesus denying that he told people to take him and his mother as deities besides Allah. A Christian response should therefore avoid caricature: the real dispute is not whether Jesus is honored, but whether the apostolic witness is true that the eternal Word became flesh and that the Son shares the Father's divine identity.</w:t>
      </w:r>
    </w:p>
    <w:p>
      <w:pPr>
        <w:pStyle w:val="Heading2"/>
        <w:keepNext/>
      </w:pPr>
      <w:r>
        <w:t>A Christian Point of Contact</w:t>
      </w:r>
    </w:p>
    <w:p>
      <w:r>
        <w:t>The strongest bridge is the title “Word.” In Islam, the title is usually interpreted as God's creative command by which Jesus was miraculously conceived. In John, however, the Word is personal, eternal, with God, and God, and then becomes flesh. The conversation can therefore move from shared reverence for Jesus to the central question: is the Word merely a command that produces Jesus, or is the Word Himself the eternal Son who entered the womb of the Virgin Mary for our salvation?</w:t>
      </w:r>
    </w:p>
    <w:p>
      <w:pPr>
        <w:pStyle w:val="Heading1"/>
        <w:pBdr>
          <w:bottom w:val="single" w:color="8B6914" w:sz="8" w:space="4"/>
        </w:pBdr>
        <w:spacing w:after="200" w:before="480"/>
      </w:pPr>
      <w:r>
        <w:t>XII. Anticipating Objections</w:t>
      </w:r>
    </w:p>
    <w:p>
      <w:pPr>
        <w:spacing w:after="160" w:before="0" w:line="276"/>
        <w:jc w:val="both"/>
      </w:pPr>
      <w:r>
        <w:t>Apologetic conversation rarely stays inside the chain of evidence one has prepared; it is worth briefly anticipating the texts most often raised in reply, since conversations with Jehovah's Witnesses, Muslims, unitarians, and other non-trinitarian interlocutors will almost certainly bring them forward.</w:t>
      </w:r>
    </w:p>
    <w:p>
      <w:pPr>
        <w:pStyle w:val="Heading3"/>
        <w:spacing w:after="100" w:before="220"/>
      </w:pPr>
      <w:r>
        <w:rPr>
          <w:i/>
          <w:iCs/>
          <w:color w:val="8B6914"/>
        </w:rPr>
        <w:t xml:space="preserve">“The Father is greater than I” (John 14:28)</w:t>
      </w:r>
    </w:p>
    <w:p>
      <w:pPr>
        <w:spacing w:after="160" w:before="0" w:line="276"/>
        <w:jc w:val="both"/>
      </w:pPr>
      <w:r>
        <w:rPr>
          <w:sz w:val="23"/>
          <w:szCs w:val="23"/>
        </w:rPr>
        <w:t xml:space="preserve">This statement belongs to Christ's economic, incarnate condition — the voluntary self-humbling (κένωσις, Philippians 2:6–7) of the Son who took the form of a servant — not to a difference of nature or eternal rank. The Fathers distinguished consistently between statements made of Christ κατ᾽ οἰκονομίαν (according to the economy/incarnation) and κατ᾽ οὐσίαν (according to His eternal essence). A son sent on a mission by his father can rightly call the sender “greater” in respect of the mission's order, without thereby being of a lesser nature — the relation of “Father” and “Son” itself implies an order of origin (the Son is eternally begotten of the Father) without implying inequality of essence, just as a human son shares his father's full humanity despite originating from him.</w:t>
      </w:r>
    </w:p>
    <w:p>
      <w:pPr>
        <w:pStyle w:val="Heading3"/>
        <w:spacing w:after="100" w:before="220"/>
      </w:pPr>
      <w:r>
        <w:rPr>
          <w:i/>
          <w:iCs/>
          <w:color w:val="8B6914"/>
        </w:rPr>
        <w:t xml:space="preserve">“The firstborn of all creation” (Colossians 1:15)</w:t>
      </w:r>
    </w:p>
    <w:p>
      <w:pPr>
        <w:spacing w:after="160" w:before="0" w:line="276"/>
        <w:jc w:val="both"/>
      </w:pPr>
      <w:r>
        <w:rPr>
          <w:sz w:val="23"/>
          <w:szCs w:val="23"/>
        </w:rPr>
        <w:t xml:space="preserve">πρωτότοκος (prototokos) in both biblical Greek and the wider Hellenistic world is a title of rank and inheritance, not necessarily of chronological birth order (David is called God's “firstborn” in Psalm 89:27 despite being neither God's first nor only son in any literal sense). Paul's own argument in the immediately following verse removes any ambiguity: “for by Him were all things created” (Colossians 1:16) — the One called “firstborn” is explicitly the Creator of “all things,” which would be incoherent if He were Himself a created being included within “all things.”</w:t>
      </w:r>
    </w:p>
    <w:p>
      <w:pPr>
        <w:pStyle w:val="Heading3"/>
        <w:spacing w:after="100" w:before="220"/>
      </w:pPr>
      <w:r>
        <w:rPr>
          <w:i/>
          <w:iCs/>
          <w:color w:val="8B6914"/>
        </w:rPr>
        <w:t xml:space="preserve">“The Word was a god” (a common mistranslation of John 1:1c)</w:t>
      </w:r>
    </w:p>
    <w:p>
      <w:pPr>
        <w:spacing w:after="160" w:before="0" w:line="276"/>
        <w:jc w:val="both"/>
      </w:pPr>
      <w:r>
        <w:rPr>
          <w:sz w:val="23"/>
          <w:szCs w:val="23"/>
        </w:rPr>
        <w:t xml:space="preserve">Anarthrous (article-less) predicate nouns that precede the verb in Greek, as θεός does in καὶ θεός ἦν ὁ λόγος, regularly function qualitatively in Koine Greek — describing the nature or quality of the subject — rather than indicating one member of a category of “gods.” Greek grammarians (E.C. Colwell's foundational study and subsequent refinements by scholars unconnected to any trinitarian commitment) have established this as ordinary usage, not a special pleading invented to rescue a doctrine; the same Gospel uses the identical anarthrous construction for purely qualitative statements elsewhere (e.g., John 4:24, “God is spirit,” πνεῦμα ὁ θεός).</w:t>
      </w:r>
    </w:p>
    <w:p>
      <w:pPr>
        <w:pStyle w:val="Heading3"/>
        <w:keepNext/>
      </w:pPr>
      <w:r>
        <w:t>“No one knows the day or hour, not even the Son” (Mark 13:32)</w:t>
      </w:r>
    </w:p>
    <w:p>
      <w:r>
        <w:t>This text belongs to the same incarnational pattern as John 14:28. The eternal Son truly assumed a human mind, human will, and human condition; He did not merely wear humanity as a costume. Orthodox Christology therefore confesses both the divine omniscience of the Word and the real human consciousness of Jesus. The verse is not an argument that Christ is a creature, but a witness that the incarnation was genuine.</w:t>
      </w:r>
    </w:p>
    <w:p>
      <w:pPr>
        <w:pStyle w:val="Heading3"/>
        <w:keepNext/>
      </w:pPr>
      <w:r>
        <w:t>“Why do you call Me good? No one is good but God alone” (Mark 10:18)</w:t>
      </w:r>
    </w:p>
    <w:p>
      <w:r>
        <w:t>Jesus is not denying His goodness; He is pressing the rich young ruler to understand the meaning of his own words. If goodness belongs ultimately to God, then calling Jesus good should lead the questioner upward, not backward. The passage functions as a spiritual diagnosis: the man uses reverent language but has not yet perceived who stands before him.</w:t>
      </w:r>
    </w:p>
    <w:p>
      <w:pPr>
        <w:pStyle w:val="Heading3"/>
        <w:keepNext/>
      </w:pPr>
      <w:r>
        <w:t>“The only true God, and Jesus Christ whom You have sent” (John 17:3)</w:t>
      </w:r>
    </w:p>
    <w:p>
      <w:r>
        <w:t>In context, Jesus has just asked the Father to glorify Him with the glory He had with the Father before the world existed. John 17:3 distinguishes the Father and the Son personally; it does not exclude the Son from the divine identity. The same Gospel that records this prayer begins by saying that the Word was God and ends with Thomas confessing Jesus as “my Lord and my God.”</w:t>
      </w:r>
    </w:p>
    <w:p>
      <w:pPr>
        <w:pStyle w:val="Heading3"/>
        <w:keepNext/>
      </w:pPr>
      <w:r>
        <w:t>“My God and your God” (John 20:17)</w:t>
      </w:r>
    </w:p>
    <w:p>
      <w:r>
        <w:t>The risen Christ speaks as the incarnate Son and true man, leading His brethren to the Father. The phrase does not erase His divine sonship; it reveals the grace of adoption. The Father is Christ's Father by eternal generation, and our Father by union with Christ. Likewise, the Father is His God according to His assumed humanity, while Christ remains the eternal Word according to His divinity.</w:t>
      </w:r>
    </w:p>
    <w:p>
      <w:pPr>
        <w:pStyle w:val="Heading3"/>
        <w:keepNext/>
      </w:pPr>
      <w:r>
        <w:t>“The beginning of the creation of God” (Revelation 3:14)</w:t>
      </w:r>
    </w:p>
    <w:p>
      <w:r>
        <w:t>The Greek word arche can mean beginning, source, ruler, or originating principle. In Revelation 3:14, the title does not require that Christ is the first creature. Read with John 1 and Colossians 1, it means that Christ is the origin and ruler of creation: creation begins from Him because all things came to be through Him.</w:t>
      </w:r>
    </w:p>
    <w:p>
      <w:pPr>
        <w:pStyle w:val="Heading3"/>
        <w:keepNext/>
      </w:pPr>
      <w:r>
        <w:t>Proverbs 8 and Created Wisdom</w:t>
      </w:r>
    </w:p>
    <w:p>
      <w:r>
        <w:t>Arian and modern anti-trinitarian arguments often appeal to Proverbs 8, where Wisdom says she was “created” or “possessed” at the beginning, depending on translation. Orthodox interpretation must be careful here. Proverbs is poetic wisdom literature, not a simple metaphysical biography of the Son. The New Testament identifies Christ as God's Wisdom, but it also teaches that He is eternal, Creator, and before all things. A poetic personification cannot overturn the apostolic witness that the Word was already God in the beginning.</w:t>
      </w:r>
    </w:p>
    <w:p>
      <w:pPr>
        <w:pStyle w:val="Heading3"/>
        <w:keepNext/>
      </w:pPr>
      <w:r>
        <w:t>“Son of God” Means Lesser or Created</w:t>
      </w:r>
    </w:p>
    <w:p>
      <w:r>
        <w:t>Human sonship begins in time and depends on biological generation; divine sonship does not. When Christians confess the Son as “begotten, not made,” they are distinguishing eternal generation from creation. The Son is from the Father, but not after the Father; begotten of the Father's essence, not manufactured out of nothing. A human son shares human nature with his father; the eternal Son shares the divine nature with the Father.</w:t>
      </w:r>
    </w:p>
    <w:p>
      <w:pPr>
        <w:pStyle w:val="Heading3"/>
        <w:keepNext/>
      </w:pPr>
      <w:r>
        <w:t>“Worship” Can Mean Mere Respect</w:t>
      </w:r>
    </w:p>
    <w:p>
      <w:r>
        <w:t>It is true that some biblical gestures of bowing can express human respect. But the argument for Christ's deity does not rest on one ambiguous bow. It rests on the whole pattern: Jesus receives worship after divine acts, angels are commanded to worship Him, the Lamb receives heavenly doxology with the One on the throne, Christians pray to Him, and pagan observers notice hymns to Christ as divine. Taken together, the evidence exceeds ordinary honor.</w:t>
      </w:r>
    </w:p>
    <w:p>
      <w:pPr>
        <w:spacing w:after="160" w:before="0" w:line="276"/>
        <w:jc w:val="both"/>
      </w:pPr>
      <w:r>
        <w:rPr>
          <w:sz w:val="23"/>
          <w:szCs w:val="23"/>
        </w:rPr>
        <w:t xml:space="preserve">None of this is offered as a substitute for patient, prayerful conversation — the goal of apologetics, as the Fathers practiced it, was never merely to win an argument but to remove obstacles standing between a soul and the God who desires its salvation.</w:t>
      </w:r>
    </w:p>
    <w:p>
      <w:pPr>
        <w:pStyle w:val="Heading1"/>
        <w:pBdr>
          <w:bottom w:val="single" w:color="8B6914" w:sz="8" w:space="4"/>
        </w:pBdr>
        <w:spacing w:after="200" w:before="480"/>
      </w:pPr>
      <w:r>
        <w:t>XIII. The Patristic and Liturgical Witness of the Coptic Church</w:t>
      </w:r>
    </w:p>
    <w:p>
      <w:pPr>
        <w:spacing w:after="160" w:before="0" w:line="276"/>
        <w:jc w:val="both"/>
      </w:pPr>
      <w:r>
        <w:rPr>
          <w:sz w:val="23"/>
          <w:szCs w:val="23"/>
        </w:rPr>
        <w:t xml:space="preserve">The Coptic Orthodox Church received this entire body of scriptural testimony through the lens of her Alexandrian heritage, founded by St. Mark the Evangelist, and her confession of Christ has never wavered from the earliest post-apostolic age.</w:t>
      </w:r>
    </w:p>
    <w:p>
      <w:pPr>
        <w:pStyle w:val="Heading3"/>
        <w:spacing w:after="100" w:before="220"/>
      </w:pPr>
      <w:r>
        <w:rPr>
          <w:i/>
          <w:iCs/>
          <w:color w:val="8B6914"/>
        </w:rPr>
        <w:t xml:space="preserve">St. Ignatius of Antioch (martyred c. 107)</w:t>
      </w:r>
    </w:p>
    <w:p>
      <w:pPr>
        <w:spacing w:after="160" w:before="0" w:line="276"/>
        <w:jc w:val="both"/>
      </w:pPr>
      <w:r>
        <w:rPr>
          <w:sz w:val="23"/>
          <w:szCs w:val="23"/>
        </w:rPr>
        <w:t xml:space="preserve">Writing within a decade or two of the death of the last apostle, Ignatius repeatedly and without apparent controversy speaks of “our God, Jesus Christ” in his letters to Ephesus, Rome, and Smyrna, defends the reality of Christ's flesh against early docetism, and refers to the Eucharist as the flesh of the Savior — testimony that the divinity, true humanity, and Real Presence at the heart of this study were apostolic-era convictions, not later philosophical accretions.</w:t>
      </w:r>
    </w:p>
    <w:p>
      <w:r>
        <w:t>In the Epistle to the Ephesians, Ignatius describes Christ as “God existing in flesh,” a compact phrase that already guards both sides of the mystery: the One who appears in flesh is truly God, and the flesh in which He appears is real. This is why Ignatius can oppose docetism and confess Christ's deity in the same breath.</w:t>
      </w:r>
    </w:p>
    <w:p>
      <w:pPr>
        <w:pStyle w:val="Heading3"/>
        <w:spacing w:after="100" w:before="220"/>
      </w:pPr>
      <w:r>
        <w:rPr>
          <w:i/>
          <w:iCs/>
          <w:color w:val="8B6914"/>
        </w:rPr>
        <w:t xml:space="preserve">St. Athanasius the Apostolic (296–373)</w:t>
      </w:r>
    </w:p>
    <w:p>
      <w:pPr>
        <w:spacing w:after="160" w:before="0" w:line="276"/>
        <w:jc w:val="both"/>
      </w:pPr>
      <w:r>
        <w:rPr>
          <w:sz w:val="23"/>
          <w:szCs w:val="23"/>
        </w:rPr>
        <w:t xml:space="preserve">As the unwavering champion of the Nicene homoousion (“of one essence”) against Arius, Athanasius argued precisely along the lines this study has traced: that the saving exchange of the Incarnation — the Word's assumption of human nature so that human nature might be deified — collapses entirely if the Word who assumed it is a creature, however exalted, rather than true God. His On the Incarnation remains the classical Alexandrian statement of why Christ's full divinity is not a peripheral dogma but the condition of human salvation.</w:t>
      </w:r>
    </w:p>
    <w:p>
      <w:r>
        <w:t>Athanasius' famous line, “He was made man that we might be made God,” is not rhetorical excess. It is the Alexandrian grammar of salvation: only God can unite humanity to God, and only a true human life can heal human nature from within.</w:t>
      </w:r>
    </w:p>
    <w:p>
      <w:pPr>
        <w:pStyle w:val="Heading3"/>
        <w:spacing w:after="100" w:before="220"/>
      </w:pPr>
      <w:r>
        <w:rPr>
          <w:i/>
          <w:iCs/>
          <w:color w:val="8B6914"/>
        </w:rPr>
        <w:t xml:space="preserve">St. Cyril of Alexandria (c. 376–444)</w:t>
      </w:r>
    </w:p>
    <w:p>
      <w:pPr>
        <w:spacing w:after="160" w:before="0" w:line="276"/>
        <w:jc w:val="both"/>
      </w:pPr>
      <w:r>
        <w:t>As the twenty-fourth Pope of Alexandria, Cyril's defense of the title Theotokos (“God-bearer”) for the Virgin Mary against Nestorius was, at root, a defense of exactly the texts surveyed above: if Mary did not bear God in the flesh, then none of the divine ascriptions and divine works catalogued in this study can rightly be said of the man Jesus, since the subject who walked, taught, suffered, and rose would be a different person from the eternal Word. Cyril's formula — μία φύσις τοϱ Θεού Λόγου σεσαρκωμένη, “the one incarnate nature of God the Word” — remains the Coptic Church's confession of how full deity and full humanity coincide, without division or confusion, in the single subject Jesus Christ.</w:t>
      </w:r>
    </w:p>
    <w:p>
      <w:r>
        <w:t>The title Theotokos is therefore not primarily a Marian embellishment but a Christological safeguard. It says that the one born of Mary is the same divine Person who is eternally begotten of the Father. Mary does not originate the Godhead; she bears the incarnate Word according to the flesh.</w:t>
      </w:r>
    </w:p>
    <w:p>
      <w:pPr>
        <w:pStyle w:val="Heading3"/>
        <w:keepNext/>
      </w:pPr>
      <w:r>
        <w:t>Nicaea as Guardrail, Not Invention</w:t>
      </w:r>
    </w:p>
    <w:p>
      <w:r>
        <w:t>The Council of Nicaea did not invent the divinity of Christ; it guarded the apostolic confession against a new reduction. Its language “God of God, Light of Light, very God of very God, begotten, not made, being of one substance with the Father” was a fence around the worship and Scripture the Church already possessed. The council's logic was simple: if the Son is a creature, He cannot save, reveal, deify, or receive worship as the Church has always confessed.</w:t>
      </w:r>
    </w:p>
    <w:p>
      <w:pPr>
        <w:pStyle w:val="Heading3"/>
        <w:spacing w:after="100" w:before="220"/>
      </w:pPr>
      <w:r>
        <w:rPr>
          <w:i/>
          <w:iCs/>
          <w:color w:val="8B6914"/>
        </w:rPr>
        <w:t xml:space="preserve">The Liturgical Voice</w:t>
      </w:r>
    </w:p>
    <w:p>
      <w:pPr>
        <w:spacing w:after="160" w:before="0" w:line="276"/>
        <w:jc w:val="both"/>
      </w:pPr>
      <w:r>
        <w:rPr>
          <w:sz w:val="23"/>
          <w:szCs w:val="23"/>
        </w:rPr>
        <w:t xml:space="preserve">Every Coptic Liturgy renews this confession aloud. The Creed recited at every Divine Liturgy confesses the Son as “True God of True God,” “of one essence with the Father,” “by whom all things were made.” The Agpeya, prayed at the canonical hours, repeatedly addresses Christ in language of worship reserved for God alone. This is not incidental devotional color; it is the lex orandi (the law of prayer) bearing witness to the lex credendi (the law of belief) examined throughout this study — the Church does not merely argue that Christ is God; she worships Him as God, in every hour of her common prayer.</w:t>
      </w:r>
    </w:p>
    <w:p>
      <w:pPr>
        <w:pStyle w:val="Heading1"/>
        <w:keepNext/>
      </w:pPr>
      <w:r>
        <w:t>XIV. A Compact Apologetic Case</w:t>
      </w:r>
    </w:p>
    <w:p>
      <w:r>
        <w:t>For website use, the argument can be presented as a cumulative case rather than a single proof-text. The Christian claim is not that one isolated verse can be made to sound trinitarian; it is that every major stream of biblical evidence converges on the same confession.</w:t>
      </w:r>
    </w:p>
    <w:p>
      <w:pPr>
        <w:pStyle w:val="Heading2"/>
        <w:keepNext/>
      </w:pPr>
      <w:r>
        <w:t>1. Jesus Is on the Creator Side of Reality</w:t>
      </w:r>
    </w:p>
    <w:p>
      <w:r>
        <w:t>John 1, 1 Corinthians 8, Colossians 1, and Hebrews 1 all place the Son in the work of creation and preservation. If all things were made through Him, then He is not one of the things made.</w:t>
      </w:r>
    </w:p>
    <w:p>
      <w:pPr>
        <w:pStyle w:val="Heading2"/>
        <w:keepNext/>
      </w:pPr>
      <w:r>
        <w:t>2. Jesus Receives the Worship Due to God</w:t>
      </w:r>
    </w:p>
    <w:p>
      <w:r>
        <w:t>The New Testament rejects worship of creatures, yet Jesus receives worship from disciples, angels, and the heavenly liturgy. Revelation's worship of the Lamb is especially decisive because heaven is not confused about idolatry.</w:t>
      </w:r>
    </w:p>
    <w:p>
      <w:pPr>
        <w:pStyle w:val="Heading2"/>
        <w:keepNext/>
      </w:pPr>
      <w:r>
        <w:t>3. Jesus Bears the Divine Name and Titles</w:t>
      </w:r>
    </w:p>
    <w:p>
      <w:r>
        <w:t>Jesus is called God, Lord, First and Last, I AM, Son of Man enthroned with the Ancient of Days, and the one before whom every knee bows. These are not merely compliments; they are Old Testament divine identifiers applied to Christ.</w:t>
      </w:r>
    </w:p>
    <w:p>
      <w:pPr>
        <w:pStyle w:val="Heading2"/>
        <w:keepNext/>
      </w:pPr>
      <w:r>
        <w:t>4. Jesus Performs Divine Works</w:t>
      </w:r>
    </w:p>
    <w:p>
      <w:r>
        <w:t>He forgives sins, gives life, judges the world, rules the Sabbath, calms the sea, creates, sustains, and sends the Spirit. These works reveal who He is.</w:t>
      </w:r>
    </w:p>
    <w:p>
      <w:pPr>
        <w:pStyle w:val="Heading2"/>
        <w:keepNext/>
      </w:pPr>
      <w:r>
        <w:t>5. Jesus Is Prayed To and Confessed Liturgically</w:t>
      </w:r>
    </w:p>
    <w:p>
      <w:r>
        <w:t>The apostolic Church calls on His name, prays Maranatha, baptizes into the triune Name, breaks the Eucharistic bread as communion in His body and blood, and sings hymns to Him.</w:t>
      </w:r>
    </w:p>
    <w:p>
      <w:pPr>
        <w:pStyle w:val="Heading2"/>
        <w:keepNext/>
      </w:pPr>
      <w:r>
        <w:t>6. The Fathers Preserve, Rather Than Replace, the Apostolic Faith</w:t>
      </w:r>
    </w:p>
    <w:p>
      <w:r>
        <w:t>Ignatius, Justin, Irenaeus, Tertullian, Athanasius, Cyril, and the Nicene fathers do not create a new Jesus. They defend the Jesus already worshiped in Scripture: true God, true man, one Lord Jesus Christ, the only-begotten Son of the Father.</w:t>
      </w:r>
    </w:p>
    <w:p>
      <w:pPr>
        <w:pStyle w:val="Heading1"/>
        <w:pBdr>
          <w:bottom w:val="single" w:color="8B6914" w:sz="8" w:space="4"/>
        </w:pBdr>
        <w:spacing w:after="200" w:before="480"/>
      </w:pPr>
      <w:r>
        <w:t>XV. Conclusion — From Confession to Communion</w:t>
      </w:r>
    </w:p>
    <w:p>
      <w:pPr>
        <w:spacing w:after="160" w:before="0" w:line="276"/>
        <w:jc w:val="both"/>
      </w:pPr>
      <w:r>
        <w:rPr>
          <w:sz w:val="23"/>
          <w:szCs w:val="23"/>
        </w:rPr>
        <w:t xml:space="preserve">The data assembled here — direct ascription, divine works, indirect-but-unmistakable self-disclosure, and the converging witness of the earliest Church — does not exist to win debates for their own sake, although it is more than sufficient for that purpose. It exists because the identity of Jesus Christ determines whether the Christian life is, at its root, a moral philosophy offered by an exceptional teacher or an actual union with the living God, accomplished by God Himself taking flesh, suffering, dying, and rising in that same flesh. St. Paul's confession in Romans 9:5, with which this study began, and St. Thomas's confession in John 20:28, with which the Gospel of John brings its witness to its climax, are not merely correct propositions to be defended in argument. They are doorways into worship — “My Lord and my God” — and worship, sustained through the sacramental life of the Church, is the path along which “we all, with open face beholding as in a glass the glory of the Lord, are changed into the same image from glory to glory, even as by the Spirit of the Lord” (2 Corinthians 3:18). The confession that Christ is God is, finally, in service of the confession's own deepest purpose: that those who believe it might be united to the One they confess, and by grace become partakers of the divine nature He alone, as true God, was able to bestow.</w:t>
      </w:r>
    </w:p>
    <w:p>
      <w:pPr>
        <w:pStyle w:val="Heading1"/>
        <w:keepNext/>
      </w:pPr>
      <w:r>
        <w:t>Sources Consulted</w:t>
      </w:r>
    </w:p>
    <w:p>
      <w:r>
        <w:t>Additional Scripture research: Philippians 2:5–11 and Isaiah 45:22–25 on universal worship; 1 Corinthians 8:4–6 on the Father and the one Lord Jesus Christ; Colossians 1:15–20 on Christ as Creator, sustainer, and reconciler; Acts 7:59, 1 Corinthians 1:2, 1 Corinthians 16:22, and Revelation 22:20 on invocation and prayer to Christ.</w:t>
      </w:r>
    </w:p>
    <w:p>
      <w:r>
        <w:t>Additional web sources checked: BibleGateway passages for Philippians 2, Isaiah 45, 1 Corinthians 8, and Colossians 1; Fordham Internet History Sourcebook, Pliny Letters 10.96–97 (https://sourcebooks.fordham.edu/source/pliny1.asp); St. Justin Martyr, First Apology (https://www.newadvent.org/fathers/0126.htm); First Council of Nicaea (https://www.newadvent.org/fathers/3801.htm).</w:t>
      </w:r>
    </w:p>
    <w:p>
      <w:r>
        <w:t>Modern research orientation: Larry Hurtado's work on earliest Christian devotion to Jesus and Richard Bauckham's divine-identity framing were used as background categories for organizing the biblical material, while the document's claims are argued from Scripture and primary early sources.</w:t>
      </w:r>
    </w:p>
    <w:p>
      <w:r>
        <w:t>Biblical texts: Romans 9:5; John 1:1–14; John 5; John 8; John 10; John 17; John 20; Hebrews 1; Revelation 5; Genesis 16; Genesis 22; Exodus 3; Judges 13; Isaiah 40; Isaiah 44; Isaiah 45.</w:t>
      </w:r>
    </w:p>
    <w:p>
      <w:r>
        <w:t>Patristic sources checked online: St. Ignatius of Antioch, Epistle to the Ephesians (https://www.newadvent.org/fathers/0104.htm); Tertullian, Against Praxeas (https://www.newadvent.org/fathers/0317.htm); St. Athanasius, On the Incarnation of the Word (https://www.newadvent.org/fathers/2802.htm); conciliar and Cyrilline material surrounding Ephesus and the title Theotokos (https://www.newadvent.org/fathers/3810.htm).</w:t>
      </w:r>
    </w:p>
    <w:p>
      <w:r>
        <w:t>Islam section checked against Qur'an 4:171 (https://quran.com/4/171); 5:72 (https://quran.com/5/72); 5:116 (https://quran.com/5/116); 19:30 (https://quran.com/19/30), using Quran.com for Arabic text and English translation.</w:t>
      </w:r>
    </w:p>
    <w:p>
      <w:r>
        <w:t>Text-critical caution: the Burgon patristic quotation table is retained as a historical-apologetic aid, but the surrounding prose now warns against using the numbers as a precise or exhaustive reconstruction claim.</w:t>
      </w:r>
    </w:p>
    <w:p>
      <w:pPr>
        <w:spacing w:after="300" w:before="60"/>
        <w:jc w:val="center"/>
      </w:pPr>
      <w:r>
        <w:rPr>
          <w:color w:val="8B6914"/>
          <w:sz w:val="26"/>
          <w:szCs w:val="26"/>
        </w:rPr>
        <w:t xml:space="preserve">✠</w:t>
      </w:r>
    </w:p>
    <w:sectPr>
      <w:headerReference w:type="default" r:id="rId7"/>
      <w:footerReference w:type="default" r:id="rId8"/>
      <w:pgSz w:w="12240" w:h="15840" w:orient="portrait"/>
      <w:pgMar w:top="1440" w:right="1224" w:bottom="1440"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Coptic Catechism Study —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A874" w:sz="4" w:space="4"/>
      </w:pBdr>
      <w:jc w:val="center"/>
    </w:pPr>
    <w:r>
      <w:rPr>
        <w:i/>
        <w:iCs/>
        <w:color w:val="595959"/>
        <w:sz w:val="18"/>
        <w:szCs w:val="18"/>
      </w:rPr>
      <w:t xml:space="preserve">CHRIST IS GOD — The Divinity of Christ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mbria" w:cs="Cambria" w:eastAsia="Cambria" w:hAnsi="Cambria"/>
      <w:b/>
      <w:bCs/>
      <w:color w:val="7A1F1F"/>
      <w:sz w:val="34"/>
      <w:szCs w:val="34"/>
    </w:rPr>
  </w:style>
  <w:style w:type="paragraph" w:styleId="Heading2">
    <w:name w:val="Heading 2"/>
    <w:basedOn w:val="Normal"/>
    <w:next w:val="Normal"/>
    <w:qFormat/>
    <w:pPr>
      <w:spacing w:after="140" w:before="320"/>
      <w:outlineLvl w:val="1"/>
    </w:pPr>
    <w:rPr>
      <w:rFonts w:ascii="Cambria" w:cs="Cambria" w:eastAsia="Cambria" w:hAnsi="Cambria"/>
      <w:b/>
      <w:bCs/>
      <w:color w:val="1F2A44"/>
      <w:sz w:val="27"/>
      <w:szCs w:val="27"/>
    </w:rPr>
  </w:style>
  <w:style w:type="paragraph" w:styleId="Heading3">
    <w:name w:val="Heading 3"/>
    <w:basedOn w:val="Normal"/>
    <w:next w:val="Normal"/>
    <w:qFormat/>
    <w:pPr>
      <w:spacing w:after="100" w:before="220"/>
      <w:outlineLvl w:val="2"/>
    </w:pPr>
    <w:rPr>
      <w:rFonts w:ascii="Cambria" w:cs="Cambria" w:eastAsia="Cambria" w:hAnsi="Cambria"/>
      <w:b/>
      <w:bCs/>
      <w:i/>
      <w:iCs/>
      <w:color w:val="8B6914"/>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2026-06-23T14:03:19.229Z</dcterms:created>
  <dcterms:modified xsi:type="dcterms:W3CDTF">2026-06-23T14:03:19.229Z</dcterms:modified>
</cp:coreProperties>
</file>

<file path=docProps/custom.xml><?xml version="1.0" encoding="utf-8"?>
<Properties xmlns="http://schemas.openxmlformats.org/officeDocument/2006/custom-properties" xmlns:vt="http://schemas.openxmlformats.org/officeDocument/2006/docPropsVTypes"/>
</file>