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widowControl/>
        <w:spacing w:before="1500"/>
      </w:pPr>
      <w:r>
        <w:t>PRODUCT DIRECTION  •  SOFTWARE ARCHITECTURE  •  ENGINEERING ROADMAP</w:t>
      </w:r>
    </w:p>
    <w:p>
      <w:pPr>
        <w:widowControl/>
        <w:spacing w:before="360" w:after="40"/>
      </w:pPr>
      <w:r>
        <w:rPr>
          <w:rFonts w:ascii="Aptos Display" w:hAnsi="Aptos Display"/>
          <w:b/>
          <w:color w:val="142B45"/>
          <w:sz w:val="78"/>
        </w:rPr>
        <w:t>NEUROPULSE</w:t>
      </w:r>
    </w:p>
    <w:p>
      <w:pPr>
        <w:widowControl/>
        <w:spacing w:after="240"/>
      </w:pPr>
      <w:r>
        <w:rPr>
          <w:rFonts w:ascii="Aptos Display" w:hAnsi="Aptos Display"/>
          <w:b/>
          <w:color w:val="0F6868"/>
          <w:sz w:val="50"/>
        </w:rPr>
        <w:t>Dashboard Software</w:t>
        <w:br/>
        <w:t>Master Blueprint</w:t>
      </w:r>
    </w:p>
    <w:p>
      <w:pPr>
        <w:widowControl/>
        <w:spacing w:after="400"/>
      </w:pPr>
      <w:r>
        <w:rPr>
          <w:rFonts w:ascii="Aptos" w:hAnsi="Aptos"/>
          <w:color w:val="5F7182"/>
          <w:sz w:val="24"/>
        </w:rPr>
        <w:t>Định hướng sản phẩm, tính năng, tech stack, kiến trúc dữ liệu, quy trình kiểm thử và chỉ dẫn triển khai dành cho Antigravity</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31"/>
        <w:gridCol w:w="3331"/>
        <w:gridCol w:w="3331"/>
      </w:tblGrid>
      <w:tr>
        <w:tc>
          <w:tcPr>
            <w:tcW w:type="dxa" w:w="2304"/>
            <w:shd w:fill="142B45"/>
            <w:vAlign w:val="center"/>
            <w:tcMar>
              <w:top w:w="80" w:type="dxa"/>
              <w:start w:w="95" w:type="dxa"/>
              <w:bottom w:w="80" w:type="dxa"/>
              <w:end w:w="95" w:type="dxa"/>
            </w:tcMar>
          </w:tcPr>
          <w:p>
            <w:pPr>
              <w:widowControl/>
              <w:spacing w:after="0" w:before="0" w:line="245" w:lineRule="auto"/>
            </w:pPr>
            <w:r/>
            <w:r>
              <w:rPr>
                <w:rFonts w:ascii="Aptos" w:hAnsi="Aptos"/>
                <w:b/>
                <w:color w:val="FFFFFF"/>
                <w:sz w:val="16"/>
              </w:rPr>
              <w:t>TARGET STATE</w:t>
            </w:r>
          </w:p>
        </w:tc>
        <w:tc>
          <w:tcPr>
            <w:tcW w:type="dxa" w:w="2952"/>
            <w:shd w:fill="178A8A"/>
            <w:vAlign w:val="center"/>
            <w:tcMar>
              <w:top w:w="80" w:type="dxa"/>
              <w:start w:w="95" w:type="dxa"/>
              <w:bottom w:w="80" w:type="dxa"/>
              <w:end w:w="95" w:type="dxa"/>
            </w:tcMar>
          </w:tcPr>
          <w:p>
            <w:pPr>
              <w:widowControl/>
              <w:spacing w:after="0" w:before="0" w:line="245" w:lineRule="auto"/>
            </w:pPr>
            <w:r/>
            <w:r>
              <w:rPr>
                <w:rFonts w:ascii="Aptos" w:hAnsi="Aptos"/>
                <w:b/>
                <w:color w:val="FFFFFF"/>
                <w:sz w:val="16"/>
              </w:rPr>
              <w:t>DUAL-SENSOR READY</w:t>
            </w:r>
          </w:p>
        </w:tc>
        <w:tc>
          <w:tcPr>
            <w:tcW w:type="dxa" w:w="2376"/>
            <w:shd w:fill="5E4B8B"/>
            <w:vAlign w:val="center"/>
            <w:tcMar>
              <w:top w:w="80" w:type="dxa"/>
              <w:start w:w="95" w:type="dxa"/>
              <w:bottom w:w="80" w:type="dxa"/>
              <w:end w:w="95" w:type="dxa"/>
            </w:tcMar>
          </w:tcPr>
          <w:p>
            <w:pPr>
              <w:widowControl/>
              <w:spacing w:after="0" w:before="0" w:line="245" w:lineRule="auto"/>
            </w:pPr>
            <w:r/>
            <w:r>
              <w:rPr>
                <w:rFonts w:ascii="Aptos" w:hAnsi="Aptos"/>
                <w:b/>
                <w:color w:val="FFFFFF"/>
                <w:sz w:val="16"/>
              </w:rPr>
              <w:t>RESEARCH-FIRST</w:t>
            </w:r>
          </w:p>
        </w:tc>
      </w:tr>
    </w:tbl>
    <w:p>
      <w:pPr>
        <w:widowControl/>
      </w:pPr>
    </w:p>
    <w:tbl>
      <w:tblPr>
        <w:tblW w:type="auto" w:w="0"/>
        <w:jc w:val="center"/>
        <w:tblLayout w:type="fixed"/>
        <w:tblLook w:firstColumn="1" w:firstRow="1" w:lastColumn="0" w:lastRow="0" w:noHBand="0" w:noVBand="1" w:val="04A0"/>
        <w:tblBorders>
          <w:top w:val="single" w:sz="0" w:space="0" w:color="E6F4F2"/>
          <w:left w:val="single" w:sz="0" w:space="0" w:color="E6F4F2"/>
          <w:bottom w:val="single" w:sz="0" w:space="0" w:color="E6F4F2"/>
          <w:right w:val="single" w:sz="0" w:space="0" w:color="E6F4F2"/>
          <w:insideH w:val="single" w:sz="0" w:space="0" w:color="E6F4F2"/>
          <w:insideV w:val="single" w:sz="0" w:space="0" w:color="E6F4F2"/>
        </w:tblBorders>
      </w:tblPr>
      <w:tblGrid>
        <w:gridCol w:w="9994"/>
      </w:tblGrid>
      <w:tr>
        <w:tc>
          <w:tcPr>
            <w:tcW w:type="dxa" w:w="9994"/>
            <w:shd w:fill="E6F4F2"/>
            <w:tcMar>
              <w:top w:w="130" w:type="dxa"/>
              <w:start w:w="170" w:type="dxa"/>
              <w:bottom w:w="130" w:type="dxa"/>
              <w:end w:w="170" w:type="dxa"/>
            </w:tcMar>
          </w:tcPr>
          <w:p>
            <w:pPr>
              <w:widowControl/>
              <w:spacing w:after="60"/>
            </w:pPr>
            <w:r/>
            <w:r>
              <w:rPr>
                <w:rFonts w:ascii="Aptos" w:hAnsi="Aptos"/>
                <w:b/>
                <w:color w:val="0F6868"/>
                <w:sz w:val="18"/>
              </w:rPr>
              <w:t>MỤC ĐÍCH CỐT LÕI</w:t>
            </w:r>
          </w:p>
          <w:p>
            <w:pPr>
              <w:widowControl/>
              <w:spacing w:after="0" w:line="252" w:lineRule="auto"/>
            </w:pPr>
            <w:r>
              <w:rPr>
                <w:rFonts w:ascii="Aptos" w:hAnsi="Aptos"/>
                <w:color w:val="233446"/>
                <w:sz w:val="17"/>
              </w:rPr>
              <w:t>Đây là tài liệu định hướng trạng thái đích, không phải kết luận về mức độ hoàn thiện của repository hiện tại. Antigravity phải kiểm kê code, tính năng, dữ liệu, dependency và các test đang có trước khi đề xuất hoặc thực hiện bất kỳ thay đổi lớn nào.</w:t>
            </w:r>
          </w:p>
        </w:tc>
      </w:tr>
    </w:tbl>
    <w:p>
      <w:pPr>
        <w:widowControl/>
        <w:spacing w:after="20"/>
      </w:pPr>
    </w:p>
    <w:p>
      <w:pPr>
        <w:widowControl/>
        <w:spacing w:before="800"/>
      </w:pPr>
      <w:r>
        <w:rPr>
          <w:rFonts w:ascii="Aptos" w:hAnsi="Aptos"/>
          <w:color w:val="5F7182"/>
          <w:sz w:val="18"/>
        </w:rPr>
        <w:t>Phiên bản 1.0  |  21/10/2026  |  Tài liệu làm việc nội bộ</w:t>
      </w:r>
    </w:p>
    <w:p>
      <w:pPr>
        <w:widowControl/>
        <w:spacing w:before="80"/>
      </w:pPr>
      <w:r>
        <w:rPr>
          <w:rFonts w:ascii="Aptos" w:hAnsi="Aptos"/>
          <w:i/>
          <w:color w:val="5F7182"/>
          <w:sz w:val="17"/>
        </w:rPr>
        <w:t>Phạm vi: dashboard software và hệ sinh thái dữ liệu; phần cứng chỉ được xem xét ở mức giao tiếp, đo lường và tương thích.</w:t>
      </w:r>
    </w:p>
    <w:p>
      <w:pPr>
        <w:pStyle w:val="Heading1"/>
        <w:pageBreakBefore/>
        <w:widowControl/>
      </w:pPr>
      <w:r>
        <w:t>Tóm lược điều hành</w:t>
      </w:r>
    </w:p>
    <w:p>
      <w:pPr>
        <w:widowControl/>
      </w:pPr>
      <w:r>
        <w:t>NeuroPulse cần một nền tảng phần mềm phục vụ thu nhận, kiểm soát chất lượng, phân tích và diễn giải dữ liệu vi rung cổ tay theo hướng nghiên cứu. Mục tiêu dài hạn là một sản phẩm có trải nghiệm chuyên nghiệp, khả năng truy vết, bảo mật và độ tin cậy kỹ thuật cao; không phải chỉ là một giao diện vẽ biểu đồ hoặc một con số NPI đơn lẻ.</w:t>
      </w:r>
    </w:p>
    <w:p>
      <w:pPr>
        <w:widowControl/>
      </w:pPr>
      <w:r>
        <w:t>Tài liệu này là bản đồ đích đến để Antigravity so sánh với mã nguồn thực tế và cải tiến có kiểm soát. Nó không giả định toàn bộ chức năng chưa tồn tại; cũng không cho phép viết lại dự án chỉ vì kiến trúc tham chiếu ở đây khác với cấu trúc hiện tại.</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237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Nguyên tắc</w:t>
            </w:r>
          </w:p>
        </w:tc>
        <w:tc>
          <w:tcPr>
            <w:tcW w:type="dxa" w:w="7992"/>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Ý nghĩa khi triển khai</w:t>
            </w:r>
          </w:p>
        </w:tc>
      </w:tr>
      <w:tr>
        <w:trPr>
          <w:cantSplit/>
        </w:trPr>
        <w:tc>
          <w:tcPr>
            <w:tcW w:type="dxa" w:w="2376"/>
            <w:vAlign w:val="center"/>
            <w:tcMar>
              <w:top w:w="80" w:type="dxa"/>
              <w:start w:w="95" w:type="dxa"/>
              <w:bottom w:w="80" w:type="dxa"/>
              <w:end w:w="95" w:type="dxa"/>
            </w:tcMar>
          </w:tcPr>
          <w:p>
            <w:pPr>
              <w:widowControl/>
              <w:spacing w:after="0" w:before="0" w:line="245" w:lineRule="auto"/>
            </w:pPr>
            <w:r/>
            <w:r>
              <w:rPr>
                <w:rFonts w:ascii="Aptos" w:hAnsi="Aptos"/>
                <w:b/>
                <w:color w:val="142B45"/>
                <w:sz w:val="16"/>
              </w:rPr>
              <w:t>Kiểm kê trước, sửa sau</w:t>
            </w:r>
          </w:p>
        </w:tc>
        <w:tc>
          <w:tcPr>
            <w:tcW w:type="dxa" w:w="799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Đọc cấu trúc repository, entry points, pages, modules, data flow, requirements/lock files, tests, logs và trạng thái Git trước khi sửa.</w:t>
            </w:r>
          </w:p>
        </w:tc>
      </w:tr>
      <w:tr>
        <w:trPr>
          <w:cantSplit/>
        </w:trPr>
        <w:tc>
          <w:tcPr>
            <w:tcW w:type="dxa" w:w="2376"/>
            <w:vAlign w:val="center"/>
            <w:tcMar>
              <w:top w:w="80" w:type="dxa"/>
              <w:start w:w="95" w:type="dxa"/>
              <w:bottom w:w="80" w:type="dxa"/>
              <w:end w:w="95" w:type="dxa"/>
            </w:tcMar>
            <w:shd w:fill="F7F9FB"/>
          </w:tcPr>
          <w:p>
            <w:pPr>
              <w:widowControl/>
              <w:spacing w:after="0" w:before="0" w:line="245" w:lineRule="auto"/>
            </w:pPr>
            <w:r/>
            <w:r>
              <w:rPr>
                <w:rFonts w:ascii="Aptos" w:hAnsi="Aptos"/>
                <w:b/>
                <w:color w:val="142B45"/>
                <w:sz w:val="16"/>
              </w:rPr>
              <w:t>Tôn trọng sản phẩm hiện tại</w:t>
            </w:r>
          </w:p>
        </w:tc>
        <w:tc>
          <w:tcPr>
            <w:tcW w:type="dxa" w:w="799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Giữ lại tính năng đang hoạt động và có giá trị; tái cấu trúc theo từng bước nhỏ, có test hồi quy và cách quay lui.</w:t>
            </w:r>
          </w:p>
        </w:tc>
      </w:tr>
      <w:tr>
        <w:trPr>
          <w:cantSplit/>
        </w:trPr>
        <w:tc>
          <w:tcPr>
            <w:tcW w:type="dxa" w:w="2376"/>
            <w:vAlign w:val="center"/>
            <w:tcMar>
              <w:top w:w="80" w:type="dxa"/>
              <w:start w:w="95" w:type="dxa"/>
              <w:bottom w:w="80" w:type="dxa"/>
              <w:end w:w="95" w:type="dxa"/>
            </w:tcMar>
          </w:tcPr>
          <w:p>
            <w:pPr>
              <w:widowControl/>
              <w:spacing w:after="0" w:before="0" w:line="245" w:lineRule="auto"/>
            </w:pPr>
            <w:r/>
            <w:r>
              <w:rPr>
                <w:rFonts w:ascii="Aptos" w:hAnsi="Aptos"/>
                <w:b/>
                <w:color w:val="142B45"/>
                <w:sz w:val="16"/>
              </w:rPr>
              <w:t>Thiết kế cho hai cảm biến</w:t>
            </w:r>
          </w:p>
        </w:tc>
        <w:tc>
          <w:tcPr>
            <w:tcW w:type="dxa" w:w="799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Hỗ trợ cả piezo LDT0-028K + mạch analog + ADC và ADXL345 số; không coi hai loại tín hiệu là tương đương vật lý.</w:t>
            </w:r>
          </w:p>
        </w:tc>
      </w:tr>
      <w:tr>
        <w:trPr>
          <w:cantSplit/>
        </w:trPr>
        <w:tc>
          <w:tcPr>
            <w:tcW w:type="dxa" w:w="2376"/>
            <w:vAlign w:val="center"/>
            <w:tcMar>
              <w:top w:w="80" w:type="dxa"/>
              <w:start w:w="95" w:type="dxa"/>
              <w:bottom w:w="80" w:type="dxa"/>
              <w:end w:w="95" w:type="dxa"/>
            </w:tcMar>
            <w:shd w:fill="F7F9FB"/>
          </w:tcPr>
          <w:p>
            <w:pPr>
              <w:widowControl/>
              <w:spacing w:after="0" w:before="0" w:line="245" w:lineRule="auto"/>
            </w:pPr>
            <w:r/>
            <w:r>
              <w:rPr>
                <w:rFonts w:ascii="Aptos" w:hAnsi="Aptos"/>
                <w:b/>
                <w:color w:val="142B45"/>
                <w:sz w:val="16"/>
              </w:rPr>
              <w:t>Phân biệt dữ liệu và kết luận</w:t>
            </w:r>
          </w:p>
        </w:tc>
        <w:tc>
          <w:tcPr>
            <w:tcW w:type="dxa" w:w="799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Tín hiệu, chất lượng dữ liệu, chỉ số nghiên cứu và diễn giải y khoa phải là các lớp riêng biệt.</w:t>
            </w:r>
          </w:p>
        </w:tc>
      </w:tr>
      <w:tr>
        <w:trPr>
          <w:cantSplit/>
        </w:trPr>
        <w:tc>
          <w:tcPr>
            <w:tcW w:type="dxa" w:w="2376"/>
            <w:vAlign w:val="center"/>
            <w:tcMar>
              <w:top w:w="80" w:type="dxa"/>
              <w:start w:w="95" w:type="dxa"/>
              <w:bottom w:w="80" w:type="dxa"/>
              <w:end w:w="95" w:type="dxa"/>
            </w:tcMar>
          </w:tcPr>
          <w:p>
            <w:pPr>
              <w:widowControl/>
              <w:spacing w:after="0" w:before="0" w:line="245" w:lineRule="auto"/>
            </w:pPr>
            <w:r/>
            <w:r>
              <w:rPr>
                <w:rFonts w:ascii="Aptos" w:hAnsi="Aptos"/>
                <w:b/>
                <w:color w:val="142B45"/>
                <w:sz w:val="16"/>
              </w:rPr>
              <w:t>Chứng minh thay vì tuyên bố</w:t>
            </w:r>
          </w:p>
        </w:tc>
        <w:tc>
          <w:tcPr>
            <w:tcW w:type="dxa" w:w="799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“Production-ready”, “medical-grade”, độ chính xác hoặc giá trị lâm sàng chỉ được tuyên bố khi có bằng chứng, test và quy trình phù hợp.</w:t>
            </w:r>
          </w:p>
        </w:tc>
      </w:tr>
    </w:tbl>
    <w:p>
      <w:pPr>
        <w:widowControl/>
        <w:spacing w:after="20"/>
      </w:pPr>
    </w:p>
    <w:p>
      <w:pPr>
        <w:pStyle w:val="Heading2"/>
        <w:widowControl/>
      </w:pPr>
      <w:r>
        <w:t>Kết quả mong muốn sau khi áp dụng tài liệu</w:t>
      </w:r>
    </w:p>
    <w:p>
      <w:pPr>
        <w:pStyle w:val="ListBullet"/>
        <w:widowControl/>
        <w:spacing w:after="44"/>
        <w:ind w:left="317" w:hanging="173"/>
      </w:pPr>
      <w:r>
        <w:t>Antigravity tạo bản đồ hiện trạng thật: tính năng nào đã có, hoạt động một phần, lỗi, thiếu test, hoặc chưa tồn tại.</w:t>
      </w:r>
    </w:p>
    <w:p>
      <w:pPr>
        <w:pStyle w:val="ListBullet"/>
        <w:widowControl/>
        <w:spacing w:after="44"/>
        <w:ind w:left="317" w:hanging="173"/>
      </w:pPr>
      <w:r>
        <w:t>Có kiến trúc module để thêm/đổi cảm biến, thuật toán và giao diện mà không phải viết lại toàn bộ ứng dụng.</w:t>
      </w:r>
    </w:p>
    <w:p>
      <w:pPr>
        <w:pStyle w:val="ListBullet"/>
        <w:widowControl/>
        <w:spacing w:after="44"/>
        <w:ind w:left="317" w:hanging="173"/>
      </w:pPr>
      <w:r>
        <w:t>Ba trải nghiệm cốt lõi được giữ hoặc hoàn thiện: Live Sensing, Benchmark/Research và Simulation/Test; không nhầm dữ liệu mô phỏng với dữ liệu đo thật.</w:t>
      </w:r>
    </w:p>
    <w:p>
      <w:pPr>
        <w:pStyle w:val="ListBullet"/>
        <w:widowControl/>
        <w:spacing w:after="44"/>
        <w:ind w:left="317" w:hanging="173"/>
      </w:pPr>
      <w:r>
        <w:t>Mỗi số liệu hiển thị có nguồn gốc, đơn vị, cấu hình, phiên bản xử lý và chỉ báo chất lượng có thể truy vết.</w:t>
      </w:r>
    </w:p>
    <w:p>
      <w:pPr>
        <w:pStyle w:val="ListBullet"/>
        <w:widowControl/>
        <w:spacing w:after="44"/>
        <w:ind w:left="317" w:hanging="173"/>
      </w:pPr>
      <w:r>
        <w:t>Có lộ trình theo mức ưu tiên, tiêu chí nghiệm thu, bộ test, tài liệu phát triển và rào chắn chống tuyên bố chẩn đoán chưa được kiểm chứng.</w:t>
      </w:r>
    </w:p>
    <w:tbl>
      <w:tblPr>
        <w:tblW w:type="auto" w:w="0"/>
        <w:jc w:val="center"/>
        <w:tblLayout w:type="fixed"/>
        <w:tblLook w:firstColumn="1" w:firstRow="1" w:lastColumn="0" w:lastRow="0" w:noHBand="0" w:noVBand="1" w:val="04A0"/>
        <w:tblBorders>
          <w:top w:val="single" w:sz="0" w:space="0" w:color="FFF4DE"/>
          <w:left w:val="single" w:sz="0" w:space="0" w:color="FFF4DE"/>
          <w:bottom w:val="single" w:sz="0" w:space="0" w:color="FFF4DE"/>
          <w:right w:val="single" w:sz="0" w:space="0" w:color="FFF4DE"/>
          <w:insideH w:val="single" w:sz="0" w:space="0" w:color="FFF4DE"/>
          <w:insideV w:val="single" w:sz="0" w:space="0" w:color="FFF4DE"/>
        </w:tblBorders>
      </w:tblPr>
      <w:tblGrid>
        <w:gridCol w:w="9994"/>
      </w:tblGrid>
      <w:tr>
        <w:tc>
          <w:tcPr>
            <w:tcW w:type="dxa" w:w="9994"/>
            <w:shd w:fill="FFF4DE"/>
            <w:tcMar>
              <w:top w:w="130" w:type="dxa"/>
              <w:start w:w="170" w:type="dxa"/>
              <w:bottom w:w="130" w:type="dxa"/>
              <w:end w:w="170" w:type="dxa"/>
            </w:tcMar>
          </w:tcPr>
          <w:p>
            <w:pPr>
              <w:widowControl/>
              <w:spacing w:after="60"/>
            </w:pPr>
            <w:r/>
            <w:r>
              <w:rPr>
                <w:rFonts w:ascii="Aptos" w:hAnsi="Aptos"/>
                <w:b/>
                <w:color w:val="9D6500"/>
                <w:sz w:val="18"/>
              </w:rPr>
              <w:t>QUY TẮC RA QUYẾT ĐỊNH</w:t>
            </w:r>
          </w:p>
          <w:p>
            <w:pPr>
              <w:widowControl/>
              <w:spacing w:after="0" w:line="252" w:lineRule="auto"/>
            </w:pPr>
            <w:r>
              <w:rPr>
                <w:rFonts w:ascii="Aptos" w:hAnsi="Aptos"/>
                <w:color w:val="233446"/>
                <w:sz w:val="17"/>
              </w:rPr>
              <w:t>Không thay stack hoặc viết lại dashboard chỉ vì một stack khác trông hiện đại hơn. Chỉ thay đổi khi repository audit chứng minh điểm nghẽn cụ thể về trải nghiệm, khả năng bảo trì, độ tin cậy, bảo mật hoặc yêu cầu triển khai.</w:t>
            </w:r>
          </w:p>
        </w:tc>
      </w:tr>
    </w:tbl>
    <w:p>
      <w:pPr>
        <w:widowControl/>
        <w:spacing w:after="20"/>
      </w:pPr>
    </w:p>
    <w:p>
      <w:pPr>
        <w:pStyle w:val="Heading1"/>
        <w:widowControl/>
      </w:pPr>
      <w:r>
        <w:t>01. Sứ mệnh, phạm vi và giới hạn sản phẩm</w:t>
      </w:r>
    </w:p>
    <w:p>
      <w:pPr>
        <w:pStyle w:val="Heading2"/>
        <w:widowControl/>
      </w:pPr>
      <w:r>
        <w:t>1.1. Định nghĩa sản phẩm</w:t>
      </w:r>
    </w:p>
    <w:p>
      <w:pPr>
        <w:widowControl/>
      </w:pPr>
      <w:r>
        <w:t>NeuroPulse là hệ thống thiết bị đeo và phần mềm nhằm thu nhận, định lượng và nghiên cứu tín hiệu rung/vi rung ở cổ tay. Dashboard chịu trách nhiệm quản lý phiên đo, quan sát tín hiệu, kiểm tra chất lượng thu nhận, chạy pipeline phân tích được phiên bản hóa, so sánh dữ liệu tham chiếu và tạo báo cáo có thể tái lập.</w:t>
      </w:r>
    </w:p>
    <w:p>
      <w:pPr>
        <w:widowControl/>
      </w:pPr>
      <w:r>
        <w:t>Trong giai đoạn hiện tại, dashboard nên được coi là nền tảng nghiên cứu kỹ thuật, hỗ trợ thử nghiệm giả thuyết về đặc trưng vận động liên quan đến Parkinson. Phần mềm không được tự trình bày NPI như kết luận chẩn đoán, dự báo cá nhân hay bằng chứng đã xác nhận khả năng phát hiện sớm.</w:t>
      </w:r>
    </w:p>
    <w:p>
      <w:pPr>
        <w:pStyle w:val="Heading2"/>
        <w:widowControl/>
      </w:pPr>
      <w:r>
        <w:t>1.2. North-star của phần mềm</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244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Trụ cột</w:t>
            </w:r>
          </w:p>
        </w:tc>
        <w:tc>
          <w:tcPr>
            <w:tcW w:type="dxa" w:w="792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Trạng thái đích</w:t>
            </w:r>
          </w:p>
        </w:tc>
      </w:tr>
      <w:tr>
        <w:trPr>
          <w:cantSplit/>
        </w:trPr>
        <w:tc>
          <w:tcPr>
            <w:tcW w:type="dxa" w:w="244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Reliable acquisition</w:t>
            </w:r>
          </w:p>
        </w:tc>
        <w:tc>
          <w:tcPr>
            <w:tcW w:type="dxa" w:w="792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Biết thiết bị nào đang đo, kênh nào, đơn vị gì, tần số lấy mẫu thực tế bao nhiêu, có mất mẫu/bão hòa hay không.</w:t>
            </w:r>
          </w:p>
        </w:tc>
      </w:tr>
      <w:tr>
        <w:trPr>
          <w:cantSplit/>
        </w:trPr>
        <w:tc>
          <w:tcPr>
            <w:tcW w:type="dxa" w:w="24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Reproducible analytics</w:t>
            </w:r>
          </w:p>
        </w:tc>
        <w:tc>
          <w:tcPr>
            <w:tcW w:type="dxa" w:w="79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Cùng dữ liệu + cùng phiên bản pipeline + cùng cấu hình phải tạo ra kết quả có thể tái lập và truy vết.</w:t>
            </w:r>
          </w:p>
        </w:tc>
      </w:tr>
      <w:tr>
        <w:trPr>
          <w:cantSplit/>
        </w:trPr>
        <w:tc>
          <w:tcPr>
            <w:tcW w:type="dxa" w:w="244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Sensor-agnostic architecture</w:t>
            </w:r>
          </w:p>
        </w:tc>
        <w:tc>
          <w:tcPr>
            <w:tcW w:type="dxa" w:w="792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Thêm cảm biến mới bằng adapter/profile mới; không rải điều kiện if/else theo model khắp giao diện và thuật toán.</w:t>
            </w:r>
          </w:p>
        </w:tc>
      </w:tr>
      <w:tr>
        <w:trPr>
          <w:cantSplit/>
        </w:trPr>
        <w:tc>
          <w:tcPr>
            <w:tcW w:type="dxa" w:w="24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Research integrity</w:t>
            </w:r>
          </w:p>
        </w:tc>
        <w:tc>
          <w:tcPr>
            <w:tcW w:type="dxa" w:w="79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Phân biệt dữ liệu thật, benchmark, dữ liệu tổng hợp và mô phỏng tại cả giao diện, metadata, lưu trữ, export và báo cáo.</w:t>
            </w:r>
          </w:p>
        </w:tc>
      </w:tr>
      <w:tr>
        <w:trPr>
          <w:cantSplit/>
        </w:trPr>
        <w:tc>
          <w:tcPr>
            <w:tcW w:type="dxa" w:w="244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Professional usability</w:t>
            </w:r>
          </w:p>
        </w:tc>
        <w:tc>
          <w:tcPr>
            <w:tcW w:type="dxa" w:w="792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Người dùng hiểu trạng thái thiết bị, chất lượng phiên đo, ý nghĩa và giới hạn của chỉ số mà không phải đọc log kỹ thuật.</w:t>
            </w:r>
          </w:p>
        </w:tc>
      </w:tr>
      <w:tr>
        <w:trPr>
          <w:cantSplit/>
        </w:trPr>
        <w:tc>
          <w:tcPr>
            <w:tcW w:type="dxa" w:w="24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Commercial pathway</w:t>
            </w:r>
          </w:p>
        </w:tc>
        <w:tc>
          <w:tcPr>
            <w:tcW w:type="dxa" w:w="79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Có thể tiến tới nhiều người dùng/thiết bị, lưu trữ, phân quyền, audit, bảo mật và quản lý phát hành khi nhu cầu được xác nhận.</w:t>
            </w:r>
          </w:p>
        </w:tc>
      </w:tr>
    </w:tbl>
    <w:p>
      <w:pPr>
        <w:widowControl/>
        <w:spacing w:after="20"/>
      </w:pPr>
    </w:p>
    <w:p>
      <w:pPr>
        <w:pStyle w:val="Heading2"/>
        <w:widowControl/>
      </w:pPr>
      <w:r>
        <w:t>1.3. Phạm vi theo giai đoạn</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518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Trong phạm vi ưu tiên ngay</w:t>
            </w:r>
          </w:p>
        </w:tc>
        <w:tc>
          <w:tcPr>
            <w:tcW w:type="dxa" w:w="518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Để sau khi đã chứng minh nhu cầu</w:t>
            </w:r>
          </w:p>
        </w:tc>
      </w:tr>
      <w:tr>
        <w:trPr>
          <w:cantSplit/>
        </w:trPr>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Đọc dữ liệu từ hai phương án cảm biến; session lifecycle; signal QC; live plots; pipeline phân tích; benchmark; simulator; export; test.</w:t>
            </w:r>
          </w:p>
        </w:tc>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Cloud đa tổ chức, triển khai SaaS diện rộng, tích hợp HIS/EHR/HL7 FHIR, mobile apps, remote monitoring, billing, mô hình ML triển khai lâm sàng.</w:t>
            </w:r>
          </w:p>
        </w:tc>
      </w:tr>
      <w:tr>
        <w:trPr>
          <w:cantSplit/>
        </w:trPr>
        <w:tc>
          <w:tcPr>
            <w:tcW w:type="dxa" w:w="51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Kiến trúc sạch, cấu hình rõ, log, xử lý lỗi, quản lý dependency, CI/test tự động.</w:t>
            </w:r>
          </w:p>
        </w:tc>
        <w:tc>
          <w:tcPr>
            <w:tcW w:type="dxa" w:w="51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Microservices, Kubernetes, message broker phân tán và các lớp hạ tầng phức tạp nếu chưa có nhu cầu đo được.</w:t>
            </w:r>
          </w:p>
        </w:tc>
      </w:tr>
      <w:tr>
        <w:trPr>
          <w:cantSplit/>
        </w:trPr>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Cơ chế nghiên cứu an toàn: nhãn “chưa xác nhận”, metadata, phiên bản thuật toán, quyền truy cập tối thiểu.</w:t>
            </w:r>
          </w:p>
        </w:tc>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Tính năng quyết định lâm sàng hoặc tự động khuyến nghị y khoa trước khi hoàn tất đánh giá bằng chứng, rủi ro và pháp lý.</w:t>
            </w:r>
          </w:p>
        </w:tc>
      </w:tr>
    </w:tbl>
    <w:p>
      <w:pPr>
        <w:widowControl/>
        <w:spacing w:after="20"/>
      </w:pPr>
    </w:p>
    <w:tbl>
      <w:tblPr>
        <w:tblW w:type="auto" w:w="0"/>
        <w:jc w:val="center"/>
        <w:tblLayout w:type="fixed"/>
        <w:tblLook w:firstColumn="1" w:firstRow="1" w:lastColumn="0" w:lastRow="0" w:noHBand="0" w:noVBand="1" w:val="04A0"/>
        <w:tblBorders>
          <w:top w:val="single" w:sz="0" w:space="0" w:color="E6F4F2"/>
          <w:left w:val="single" w:sz="0" w:space="0" w:color="E6F4F2"/>
          <w:bottom w:val="single" w:sz="0" w:space="0" w:color="E6F4F2"/>
          <w:right w:val="single" w:sz="0" w:space="0" w:color="E6F4F2"/>
          <w:insideH w:val="single" w:sz="0" w:space="0" w:color="E6F4F2"/>
          <w:insideV w:val="single" w:sz="0" w:space="0" w:color="E6F4F2"/>
        </w:tblBorders>
      </w:tblPr>
      <w:tblGrid>
        <w:gridCol w:w="9994"/>
      </w:tblGrid>
      <w:tr>
        <w:tc>
          <w:tcPr>
            <w:tcW w:type="dxa" w:w="9994"/>
            <w:shd w:fill="E6F4F2"/>
            <w:tcMar>
              <w:top w:w="130" w:type="dxa"/>
              <w:start w:w="170" w:type="dxa"/>
              <w:bottom w:w="130" w:type="dxa"/>
              <w:end w:w="170" w:type="dxa"/>
            </w:tcMar>
          </w:tcPr>
          <w:p>
            <w:pPr>
              <w:widowControl/>
              <w:spacing w:after="60"/>
            </w:pPr>
            <w:r/>
            <w:r>
              <w:rPr>
                <w:rFonts w:ascii="Aptos" w:hAnsi="Aptos"/>
                <w:b/>
                <w:color w:val="0F6868"/>
                <w:sz w:val="18"/>
              </w:rPr>
              <w:t>NGUYÊN TẮC SẢN PHẨM</w:t>
            </w:r>
          </w:p>
          <w:p>
            <w:pPr>
              <w:widowControl/>
              <w:spacing w:after="0" w:line="252" w:lineRule="auto"/>
            </w:pPr>
            <w:r>
              <w:rPr>
                <w:rFonts w:ascii="Aptos" w:hAnsi="Aptos"/>
                <w:color w:val="233446"/>
                <w:sz w:val="17"/>
              </w:rPr>
              <w:t>Đột phá không đồng nghĩa với thêm càng nhiều tính năng càng tốt. Lợi thế cạnh tranh của NeuroPulse phải đến từ dữ liệu đáng tin cậy, đo lặp lại được, phân tích minh bạch, workflow tốt và bằng chứng; không phải từ dashboard nhiều hiệu ứng hoặc AI không có vai trò được xác định.</w:t>
            </w:r>
          </w:p>
        </w:tc>
      </w:tr>
    </w:tbl>
    <w:p>
      <w:pPr>
        <w:widowControl/>
        <w:spacing w:after="20"/>
      </w:pPr>
    </w:p>
    <w:p>
      <w:pPr>
        <w:pStyle w:val="Heading1"/>
        <w:widowControl/>
      </w:pPr>
      <w:r>
        <w:t>02. Bối cảnh NeuroPulse được mô tả trong hồ sơ dự án</w:t>
      </w:r>
    </w:p>
    <w:p>
      <w:pPr>
        <w:widowControl/>
      </w:pPr>
      <w:r>
        <w:t>Phần này ghi lại các tiền đề trong tài liệu mô tả dự án mà dashboard cần phản ánh. Đây không phải xác nhận rằng các chức năng tương ứng đều có trong repository hiện tại. Antigravity phải kiểm chứng bằng code, test và khả năng chạy thực tế.</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180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Hạng mục</w:t>
            </w:r>
          </w:p>
        </w:tc>
        <w:tc>
          <w:tcPr>
            <w:tcW w:type="dxa" w:w="410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Bối cảnh trong mô tả dự án</w:t>
            </w:r>
          </w:p>
        </w:tc>
        <w:tc>
          <w:tcPr>
            <w:tcW w:type="dxa" w:w="446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Hệ quả thiết kế phần mềm</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Mục tiêu</w:t>
            </w:r>
          </w:p>
        </w:tc>
        <w:tc>
          <w:tcPr>
            <w:tcW w:type="dxa" w:w="410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Nghiên cứu vi rung vùng cổ tay và giả thuyết về dấu hiệu liên quan rối loạn vận động/Parkinson.</w:t>
            </w:r>
          </w:p>
        </w:tc>
        <w:tc>
          <w:tcPr>
            <w:tcW w:type="dxa" w:w="446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Dùng ngôn ngữ research-first; không tuyên bố chẩn đoán, phát hiện sớm đã được chứng minh hoặc thay bác sĩ.</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Cấu hình A</w:t>
            </w:r>
          </w:p>
        </w:tc>
        <w:tc>
          <w:tcPr>
            <w:tcW w:type="dxa" w:w="410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Piezo film LDT0-028K → mạch khuếch đại analog LM358 → ESP32 ADC/Serial.</w:t>
            </w:r>
          </w:p>
        </w:tc>
        <w:tc>
          <w:tcPr>
            <w:tcW w:type="dxa" w:w="446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Đầu vào có thể là ADC/count hoặc điện áp đã hiệu chuẩn; phải lưu gain, ADC scale, clipping và metadata analog front-end.</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Cấu hình B</w:t>
            </w:r>
          </w:p>
        </w:tc>
        <w:tc>
          <w:tcPr>
            <w:tcW w:type="dxa" w:w="410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Module gia tốc số ADXL345 + ESP32 DevKit.</w:t>
            </w:r>
          </w:p>
        </w:tc>
        <w:tc>
          <w:tcPr>
            <w:tcW w:type="dxa" w:w="446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Đầu vào có thể là gia tốc trục X/Y/Z với đơn vị và output data rate đã cấu hình; đây không phải cùng đại lượng vật lý với tín hiệu piezo.</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Pipeline nêu trong hồ sơ</w:t>
            </w:r>
          </w:p>
        </w:tc>
        <w:tc>
          <w:tcPr>
            <w:tcW w:type="dxa" w:w="410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Python/SciPy, lọc, phân tích phổ FFT/Welch, đặc trưng TBR/NPI.</w:t>
            </w:r>
          </w:p>
        </w:tc>
        <w:tc>
          <w:tcPr>
            <w:tcW w:type="dxa" w:w="446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Tách pipeline khỏi UI; version hóa tham số lọc, cửa sổ, đơn vị, dải phổ và công thức chỉ số.</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Dashboard được mô tả</w:t>
            </w:r>
          </w:p>
        </w:tc>
        <w:tc>
          <w:tcPr>
            <w:tcW w:type="dxa" w:w="410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Streamlit và ba chế độ Live Sensing, Benchmark, Mô phỏng kiểm thử.</w:t>
            </w:r>
          </w:p>
        </w:tc>
        <w:tc>
          <w:tcPr>
            <w:tcW w:type="dxa" w:w="446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Dùng làm tiêu chí kiểm kê; giữ nguyên chức năng đang chạy tốt, nhưng kiểm tra tách biệt dữ liệu và tính đầy đủ của workflow.</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Giả thuyết tần số</w:t>
            </w:r>
          </w:p>
        </w:tc>
        <w:tc>
          <w:tcPr>
            <w:tcW w:type="dxa" w:w="410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TBR = năng lượng/công suất 3–6 Hz chia cho 1–20 Hz; NPI 0–100 theo công thức nghiên cứu của nhóm.</w:t>
            </w:r>
          </w:p>
        </w:tc>
        <w:tc>
          <w:tcPr>
            <w:tcW w:type="dxa" w:w="446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Định nghĩa rõ PSD, đơn vị, biên dải, xử lý mẫu lỗi và phiên bản; xác định NPI là experimental metric cho đến khi được xác nhận.</w:t>
            </w:r>
          </w:p>
        </w:tc>
      </w:tr>
    </w:tbl>
    <w:p>
      <w:pPr>
        <w:widowControl/>
        <w:spacing w:after="20"/>
      </w:pPr>
    </w:p>
    <w:p>
      <w:pPr>
        <w:pStyle w:val="Heading2"/>
        <w:widowControl/>
      </w:pPr>
      <w:r>
        <w:t>2.1. Các bất nhất phải đưa vào backlog xác minh</w:t>
      </w:r>
    </w:p>
    <w:p>
      <w:pPr>
        <w:pStyle w:val="ListBullet"/>
        <w:widowControl/>
        <w:spacing w:after="44"/>
        <w:ind w:left="317" w:hanging="173"/>
      </w:pPr>
      <w:r>
        <w:t>Dải lọc xuất hiện không nhất quán trong hồ sơ: có chỗ nêu band-pass 5–20 Hz, nơi khác nêu 1–20 Hz, trong khi TBR sử dụng 3–6 Hz. Nếu lọc high-pass ở 5 Hz, một phần dải 3–5 Hz sẽ bị suy giảm; cần chủ dự án/cố vấn khoa học chốt định nghĩa trước khi coi kết quả NPI là nhất quán.</w:t>
      </w:r>
    </w:p>
    <w:p>
      <w:pPr>
        <w:pStyle w:val="ListBullet"/>
        <w:widowControl/>
        <w:spacing w:after="44"/>
        <w:ind w:left="317" w:hanging="173"/>
      </w:pPr>
      <w:r>
        <w:t>Mức lấy mẫu 1000 Hz được mô tả cho chuỗi piezo/ADC; không được mặc nhiên áp sang ADXL345. Phải ghi ODR cấu hình và tốc độ thực đo, kiểm tra timestamp, mất mẫu và giới hạn phần cứng.</w:t>
      </w:r>
    </w:p>
    <w:p>
      <w:pPr>
        <w:pStyle w:val="ListBullet"/>
        <w:widowControl/>
        <w:spacing w:after="44"/>
        <w:ind w:left="317" w:hanging="173"/>
      </w:pPr>
      <w:r>
        <w:t>Mô tả nêu ngưỡng NPI tham khảo (70 và 40) nhưng đồng thời ghi ngưỡng chưa hiệu chuẩn. Dashboard phải gắn nhãn “ngưỡng thử nghiệm/chưa xác nhận”, không biến thành phân loại bệnh nhân.</w:t>
      </w:r>
    </w:p>
    <w:p>
      <w:pPr>
        <w:pStyle w:val="ListBullet"/>
        <w:widowControl/>
        <w:spacing w:after="44"/>
        <w:ind w:left="317" w:hanging="173"/>
      </w:pPr>
      <w:r>
        <w:t>Các chi tiết như NPI mapping, cửa sổ Welch, bộ lọc và tiêu chuẩn chất lượng phải được lấy từ triển khai thực tế hoặc quyết định kỹ thuật đã phê duyệt; không được tự điền công thức chưa có trong tài liệu.</w:t>
      </w:r>
    </w:p>
    <w:tbl>
      <w:tblPr>
        <w:tblW w:type="auto" w:w="0"/>
        <w:jc w:val="center"/>
        <w:tblLayout w:type="fixed"/>
        <w:tblLook w:firstColumn="1" w:firstRow="1" w:lastColumn="0" w:lastRow="0" w:noHBand="0" w:noVBand="1" w:val="04A0"/>
        <w:tblBorders>
          <w:top w:val="single" w:sz="0" w:space="0" w:color="FFF4DE"/>
          <w:left w:val="single" w:sz="0" w:space="0" w:color="FFF4DE"/>
          <w:bottom w:val="single" w:sz="0" w:space="0" w:color="FFF4DE"/>
          <w:right w:val="single" w:sz="0" w:space="0" w:color="FFF4DE"/>
          <w:insideH w:val="single" w:sz="0" w:space="0" w:color="FFF4DE"/>
          <w:insideV w:val="single" w:sz="0" w:space="0" w:color="FFF4DE"/>
        </w:tblBorders>
      </w:tblPr>
      <w:tblGrid>
        <w:gridCol w:w="9994"/>
      </w:tblGrid>
      <w:tr>
        <w:tc>
          <w:tcPr>
            <w:tcW w:type="dxa" w:w="9994"/>
            <w:shd w:fill="FFF4DE"/>
            <w:tcMar>
              <w:top w:w="130" w:type="dxa"/>
              <w:start w:w="170" w:type="dxa"/>
              <w:bottom w:w="130" w:type="dxa"/>
              <w:end w:w="170" w:type="dxa"/>
            </w:tcMar>
          </w:tcPr>
          <w:p>
            <w:pPr>
              <w:widowControl/>
              <w:spacing w:after="60"/>
            </w:pPr>
            <w:r/>
            <w:r>
              <w:rPr>
                <w:rFonts w:ascii="Aptos" w:hAnsi="Aptos"/>
                <w:b/>
                <w:color w:val="9D6500"/>
                <w:sz w:val="18"/>
              </w:rPr>
              <w:t>ĐIỂM KIỂM SOÁT</w:t>
            </w:r>
          </w:p>
          <w:p>
            <w:pPr>
              <w:widowControl/>
              <w:spacing w:after="0" w:line="252" w:lineRule="auto"/>
            </w:pPr>
            <w:r>
              <w:rPr>
                <w:rFonts w:ascii="Aptos" w:hAnsi="Aptos"/>
                <w:color w:val="233446"/>
                <w:sz w:val="17"/>
              </w:rPr>
              <w:t>Nếu code hiện tại và mô tả dự án khác nhau, không âm thầm coi bên nào là đúng. Ghi sai lệch vào báo cáo kiểm kê, chỉ rõ bằng chứng, đề xuất quyết định và chờ xác nhận khi có thay đổi ảnh hưởng đến khoa học, diễn giải chỉ số, lưu trữ dữ liệu hoặc tương thích ngược.</w:t>
            </w:r>
          </w:p>
        </w:tc>
      </w:tr>
    </w:tbl>
    <w:p>
      <w:pPr>
        <w:widowControl/>
        <w:spacing w:after="20"/>
      </w:pPr>
    </w:p>
    <w:p>
      <w:pPr>
        <w:pStyle w:val="Heading1"/>
        <w:widowControl/>
      </w:pPr>
      <w:r>
        <w:t>03. Kiến trúc thông tin và các luồng sử dụng</w:t>
      </w:r>
    </w:p>
    <w:p>
      <w:pPr>
        <w:pStyle w:val="Heading2"/>
        <w:widowControl/>
      </w:pPr>
      <w:r>
        <w:t>3.1. Sơ đồ điều hướng mục tiêu</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2232"/>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Khu vực</w:t>
            </w:r>
          </w:p>
        </w:tc>
        <w:tc>
          <w:tcPr>
            <w:tcW w:type="dxa" w:w="597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Mục đích</w:t>
            </w:r>
          </w:p>
        </w:tc>
        <w:tc>
          <w:tcPr>
            <w:tcW w:type="dxa" w:w="216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Đối tượng chính</w:t>
            </w:r>
          </w:p>
        </w:tc>
      </w:tr>
      <w:tr>
        <w:trPr>
          <w:cantSplit/>
        </w:trPr>
        <w:tc>
          <w:tcPr>
            <w:tcW w:type="dxa" w:w="223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Overview / Home</w:t>
            </w:r>
          </w:p>
        </w:tc>
        <w:tc>
          <w:tcPr>
            <w:tcW w:type="dxa" w:w="597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Tình trạng thiết bị, phiên gần đây, cảnh báo hệ thống và lối tắt bắt đầu phiên đo.</w:t>
            </w:r>
          </w:p>
        </w:tc>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Researcher, operator</w:t>
            </w:r>
          </w:p>
        </w:tc>
      </w:tr>
      <w:tr>
        <w:trPr>
          <w:cantSplit/>
        </w:trPr>
        <w:tc>
          <w:tcPr>
            <w:tcW w:type="dxa" w:w="223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Live Sensing</w:t>
            </w:r>
          </w:p>
        </w:tc>
        <w:tc>
          <w:tcPr>
            <w:tcW w:type="dxa" w:w="59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Kết nối thiết bị, xác nhận cấu hình, thu dữ liệu, theo dõi live signal và QC.</w:t>
            </w:r>
          </w:p>
        </w:tc>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Operator, engineer</w:t>
            </w:r>
          </w:p>
        </w:tc>
      </w:tr>
      <w:tr>
        <w:trPr>
          <w:cantSplit/>
        </w:trPr>
        <w:tc>
          <w:tcPr>
            <w:tcW w:type="dxa" w:w="223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Signal Lab</w:t>
            </w:r>
          </w:p>
        </w:tc>
        <w:tc>
          <w:tcPr>
            <w:tcW w:type="dxa" w:w="597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Xem tín hiệu thô/đã xử lý, PSD/spectrogram, tham số pipeline, debug và tái chạy phân tích.</w:t>
            </w:r>
          </w:p>
        </w:tc>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Signal engineer, researcher</w:t>
            </w:r>
          </w:p>
        </w:tc>
      </w:tr>
      <w:tr>
        <w:trPr>
          <w:cantSplit/>
        </w:trPr>
        <w:tc>
          <w:tcPr>
            <w:tcW w:type="dxa" w:w="223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Benchmark &amp; Research</w:t>
            </w:r>
          </w:p>
        </w:tc>
        <w:tc>
          <w:tcPr>
            <w:tcW w:type="dxa" w:w="59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Nhập bộ dữ liệu, xác nhận schema, so sánh cohort, đánh giá giả thuyết và metric nghiên cứu.</w:t>
            </w:r>
          </w:p>
        </w:tc>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Researcher, statistician</w:t>
            </w:r>
          </w:p>
        </w:tc>
      </w:tr>
      <w:tr>
        <w:trPr>
          <w:cantSplit/>
        </w:trPr>
        <w:tc>
          <w:tcPr>
            <w:tcW w:type="dxa" w:w="223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Simulation &amp; Test</w:t>
            </w:r>
          </w:p>
        </w:tc>
        <w:tc>
          <w:tcPr>
            <w:tcW w:type="dxa" w:w="597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Phát dữ liệu mô phỏng/tổng hợp hoặc fixture kiểm thử; test đường đi phần mềm khi chưa có cảm biến.</w:t>
            </w:r>
          </w:p>
        </w:tc>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Developer, QA</w:t>
            </w:r>
          </w:p>
        </w:tc>
      </w:tr>
      <w:tr>
        <w:trPr>
          <w:cantSplit/>
        </w:trPr>
        <w:tc>
          <w:tcPr>
            <w:tcW w:type="dxa" w:w="223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Sessions / History</w:t>
            </w:r>
          </w:p>
        </w:tc>
        <w:tc>
          <w:tcPr>
            <w:tcW w:type="dxa" w:w="59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Tìm, xem, lọc và so sánh phiên đo; xem metadata, lỗi, annotations và phiên bản xử lý.</w:t>
            </w:r>
          </w:p>
        </w:tc>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Researcher, operator</w:t>
            </w:r>
          </w:p>
        </w:tc>
      </w:tr>
      <w:tr>
        <w:trPr>
          <w:cantSplit/>
        </w:trPr>
        <w:tc>
          <w:tcPr>
            <w:tcW w:type="dxa" w:w="223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Devices &amp; Profiles</w:t>
            </w:r>
          </w:p>
        </w:tc>
        <w:tc>
          <w:tcPr>
            <w:tcW w:type="dxa" w:w="597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Danh mục thiết bị, sensor profile, firmware, phiên bản, kết nối và trạng thái hiệu chuẩn.</w:t>
            </w:r>
          </w:p>
        </w:tc>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Engineer, admin</w:t>
            </w:r>
          </w:p>
        </w:tc>
      </w:tr>
      <w:tr>
        <w:trPr>
          <w:cantSplit/>
        </w:trPr>
        <w:tc>
          <w:tcPr>
            <w:tcW w:type="dxa" w:w="223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Reports &amp; Export</w:t>
            </w:r>
          </w:p>
        </w:tc>
        <w:tc>
          <w:tcPr>
            <w:tcW w:type="dxa" w:w="59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Tạo báo cáo và xuất dữ liệu có metadata, điều kiện đo, QC, phiên bản thuật toán và caveats.</w:t>
            </w:r>
          </w:p>
        </w:tc>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Researcher, supervisor</w:t>
            </w:r>
          </w:p>
        </w:tc>
      </w:tr>
      <w:tr>
        <w:trPr>
          <w:cantSplit/>
        </w:trPr>
        <w:tc>
          <w:tcPr>
            <w:tcW w:type="dxa" w:w="223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Administration</w:t>
            </w:r>
          </w:p>
        </w:tc>
        <w:tc>
          <w:tcPr>
            <w:tcW w:type="dxa" w:w="597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Người dùng, quyền, audit log, retention, backup/restore và cấu hình hệ thống.</w:t>
            </w:r>
          </w:p>
        </w:tc>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Admin; bật khi cần multi-user</w:t>
            </w:r>
          </w:p>
        </w:tc>
      </w:tr>
    </w:tbl>
    <w:p>
      <w:pPr>
        <w:widowControl/>
        <w:spacing w:after="20"/>
      </w:pPr>
    </w:p>
    <w:p>
      <w:pPr>
        <w:pStyle w:val="Heading2"/>
        <w:widowControl/>
      </w:pPr>
      <w:r>
        <w:t>3.2. Luồng Live Sensing chuẩn</w:t>
      </w:r>
    </w:p>
    <w:p>
      <w:pPr>
        <w:pStyle w:val="ListNumber"/>
        <w:widowControl/>
        <w:spacing w:after="48"/>
      </w:pPr>
      <w:r>
        <w:t>Chọn sensor profile và thiết bị; xác nhận model, firmware, giao thức và đơn vị đầu ra.</w:t>
      </w:r>
    </w:p>
    <w:p>
      <w:pPr>
        <w:pStyle w:val="ListNumber"/>
        <w:widowControl/>
        <w:spacing w:after="48"/>
      </w:pPr>
      <w:r>
        <w:t>Kiểm tra kết nối và preview ngắn; hiển thị sample rate thực đo, clipping, missing samples và các lỗi cấu hình.</w:t>
      </w:r>
    </w:p>
    <w:p>
      <w:pPr>
        <w:pStyle w:val="ListNumber"/>
        <w:widowControl/>
        <w:spacing w:after="48"/>
      </w:pPr>
      <w:r>
        <w:t>Tạo phiên đo với session ID, subject pseudonym/ID nghiên cứu, protocol, operator, sensor profile và consent/status phù hợp.</w:t>
      </w:r>
    </w:p>
    <w:p>
      <w:pPr>
        <w:pStyle w:val="ListNumber"/>
        <w:widowControl/>
        <w:spacing w:after="48"/>
      </w:pPr>
      <w:r>
        <w:t>Bắt đầu thu; hiển thị đường tín hiệu, thời gian, trạng thái kết nối, tiến độ và chất lượng dữ liệu liên tục.</w:t>
      </w:r>
    </w:p>
    <w:p>
      <w:pPr>
        <w:pStyle w:val="ListNumber"/>
        <w:widowControl/>
        <w:spacing w:after="48"/>
      </w:pPr>
      <w:r>
        <w:t>Nếu dữ liệu lỗi vượt điều kiện hợp lệ: cảnh báo rõ, tạm dừng/đánh dấu phiên, không hiển thị NPI như kết quả có thể diễn giải.</w:t>
      </w:r>
    </w:p>
    <w:p>
      <w:pPr>
        <w:pStyle w:val="ListNumber"/>
        <w:widowControl/>
        <w:spacing w:after="48"/>
      </w:pPr>
      <w:r>
        <w:t>Kết thúc phiên; đóng gói raw data, metadata và log; chạy pipeline đã phiên bản hóa; hiển thị phân tích cùng trạng thái QC.</w:t>
      </w:r>
    </w:p>
    <w:p>
      <w:pPr>
        <w:pStyle w:val="ListNumber"/>
        <w:widowControl/>
        <w:spacing w:after="48"/>
      </w:pPr>
      <w:r>
        <w:t>Lưu phiên, cho phép xem lại và xuất bản ghi đầy đủ; mọi thao tác sửa metadata/ghi chú quan trọng đều có lịch sử.</w:t>
      </w:r>
    </w:p>
    <w:p>
      <w:pPr>
        <w:pStyle w:val="Heading2"/>
        <w:widowControl/>
      </w:pPr>
      <w:r>
        <w:t>3.3. Luồng Benchmark/Research</w:t>
      </w:r>
    </w:p>
    <w:p>
      <w:pPr>
        <w:pStyle w:val="ListBullet"/>
        <w:widowControl/>
        <w:spacing w:after="44"/>
        <w:ind w:left="317" w:hanging="173"/>
      </w:pPr>
      <w:r>
        <w:t>Nhập dữ liệu từ format được khai báo (CSV/Parquet/NPZ hoặc format đã có trong repository), kèm data dictionary và nguồn gốc.</w:t>
      </w:r>
    </w:p>
    <w:p>
      <w:pPr>
        <w:pStyle w:val="ListBullet"/>
        <w:widowControl/>
        <w:spacing w:after="44"/>
        <w:ind w:left="317" w:hanging="173"/>
      </w:pPr>
      <w:r>
        <w:t>Validate schema, units, sampling frequency, missing values, participant/session IDs, labels và khả năng ghép với metadata.</w:t>
      </w:r>
    </w:p>
    <w:p>
      <w:pPr>
        <w:pStyle w:val="ListBullet"/>
        <w:widowControl/>
        <w:spacing w:after="44"/>
        <w:ind w:left="317" w:hanging="173"/>
      </w:pPr>
      <w:r>
        <w:t>Tách người tham gia giữa train/validation/test nếu có mô hình học máy; tránh rò rỉ dữ liệu cùng người tham gia qua các tập.</w:t>
      </w:r>
    </w:p>
    <w:p>
      <w:pPr>
        <w:pStyle w:val="ListBullet"/>
        <w:widowControl/>
        <w:spacing w:after="44"/>
        <w:ind w:left="317" w:hanging="173"/>
      </w:pPr>
      <w:r>
        <w:t>Chạy phân tích với pipeline ID/version và cấu hình lưu lại; không ghi đè dữ liệu gốc.</w:t>
      </w:r>
    </w:p>
    <w:p>
      <w:pPr>
        <w:pStyle w:val="ListBullet"/>
        <w:widowControl/>
        <w:spacing w:after="44"/>
        <w:ind w:left="317" w:hanging="173"/>
      </w:pPr>
      <w:r>
        <w:t>Trình bày thống kê mô tả, phân phối, hiệu ứng, khoảng tin cậy và metric phù hợp; phân biệt kết quả khám phá với bằng chứng xác nhận.</w:t>
      </w:r>
    </w:p>
    <w:p>
      <w:pPr>
        <w:pStyle w:val="ListBullet"/>
        <w:widowControl/>
        <w:spacing w:after="44"/>
        <w:ind w:left="317" w:hanging="173"/>
      </w:pPr>
      <w:r>
        <w:t>Xuất báo cáo có đầy đủ nguồn dữ liệu, tiêu chí đưa vào/loại ra, cấu hình, version, hạn chế và danh sách phép kiểm tra.</w:t>
      </w:r>
    </w:p>
    <w:p>
      <w:pPr>
        <w:pStyle w:val="Heading2"/>
        <w:widowControl/>
      </w:pPr>
      <w:r>
        <w:t>3.4. Luồng Simulation/Test</w:t>
      </w:r>
    </w:p>
    <w:p>
      <w:pPr>
        <w:widowControl/>
      </w:pPr>
      <w:r>
        <w:t>Dữ liệu mô phỏng phải có nhãn trực quan “MÔ PHỎNG” xuyên suốt: màn hình, tiêu đề biểu đồ, card metric, lịch sử, file export và báo cáo. Dữ liệu mô phỏng nên ở namespace/storage riêng hoặc mang immutable provenance flag; không thể đổi thành dữ liệu thật chỉ bằng sửa nhãn ở giao diện.</w:t>
      </w:r>
    </w:p>
    <w:p>
      <w:pPr>
        <w:pStyle w:val="Heading1"/>
        <w:widowControl/>
      </w:pPr>
      <w:r>
        <w:t>04. Danh mục tính năng theo mức ưu tiên</w:t>
      </w:r>
    </w:p>
    <w:p>
      <w:pPr>
        <w:widowControl/>
      </w:pPr>
      <w:r>
        <w:t>Priority là định hướng sản phẩm, không phải kết luận rằng tính năng đang thiếu. Antigravity phải gắn trạng thái theo kiểm kê: Existing &amp; verified / Existing but fragile / Partial / Missing / Blocked by hardware or evidence / Out of scope.</w:t>
      </w:r>
    </w:p>
    <w:p>
      <w:pPr>
        <w:pStyle w:val="Heading2"/>
        <w:widowControl/>
      </w:pPr>
      <w:r>
        <w:t>4.1. P0 — Bắt buộc cho MVP nghiên cứu đáng tin cậy</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93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Mã</w:t>
            </w:r>
          </w:p>
        </w:tc>
        <w:tc>
          <w:tcPr>
            <w:tcW w:type="dxa" w:w="237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Tính năng / yêu cầu</w:t>
            </w:r>
          </w:p>
        </w:tc>
        <w:tc>
          <w:tcPr>
            <w:tcW w:type="dxa" w:w="705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Tiêu chí nghiệm thu tối thiểu</w:t>
            </w:r>
          </w:p>
        </w:tc>
      </w:tr>
      <w:tr>
        <w:trPr>
          <w:cantSplit/>
        </w:trPr>
        <w:tc>
          <w:tcPr>
            <w:tcW w:type="dxa" w:w="9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P0-01</w:t>
            </w:r>
          </w:p>
        </w:tc>
        <w:tc>
          <w:tcPr>
            <w:tcW w:type="dxa" w:w="23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Repository audit + baseline</w:t>
            </w:r>
          </w:p>
        </w:tc>
        <w:tc>
          <w:tcPr>
            <w:tcW w:type="dxa" w:w="705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Có architecture map, entry points, module map, dependency list, test inventory, current risks và kế hoạch thay đổi trước khi refactor.</w:t>
            </w:r>
          </w:p>
        </w:tc>
      </w:tr>
      <w:tr>
        <w:trPr>
          <w:cantSplit/>
        </w:trPr>
        <w:tc>
          <w:tcPr>
            <w:tcW w:type="dxa" w:w="9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P0-02</w:t>
            </w:r>
          </w:p>
        </w:tc>
        <w:tc>
          <w:tcPr>
            <w:tcW w:type="dxa" w:w="23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Dual sensor adapters</w:t>
            </w:r>
          </w:p>
        </w:tc>
        <w:tc>
          <w:tcPr>
            <w:tcW w:type="dxa" w:w="705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Hai adapter tách biệt; profile khai báo đại lượng/đơn vị/cấu hình; UI/pipeline không giả định mọi sensor cung cấp cùng loại tín hiệu.</w:t>
            </w:r>
          </w:p>
        </w:tc>
      </w:tr>
      <w:tr>
        <w:trPr>
          <w:cantSplit/>
        </w:trPr>
        <w:tc>
          <w:tcPr>
            <w:tcW w:type="dxa" w:w="9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P0-03</w:t>
            </w:r>
          </w:p>
        </w:tc>
        <w:tc>
          <w:tcPr>
            <w:tcW w:type="dxa" w:w="23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Device connection lifecycle</w:t>
            </w:r>
          </w:p>
        </w:tc>
        <w:tc>
          <w:tcPr>
            <w:tcW w:type="dxa" w:w="705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Connect/disconnect/reconnect/error states; không báo Connected chỉ vì port xuất hiện; có timeout, lỗi parse và thông tin firmware/model nếu khả dụng.</w:t>
            </w:r>
          </w:p>
        </w:tc>
      </w:tr>
      <w:tr>
        <w:trPr>
          <w:cantSplit/>
        </w:trPr>
        <w:tc>
          <w:tcPr>
            <w:tcW w:type="dxa" w:w="9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P0-04</w:t>
            </w:r>
          </w:p>
        </w:tc>
        <w:tc>
          <w:tcPr>
            <w:tcW w:type="dxa" w:w="23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Session lifecycle</w:t>
            </w:r>
          </w:p>
        </w:tc>
        <w:tc>
          <w:tcPr>
            <w:tcW w:type="dxa" w:w="705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Tạo/start/pause/stop/fail; session ID duy nhất; timestamps; protocol; device/sensor profile; metadata; lý do hủy/không hợp lệ.</w:t>
            </w:r>
          </w:p>
        </w:tc>
      </w:tr>
      <w:tr>
        <w:trPr>
          <w:cantSplit/>
        </w:trPr>
        <w:tc>
          <w:tcPr>
            <w:tcW w:type="dxa" w:w="9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P0-05</w:t>
            </w:r>
          </w:p>
        </w:tc>
        <w:tc>
          <w:tcPr>
            <w:tcW w:type="dxa" w:w="23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Data Quality Gate</w:t>
            </w:r>
          </w:p>
        </w:tc>
        <w:tc>
          <w:tcPr>
            <w:tcW w:type="dxa" w:w="705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Phát hiện missing/dropped samples, sampling-rate mismatch, non-monotonic timestamps, clipping/saturation, flatline và dữ liệu quá ngắn.</w:t>
            </w:r>
          </w:p>
        </w:tc>
      </w:tr>
      <w:tr>
        <w:trPr>
          <w:cantSplit/>
        </w:trPr>
        <w:tc>
          <w:tcPr>
            <w:tcW w:type="dxa" w:w="9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P0-06</w:t>
            </w:r>
          </w:p>
        </w:tc>
        <w:tc>
          <w:tcPr>
            <w:tcW w:type="dxa" w:w="23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Signal visualization</w:t>
            </w:r>
          </w:p>
        </w:tc>
        <w:tc>
          <w:tcPr>
            <w:tcW w:type="dxa" w:w="705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Raw waveform, processed waveform, PSD; vùng 3–6 Hz làm nổi bật; đơn vị trục rõ; thời gian; trạng thái QC; không dùng dữ liệu downsample để tính chỉ số.</w:t>
            </w:r>
          </w:p>
        </w:tc>
      </w:tr>
      <w:tr>
        <w:trPr>
          <w:cantSplit/>
        </w:trPr>
        <w:tc>
          <w:tcPr>
            <w:tcW w:type="dxa" w:w="9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P0-07</w:t>
            </w:r>
          </w:p>
        </w:tc>
        <w:tc>
          <w:tcPr>
            <w:tcW w:type="dxa" w:w="23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Versioned signal pipeline</w:t>
            </w:r>
          </w:p>
        </w:tc>
        <w:tc>
          <w:tcPr>
            <w:tcW w:type="dxa" w:w="705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Thông số filter, sample rate, Welch/window, feature definitions và NPI/TBR version được lưu; có unit tests và fixture.</w:t>
            </w:r>
          </w:p>
        </w:tc>
      </w:tr>
      <w:tr>
        <w:trPr>
          <w:cantSplit/>
        </w:trPr>
        <w:tc>
          <w:tcPr>
            <w:tcW w:type="dxa" w:w="9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P0-08</w:t>
            </w:r>
          </w:p>
        </w:tc>
        <w:tc>
          <w:tcPr>
            <w:tcW w:type="dxa" w:w="23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Mode separation</w:t>
            </w:r>
          </w:p>
        </w:tc>
        <w:tc>
          <w:tcPr>
            <w:tcW w:type="dxa" w:w="705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Live, Benchmark và Simulation phân biệt rõ ở UI, model dữ liệu, lưu trữ, báo cáo và export; simulator không trộn với bản ghi thật.</w:t>
            </w:r>
          </w:p>
        </w:tc>
      </w:tr>
      <w:tr>
        <w:trPr>
          <w:cantSplit/>
        </w:trPr>
        <w:tc>
          <w:tcPr>
            <w:tcW w:type="dxa" w:w="9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P0-09</w:t>
            </w:r>
          </w:p>
        </w:tc>
        <w:tc>
          <w:tcPr>
            <w:tcW w:type="dxa" w:w="23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Session review + export</w:t>
            </w:r>
          </w:p>
        </w:tc>
        <w:tc>
          <w:tcPr>
            <w:tcW w:type="dxa" w:w="705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Xem lại session và metadata; xuất raw/processed/metrics phù hợp kèm provenance, units, version và cảnh báo giới hạn.</w:t>
            </w:r>
          </w:p>
        </w:tc>
      </w:tr>
      <w:tr>
        <w:trPr>
          <w:cantSplit/>
        </w:trPr>
        <w:tc>
          <w:tcPr>
            <w:tcW w:type="dxa" w:w="9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P0-10</w:t>
            </w:r>
          </w:p>
        </w:tc>
        <w:tc>
          <w:tcPr>
            <w:tcW w:type="dxa" w:w="23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Error handling + logs</w:t>
            </w:r>
          </w:p>
        </w:tc>
        <w:tc>
          <w:tcPr>
            <w:tcW w:type="dxa" w:w="705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Lỗi được diễn đạt rõ, có mã/chi tiết chẩn đoán, không làm crash âm thầm hoặc nuốt lỗi; không ghi dữ liệu cá nhân nhạy cảm vào log.</w:t>
            </w:r>
          </w:p>
        </w:tc>
      </w:tr>
      <w:tr>
        <w:trPr>
          <w:cantSplit/>
        </w:trPr>
        <w:tc>
          <w:tcPr>
            <w:tcW w:type="dxa" w:w="9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P0-11</w:t>
            </w:r>
          </w:p>
        </w:tc>
        <w:tc>
          <w:tcPr>
            <w:tcW w:type="dxa" w:w="23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Test &amp; reproducibility</w:t>
            </w:r>
          </w:p>
        </w:tc>
        <w:tc>
          <w:tcPr>
            <w:tcW w:type="dxa" w:w="705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Automated tests cho parser, adapters, signal math, state management, data-mode separation và regression fixtures.</w:t>
            </w:r>
          </w:p>
        </w:tc>
      </w:tr>
    </w:tbl>
    <w:p>
      <w:pPr>
        <w:widowControl/>
        <w:spacing w:after="20"/>
      </w:pPr>
    </w:p>
    <w:p>
      <w:pPr>
        <w:pStyle w:val="Heading2"/>
        <w:widowControl/>
      </w:pPr>
      <w:r>
        <w:t>4.2. P1 — Nâng cấp để dùng trong nhóm nghiên cứu chuyên nghiệp</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216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Nhóm</w:t>
            </w:r>
          </w:p>
        </w:tc>
        <w:tc>
          <w:tcPr>
            <w:tcW w:type="dxa" w:w="820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Tính năng định hướng</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Traceability</w:t>
            </w:r>
          </w:p>
        </w:tc>
        <w:tc>
          <w:tcPr>
            <w:tcW w:type="dxa" w:w="820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Algorithm/pipeline registry, release/version notes, configuration snapshots, audit trail cho thay đổi metadata, reprocessing và export.</w:t>
            </w:r>
          </w:p>
        </w:tc>
      </w:tr>
      <w:tr>
        <w:trPr>
          <w:cantSplit/>
        </w:trPr>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Study management</w:t>
            </w:r>
          </w:p>
        </w:tc>
        <w:tc>
          <w:tcPr>
            <w:tcW w:type="dxa" w:w="820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Protocol templates, session annotation, inclusion/exclusion reason, operator checklist, participant pseudonym, cohort filters.</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Analysis workbench</w:t>
            </w:r>
          </w:p>
        </w:tc>
        <w:tc>
          <w:tcPr>
            <w:tcW w:type="dxa" w:w="820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Overlay giữa session, so sánh trục/tín hiệu/sensor, PSD trend, spectrogram, artifact markers, batch analysis và sensitivity analysis.</w:t>
            </w:r>
          </w:p>
        </w:tc>
      </w:tr>
      <w:tr>
        <w:trPr>
          <w:cantSplit/>
        </w:trPr>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Data governance</w:t>
            </w:r>
          </w:p>
        </w:tc>
        <w:tc>
          <w:tcPr>
            <w:tcW w:type="dxa" w:w="820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Data dictionary, import validation preview, duplicate detection, quality score, retention/backup/restore test, export permissions.</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Roles &amp; collaboration</w:t>
            </w:r>
          </w:p>
        </w:tc>
        <w:tc>
          <w:tcPr>
            <w:tcW w:type="dxa" w:w="820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Role-based permissions cho admin/researcher/operator/read-only; tránh xây multi-tenant nếu hiện chưa có nhu cầu.</w:t>
            </w:r>
          </w:p>
        </w:tc>
      </w:tr>
      <w:tr>
        <w:trPr>
          <w:cantSplit/>
        </w:trPr>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Reporting</w:t>
            </w:r>
          </w:p>
        </w:tc>
        <w:tc>
          <w:tcPr>
            <w:tcW w:type="dxa" w:w="820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PDF/CSV/JSON export có version và limitations; report template; chart/table readability; reproducible report metadata.</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Operations</w:t>
            </w:r>
          </w:p>
        </w:tc>
        <w:tc>
          <w:tcPr>
            <w:tcW w:type="dxa" w:w="820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Health/status page, structured logs, basic performance profiling, test coverage reports, dependency and vulnerability review.</w:t>
            </w:r>
          </w:p>
        </w:tc>
      </w:tr>
    </w:tbl>
    <w:p>
      <w:pPr>
        <w:widowControl/>
        <w:spacing w:after="20"/>
      </w:pPr>
    </w:p>
    <w:p>
      <w:pPr>
        <w:pStyle w:val="Heading2"/>
        <w:widowControl/>
      </w:pPr>
      <w:r>
        <w:t>4.3. P2 — Chỉ mở khi có nhu cầu và nguồn lực xác thực</w:t>
      </w:r>
    </w:p>
    <w:p>
      <w:pPr>
        <w:pStyle w:val="ListBullet"/>
        <w:widowControl/>
        <w:spacing w:after="44"/>
        <w:ind w:left="317" w:hanging="173"/>
      </w:pPr>
      <w:r>
        <w:t>Cloud SaaS đa cơ sở, multi-tenant isolation, subscription/billing, remote access và quản trị tổ chức.</w:t>
      </w:r>
    </w:p>
    <w:p>
      <w:pPr>
        <w:pStyle w:val="ListBullet"/>
        <w:widowControl/>
        <w:spacing w:after="44"/>
        <w:ind w:left="317" w:hanging="173"/>
      </w:pPr>
      <w:r>
        <w:t>Đồng bộ nhiều thiết bị và theo dõi từ xa; cần làm rõ latency, mất kết nối, consistency và quyền dữ liệu.</w:t>
      </w:r>
    </w:p>
    <w:p>
      <w:pPr>
        <w:pStyle w:val="ListBullet"/>
        <w:widowControl/>
        <w:spacing w:after="44"/>
        <w:ind w:left="317" w:hanging="173"/>
      </w:pPr>
      <w:r>
        <w:t>Tích hợp chuẩn dữ liệu y tế (ví dụ HL7 FHIR) khi có partner/use case rõ ràng và đã xác định nghĩa vụ pháp lý.</w:t>
      </w:r>
    </w:p>
    <w:p>
      <w:pPr>
        <w:pStyle w:val="ListBullet"/>
        <w:widowControl/>
        <w:spacing w:after="44"/>
        <w:ind w:left="317" w:hanging="173"/>
      </w:pPr>
      <w:r>
        <w:t>Mô hình ML hoặc anomaly detection chỉ khi có dataset đủ đại diện, protocol nghiên cứu, split chống leakage, đánh giá ngoài mẫu và governance cho model version.</w:t>
      </w:r>
    </w:p>
    <w:p>
      <w:pPr>
        <w:pStyle w:val="ListBullet"/>
        <w:widowControl/>
        <w:spacing w:after="44"/>
        <w:ind w:left="317" w:hanging="173"/>
      </w:pPr>
      <w:r>
        <w:t>Tự động hóa báo cáo hoặc decision support chỉ sau khi có intended use rõ, risk analysis, usability validation và review pháp lý theo thị trường mục tiêu.</w:t>
      </w:r>
    </w:p>
    <w:p>
      <w:pPr>
        <w:pStyle w:val="Heading2"/>
        <w:widowControl/>
      </w:pPr>
      <w:r>
        <w:t>4.4. Những tính năng không nên tạo ra chỉ để “trông high-end”</w:t>
      </w:r>
    </w:p>
    <w:p>
      <w:pPr>
        <w:pStyle w:val="ListBullet"/>
        <w:widowControl/>
        <w:spacing w:after="44"/>
        <w:ind w:left="317" w:hanging="173"/>
      </w:pPr>
      <w:r>
        <w:t>AI chatbot không có nhiệm vụ an toàn/kỹ thuật rõ hoặc đưa ra lời giải thích về tình trạng bệnh.</w:t>
      </w:r>
    </w:p>
    <w:p>
      <w:pPr>
        <w:pStyle w:val="ListBullet"/>
        <w:widowControl/>
        <w:spacing w:after="44"/>
        <w:ind w:left="317" w:hanging="173"/>
      </w:pPr>
      <w:r>
        <w:t>Đồ thị 3D/animation/gradient nặng làm giảm khả năng đọc tín hiệu; nhiều KPI không liên quan quyết định sử dụng.</w:t>
      </w:r>
    </w:p>
    <w:p>
      <w:pPr>
        <w:pStyle w:val="ListBullet"/>
        <w:widowControl/>
        <w:spacing w:after="44"/>
        <w:ind w:left="317" w:hanging="173"/>
      </w:pPr>
      <w:r>
        <w:t>NPI gauge xanh-vàng-đỏ giống kết luận chẩn đoán khi ngưỡng chưa được xác nhận.</w:t>
      </w:r>
    </w:p>
    <w:p>
      <w:pPr>
        <w:pStyle w:val="ListBullet"/>
        <w:widowControl/>
        <w:spacing w:after="44"/>
        <w:ind w:left="317" w:hanging="173"/>
      </w:pPr>
      <w:r>
        <w:t>Microservices, Kubernetes, Redis, event bus hoặc hệ cloud phức tạp mà không có nhu cầu tải/triển khai chứng minh được.</w:t>
      </w:r>
    </w:p>
    <w:p>
      <w:pPr>
        <w:pStyle w:val="ListBullet"/>
        <w:widowControl/>
        <w:spacing w:after="44"/>
        <w:ind w:left="317" w:hanging="173"/>
      </w:pPr>
      <w:r>
        <w:t>Tự động “bù” dữ liệu bị mất hoặc xóa artifact mà không lưu dấu vết và không cho biết dữ liệu đã biến đổi.</w:t>
      </w:r>
    </w:p>
    <w:p>
      <w:pPr>
        <w:pStyle w:val="Heading1"/>
        <w:widowControl/>
      </w:pPr>
      <w:r>
        <w:t>05. Hợp đồng dữ liệu hai cảm biến và pipeline tín hiệu</w:t>
      </w:r>
    </w:p>
    <w:p>
      <w:pPr>
        <w:pStyle w:val="Heading2"/>
        <w:widowControl/>
      </w:pPr>
      <w:r>
        <w:t>5.1. Thiết kế theo adapter và sensor profile</w:t>
      </w:r>
    </w:p>
    <w:p>
      <w:pPr>
        <w:widowControl/>
      </w:pPr>
      <w:r>
        <w:t>Mỗi cảm biến phải có adapter thu nhận riêng, profile cấu hình riêng và data contract chung ở mức envelope/metadata. “Chung” ở đây chỉ có nghĩa là ứng dụng biết cách quản lý một phiên đo; không có nghĩa biến đổi dữ liệu vật lý khác bản chất thành cùng đại lượng mà không có hiệu chuẩn/chứng minh.</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180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Thành phần</w:t>
            </w:r>
          </w:p>
        </w:tc>
        <w:tc>
          <w:tcPr>
            <w:tcW w:type="dxa" w:w="424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Piezo + analog front-end</w:t>
            </w:r>
          </w:p>
        </w:tc>
        <w:tc>
          <w:tcPr>
            <w:tcW w:type="dxa" w:w="432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ADXL345 + ESP32</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Đại lượng đầu vào</w:t>
            </w:r>
          </w:p>
        </w:tc>
        <w:tc>
          <w:tcPr>
            <w:tcW w:type="dxa" w:w="424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Tín hiệu điện do biến dạng/rung cơ học qua front-end; ADC count hoặc voltage sau hiệu chuẩn.</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Gia tốc số theo trục (thường X/Y/Z); đơn vị và scale theo cấu hình/cảm biến.</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Cấu hình cần lưu</w:t>
            </w:r>
          </w:p>
        </w:tc>
        <w:tc>
          <w:tcPr>
            <w:tcW w:type="dxa" w:w="42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ADC resolution/range, gain analog, bias/DC handling, reference voltage/scale, clipping limits, firmware.</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ODR thực tế, range, output format, axis mapping, sensitivity/scale, interface/config, firmware.</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Đơn vị bắt buộc</w:t>
            </w:r>
          </w:p>
        </w:tc>
        <w:tc>
          <w:tcPr>
            <w:tcW w:type="dxa" w:w="424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Không để nhãn “vibration” thay cho đơn vị; ghi ADC count hoặc V nếu có quy đổi đáng tin cậy.</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m/s² hoặc g sau quy đổi có xác minh; nếu lưu raw register/count phải ghi unit raw.</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Chất lượng riêng</w:t>
            </w:r>
          </w:p>
        </w:tc>
        <w:tc>
          <w:tcPr>
            <w:tcW w:type="dxa" w:w="42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Rail saturation, clipping ADC, analog noise, baseline drift, disconnected/floating input.</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ODR mismatch, missing axis/sample, orientation, motion artifact, clipping/range saturation.</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Không được giả định</w:t>
            </w:r>
          </w:p>
        </w:tc>
        <w:tc>
          <w:tcPr>
            <w:tcW w:type="dxa" w:w="424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ADC sample rate mục tiêu luôn đúng và gain không làm méo tín hiệu.</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ODR ADXL345 giống hệt 1000 Hz hoặc tương đương với chuỗi piezo.</w:t>
            </w:r>
          </w:p>
        </w:tc>
      </w:tr>
    </w:tbl>
    <w:p>
      <w:pPr>
        <w:widowControl/>
        <w:spacing w:after="20"/>
      </w:pPr>
    </w:p>
    <w:p>
      <w:pPr>
        <w:pStyle w:val="Heading2"/>
        <w:widowControl/>
      </w:pPr>
      <w:r>
        <w:t>5.2. Data contract tối thiểu</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194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Đối tượng</w:t>
            </w:r>
          </w:p>
        </w:tc>
        <w:tc>
          <w:tcPr>
            <w:tcW w:type="dxa" w:w="842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Các trường nên có</w:t>
            </w:r>
          </w:p>
        </w:tc>
      </w:tr>
      <w:tr>
        <w:trPr>
          <w:cantSplit/>
        </w:trPr>
        <w:tc>
          <w:tcPr>
            <w:tcW w:type="dxa" w:w="194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Device</w:t>
            </w:r>
          </w:p>
        </w:tc>
        <w:tc>
          <w:tcPr>
            <w:tcW w:type="dxa" w:w="842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device_id; device_model; hardware_revision; firmware_version; transport/interface; last_seen; calibration_status.</w:t>
            </w:r>
          </w:p>
        </w:tc>
      </w:tr>
      <w:tr>
        <w:trPr>
          <w:cantSplit/>
        </w:trPr>
        <w:tc>
          <w:tcPr>
            <w:tcW w:type="dxa" w:w="194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SensorProfile</w:t>
            </w:r>
          </w:p>
        </w:tc>
        <w:tc>
          <w:tcPr>
            <w:tcW w:type="dxa" w:w="842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sensor_id/model; sensing_principle; channel/axis map; units; configured sample rate/ODR; scale/calibration; range/gain; profile_version.</w:t>
            </w:r>
          </w:p>
        </w:tc>
      </w:tr>
      <w:tr>
        <w:trPr>
          <w:cantSplit/>
        </w:trPr>
        <w:tc>
          <w:tcPr>
            <w:tcW w:type="dxa" w:w="194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Session</w:t>
            </w:r>
          </w:p>
        </w:tc>
        <w:tc>
          <w:tcPr>
            <w:tcW w:type="dxa" w:w="842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session_id; source_mode (live/benchmark/simulation); participant pseudonym; operator; protocol_id/version; start/end time; device/profile; consent/status if applicable.</w:t>
            </w:r>
          </w:p>
        </w:tc>
      </w:tr>
      <w:tr>
        <w:trPr>
          <w:cantSplit/>
        </w:trPr>
        <w:tc>
          <w:tcPr>
            <w:tcW w:type="dxa" w:w="194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Sample chunk</w:t>
            </w:r>
          </w:p>
        </w:tc>
        <w:tc>
          <w:tcPr>
            <w:tcW w:type="dxa" w:w="842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session_id; channel/axis; timestamps or monotonic sample index; raw values; units; sample-rate metadata; chunk sequence; parser/device status.</w:t>
            </w:r>
          </w:p>
        </w:tc>
      </w:tr>
      <w:tr>
        <w:trPr>
          <w:cantSplit/>
        </w:trPr>
        <w:tc>
          <w:tcPr>
            <w:tcW w:type="dxa" w:w="194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ProcessingRun</w:t>
            </w:r>
          </w:p>
        </w:tc>
        <w:tc>
          <w:tcPr>
            <w:tcW w:type="dxa" w:w="842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processing_run_id; raw-data reference/checksum; software commit/release; pipeline_version; parameters; output metrics; QC results; executed_at.</w:t>
            </w:r>
          </w:p>
        </w:tc>
      </w:tr>
      <w:tr>
        <w:trPr>
          <w:cantSplit/>
        </w:trPr>
        <w:tc>
          <w:tcPr>
            <w:tcW w:type="dxa" w:w="194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Provenance</w:t>
            </w:r>
          </w:p>
        </w:tc>
        <w:tc>
          <w:tcPr>
            <w:tcW w:type="dxa" w:w="842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source type; imported file/hash; generated/simulated marker; transform history; who/when; export history if sensitive.</w:t>
            </w:r>
          </w:p>
        </w:tc>
      </w:tr>
    </w:tbl>
    <w:p>
      <w:pPr>
        <w:widowControl/>
        <w:spacing w:after="20"/>
      </w:pPr>
    </w:p>
    <w:p>
      <w:pPr>
        <w:pStyle w:val="Heading2"/>
        <w:widowControl/>
      </w:pPr>
      <w:r>
        <w:t>5.3. Timestamp, sample rate và mất mẫu</w:t>
      </w:r>
    </w:p>
    <w:p>
      <w:pPr>
        <w:pStyle w:val="ListBullet"/>
        <w:widowControl/>
        <w:spacing w:after="44"/>
        <w:ind w:left="317" w:hanging="173"/>
      </w:pPr>
      <w:r>
        <w:t>Dùng sample index/monotonic device timestamp làm trục thời gian chính khi có thể; ghi host timestamp riêng để phân tích latency. Không dùng thời gian đến UI làm thời gian gốc của mẫu.</w:t>
      </w:r>
    </w:p>
    <w:p>
      <w:pPr>
        <w:pStyle w:val="ListBullet"/>
        <w:widowControl/>
        <w:spacing w:after="44"/>
        <w:ind w:left="317" w:hanging="173"/>
      </w:pPr>
      <w:r>
        <w:t>Hiển thị rõ sample rate mục tiêu và sample rate thực đo; đo trên cửa sổ đủ dài; ghi tỉ lệ mất mẫu và jitter. Nếu chỉ suy ra tần số từ timestamps, ghi phương pháp suy ra.</w:t>
      </w:r>
    </w:p>
    <w:p>
      <w:pPr>
        <w:pStyle w:val="ListBullet"/>
        <w:widowControl/>
        <w:spacing w:after="44"/>
        <w:ind w:left="317" w:hanging="173"/>
      </w:pPr>
      <w:r>
        <w:t>Định nghĩa cách xử lý timestamp duplicate, out-of-order, missing blocks, reconnect và reset counter. Không âm thầm nối hai đoạn dữ liệu như thể liên tục.</w:t>
      </w:r>
    </w:p>
    <w:p>
      <w:pPr>
        <w:pStyle w:val="ListBullet"/>
        <w:widowControl/>
        <w:spacing w:after="44"/>
        <w:ind w:left="317" w:hanging="173"/>
      </w:pPr>
      <w:r>
        <w:t>ADXL345 cần cấu hình ODR theo khả năng thực tế và validate tốc độ nhận từ firmware; không ép hiển thị 1000 Hz nếu phần cứng/giao thức không cung cấp mức đó.</w:t>
      </w:r>
    </w:p>
    <w:p>
      <w:pPr>
        <w:pStyle w:val="ListBullet"/>
        <w:widowControl/>
        <w:spacing w:after="44"/>
        <w:ind w:left="317" w:hanging="173"/>
      </w:pPr>
      <w:r>
        <w:t>Dữ liệu thô phải bất biến sau khi lưu. Mọi resampling, interpolation, filtering hoặc artifact removal tạo thành một derived dataset/run mới có lịch sử.</w:t>
      </w:r>
    </w:p>
    <w:p>
      <w:pPr>
        <w:pStyle w:val="Heading2"/>
        <w:widowControl/>
      </w:pPr>
      <w:r>
        <w:t>5.4. Pipeline xử lý tín hiệu</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208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Lớp</w:t>
            </w:r>
          </w:p>
        </w:tc>
        <w:tc>
          <w:tcPr>
            <w:tcW w:type="dxa" w:w="828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Yêu cầu</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Ingestion</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Parse frame/packet có version; xác thực kiểu, số trường, checksum/sequence nếu giao thức hỗ trợ; xử lý corrupt packet và timeout.</w:t>
            </w:r>
          </w:p>
        </w:tc>
      </w:tr>
      <w:tr>
        <w:trPr>
          <w:cantSplit/>
        </w:trPr>
        <w:tc>
          <w:tcPr>
            <w:tcW w:type="dxa" w:w="208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Normalization</w:t>
            </w:r>
          </w:p>
        </w:tc>
        <w:tc>
          <w:tcPr>
            <w:tcW w:type="dxa" w:w="828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Chuyển raw code thành đơn vị vật lý chỉ khi có calibration/scale xác định; nếu không, giữ nguyên unit raw và gắn nhãn.</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Signal QC</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Xét sample-rate deviation, missingness, clipping, flatline, drift, độ dài, nhiễu và những artifact có thể nhận diện. QC phải có rule/version.</w:t>
            </w:r>
          </w:p>
        </w:tc>
      </w:tr>
      <w:tr>
        <w:trPr>
          <w:cantSplit/>
        </w:trPr>
        <w:tc>
          <w:tcPr>
            <w:tcW w:type="dxa" w:w="208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Pre-processing</w:t>
            </w:r>
          </w:p>
        </w:tc>
        <w:tc>
          <w:tcPr>
            <w:tcW w:type="dxa" w:w="828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DC/trend removal, filter, notch (nếu sử dụng) và resampling đều cần cấu hình, rationale, version, phase effects và test.</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Feature extraction</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RMS, peak frequency, PSD/band power, TBR và các đặc trưng bổ sung phải có định nghĩa toán học, units và cách xử lý dữ liệu không hợp lệ.</w:t>
            </w:r>
          </w:p>
        </w:tc>
      </w:tr>
      <w:tr>
        <w:trPr>
          <w:cantSplit/>
        </w:trPr>
        <w:tc>
          <w:tcPr>
            <w:tcW w:type="dxa" w:w="208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Interpretation</w:t>
            </w:r>
          </w:p>
        </w:tc>
        <w:tc>
          <w:tcPr>
            <w:tcW w:type="dxa" w:w="828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Chỉ hiển thị chỉ số có provenance, version, status và caveat. Trạng thái QC không được trộn vào giá trị NPI nếu chưa định nghĩa rõ.</w:t>
            </w:r>
          </w:p>
        </w:tc>
      </w:tr>
    </w:tbl>
    <w:p>
      <w:pPr>
        <w:widowControl/>
        <w:spacing w:after="20"/>
      </w:pPr>
    </w:p>
    <w:p>
      <w:pPr>
        <w:pStyle w:val="Heading2"/>
        <w:widowControl/>
      </w:pPr>
      <w:r>
        <w:t>5.5. Các điểm kỹ thuật đặc biệt cần xác minh</w:t>
      </w:r>
    </w:p>
    <w:p>
      <w:pPr>
        <w:pStyle w:val="ListBullet"/>
        <w:widowControl/>
        <w:spacing w:after="44"/>
        <w:ind w:left="317" w:hanging="173"/>
      </w:pPr>
      <w:r>
        <w:t>Tần số cắt và dải đo: làm rõ xung đột 1–20 Hz so với 5–20 Hz trong hồ sơ; nếu mục tiêu phân tích 3–6 Hz thì pipeline không được vô tình loại phần 3–5 Hz mà không có quyết định nghiên cứu giải thích.</w:t>
      </w:r>
    </w:p>
    <w:p>
      <w:pPr>
        <w:pStyle w:val="ListBullet"/>
        <w:widowControl/>
        <w:spacing w:after="44"/>
        <w:ind w:left="317" w:hanging="173"/>
      </w:pPr>
      <w:r>
        <w:t>Sampling theorem/Nyquist: tần số lấy mẫu phải đủ cho dải quan tâm và đặc tính của cảm biến; phần mềm phải kiểm tra cấu hình thay vì chỉ tin một hằng số 1000 Hz.</w:t>
      </w:r>
    </w:p>
    <w:p>
      <w:pPr>
        <w:pStyle w:val="ListBullet"/>
        <w:widowControl/>
        <w:spacing w:after="44"/>
        <w:ind w:left="317" w:hanging="173"/>
      </w:pPr>
      <w:r>
        <w:t>Real-time vs offline: filter causal/SOS dùng khi streaming có đặc tính khác với zero-phase filtering (ví dụ filtfilt) khi xử lý offline. UI phải ghi rõ pipeline dùng trong từng trường hợp và test tính nhất quán.</w:t>
      </w:r>
    </w:p>
    <w:p>
      <w:pPr>
        <w:pStyle w:val="ListBullet"/>
        <w:widowControl/>
        <w:spacing w:after="44"/>
        <w:ind w:left="317" w:hanging="173"/>
      </w:pPr>
      <w:r>
        <w:t>Welch/FFT: ghi cửa sổ, overlap, nperseg, detrending, PSD scaling, dải tần và cách tích phân band power; tránh tính TBR bằng tổng bin không đồng nhất khi tần số lấy mẫu/cấu hình FFT đổi.</w:t>
      </w:r>
    </w:p>
    <w:p>
      <w:pPr>
        <w:pStyle w:val="ListBullet"/>
        <w:widowControl/>
        <w:spacing w:after="44"/>
        <w:ind w:left="317" w:hanging="173"/>
      </w:pPr>
      <w:r>
        <w:t>NPI: coi là metric thử nghiệm; lưu công thức version, tham số và dải hiệu chuẩn. Không tự thay đổi mapping, ngưỡng 40/70 hoặc hướng “cao/thấp tốt/xấu” mà không có quyết định được ghi nhận.</w:t>
      </w:r>
    </w:p>
    <w:p>
      <w:pPr>
        <w:pStyle w:val="ListBullet"/>
        <w:widowControl/>
        <w:spacing w:after="44"/>
        <w:ind w:left="317" w:hanging="173"/>
      </w:pPr>
      <w:r>
        <w:t>Độ lặp lại và độ đặc hiệu: cùng bệnh lý có nhiều biểu hiện; run do nguyên nhân khác có thể trùng dải tần. Không diễn giải một đỉnh 3–6 Hz như marker đặc hiệu Parkinson.</w:t>
      </w:r>
    </w:p>
    <w:tbl>
      <w:tblPr>
        <w:tblW w:type="auto" w:w="0"/>
        <w:jc w:val="center"/>
        <w:tblLayout w:type="fixed"/>
        <w:tblLook w:firstColumn="1" w:firstRow="1" w:lastColumn="0" w:lastRow="0" w:noHBand="0" w:noVBand="1" w:val="04A0"/>
        <w:tblBorders>
          <w:top w:val="single" w:sz="0" w:space="0" w:color="FBEAEA"/>
          <w:left w:val="single" w:sz="0" w:space="0" w:color="FBEAEA"/>
          <w:bottom w:val="single" w:sz="0" w:space="0" w:color="FBEAEA"/>
          <w:right w:val="single" w:sz="0" w:space="0" w:color="FBEAEA"/>
          <w:insideH w:val="single" w:sz="0" w:space="0" w:color="FBEAEA"/>
          <w:insideV w:val="single" w:sz="0" w:space="0" w:color="FBEAEA"/>
        </w:tblBorders>
      </w:tblPr>
      <w:tblGrid>
        <w:gridCol w:w="9994"/>
      </w:tblGrid>
      <w:tr>
        <w:tc>
          <w:tcPr>
            <w:tcW w:type="dxa" w:w="9994"/>
            <w:shd w:fill="FBEAEA"/>
            <w:tcMar>
              <w:top w:w="130" w:type="dxa"/>
              <w:start w:w="170" w:type="dxa"/>
              <w:bottom w:w="130" w:type="dxa"/>
              <w:end w:w="170" w:type="dxa"/>
            </w:tcMar>
          </w:tcPr>
          <w:p>
            <w:pPr>
              <w:widowControl/>
              <w:spacing w:after="60"/>
            </w:pPr>
            <w:r/>
            <w:r>
              <w:rPr>
                <w:rFonts w:ascii="Aptos" w:hAnsi="Aptos"/>
                <w:b/>
                <w:color w:val="A12A2A"/>
                <w:sz w:val="18"/>
              </w:rPr>
              <w:t>DATA QUALITY GATE</w:t>
            </w:r>
          </w:p>
          <w:p>
            <w:pPr>
              <w:widowControl/>
              <w:spacing w:after="0" w:line="252" w:lineRule="auto"/>
            </w:pPr>
            <w:r>
              <w:rPr>
                <w:rFonts w:ascii="Aptos" w:hAnsi="Aptos"/>
                <w:color w:val="233446"/>
                <w:sz w:val="17"/>
              </w:rPr>
              <w:t>Khi QC không đạt, ứng dụng nên cho phép lưu bản ghi phục vụ debug nhưng phải gắn trạng thái “invalid / needs review”, giải thích nguyên nhân và chặn ngôn ngữ diễn giải chỉ số như kết quả đáng tin cậy. Không xóa dữ liệu lỗi một cách tự động.</w:t>
            </w:r>
          </w:p>
        </w:tc>
      </w:tr>
    </w:tbl>
    <w:p>
      <w:pPr>
        <w:widowControl/>
        <w:spacing w:after="20"/>
      </w:pPr>
    </w:p>
    <w:p>
      <w:pPr>
        <w:pStyle w:val="Heading1"/>
        <w:widowControl/>
      </w:pPr>
      <w:r>
        <w:t>06. Kiến trúc phần mềm và tech stack tham chiếu</w:t>
      </w:r>
    </w:p>
    <w:p>
      <w:pPr>
        <w:pStyle w:val="Heading2"/>
        <w:widowControl/>
      </w:pPr>
      <w:r>
        <w:t>6.1. Kiến trúc đích: modular monolith trước, phân tách sau khi cần</w:t>
      </w:r>
    </w:p>
    <w:p>
      <w:pPr>
        <w:widowControl/>
      </w:pPr>
      <w:r>
        <w:t>Mặc định đề xuất kiến trúc phân lớp/modular monolith, vì NeuroPulse cần ưu tiên nghiên cứu, độ tin cậy và tốc độ lặp. Module boundaries rõ cho phép chuyển một phần thành service khi cần, nhưng không tạo chi phí vận hành không cần thiết từ đầu.</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216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Lớp</w:t>
            </w:r>
          </w:p>
        </w:tc>
        <w:tc>
          <w:tcPr>
            <w:tcW w:type="dxa" w:w="453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Trách nhiệm</w:t>
            </w:r>
          </w:p>
        </w:tc>
        <w:tc>
          <w:tcPr>
            <w:tcW w:type="dxa" w:w="3672"/>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Rào chắn thiết kế</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Device / Acquisition adapters</w:t>
            </w:r>
          </w:p>
        </w:tc>
        <w:tc>
          <w:tcPr>
            <w:tcW w:type="dxa" w:w="45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Serial/USB, parser, reconnect, framing, sensor profile, device status, sample timing.</w:t>
            </w:r>
          </w:p>
        </w:tc>
        <w:tc>
          <w:tcPr>
            <w:tcW w:type="dxa" w:w="367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Không để UI truy cập cổng serial tùy tiện; adapter không chứa logic NPI.</w:t>
            </w:r>
          </w:p>
        </w:tc>
      </w:tr>
      <w:tr>
        <w:trPr>
          <w:cantSplit/>
        </w:trPr>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Domain / Session service</w:t>
            </w:r>
          </w:p>
        </w:tc>
        <w:tc>
          <w:tcPr>
            <w:tcW w:type="dxa" w:w="45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Lifecycle phiên đo, metadata, protocol, roles, state transitions và validation.</w:t>
            </w:r>
          </w:p>
        </w:tc>
        <w:tc>
          <w:tcPr>
            <w:tcW w:type="dxa" w:w="367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State changes explicit; session không biến thành “completed” nếu chưa có đủ thông tin kết thúc.</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Signal processing core</w:t>
            </w:r>
          </w:p>
        </w:tc>
        <w:tc>
          <w:tcPr>
            <w:tcW w:type="dxa" w:w="45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QC, filtering, PSD, feature extraction, TBR/NPI, algorithm versions.</w:t>
            </w:r>
          </w:p>
        </w:tc>
        <w:tc>
          <w:tcPr>
            <w:tcW w:type="dxa" w:w="367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Pure functions càng nhiều càng tốt; không phụ thuộc Streamlit/React, database hoặc global state.</w:t>
            </w:r>
          </w:p>
        </w:tc>
      </w:tr>
      <w:tr>
        <w:trPr>
          <w:cantSplit/>
        </w:trPr>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Repository / Storage</w:t>
            </w:r>
          </w:p>
        </w:tc>
        <w:tc>
          <w:tcPr>
            <w:tcW w:type="dxa" w:w="45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Lưu raw files, metadata, derived runs, logs, audit events, import/export.</w:t>
            </w:r>
          </w:p>
        </w:tc>
        <w:tc>
          <w:tcPr>
            <w:tcW w:type="dxa" w:w="367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Raw immutable; migrations có version; backup/restore được kiểm thử.</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Application/API</w:t>
            </w:r>
          </w:p>
        </w:tc>
        <w:tc>
          <w:tcPr>
            <w:tcW w:type="dxa" w:w="45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Orchestrate use cases, auth, request validation, streaming updates, errors.</w:t>
            </w:r>
          </w:p>
        </w:tc>
        <w:tc>
          <w:tcPr>
            <w:tcW w:type="dxa" w:w="367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Không đặt xử lý tín hiệu khoa học vào API routes hoặc UI components.</w:t>
            </w:r>
          </w:p>
        </w:tc>
      </w:tr>
      <w:tr>
        <w:trPr>
          <w:cantSplit/>
        </w:trPr>
        <w:tc>
          <w:tcPr>
            <w:tcW w:type="dxa" w:w="216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Presentation / Dashboard</w:t>
            </w:r>
          </w:p>
        </w:tc>
        <w:tc>
          <w:tcPr>
            <w:tcW w:type="dxa" w:w="45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Screens, charts, controls, states, reports and user feedback.</w:t>
            </w:r>
          </w:p>
        </w:tc>
        <w:tc>
          <w:tcPr>
            <w:tcW w:type="dxa" w:w="367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Không tự tính metrics khác với core pipeline; charts nhận typed view models.</w:t>
            </w:r>
          </w:p>
        </w:tc>
      </w:tr>
      <w:tr>
        <w:trPr>
          <w:cantSplit/>
        </w:trPr>
        <w:tc>
          <w:tcPr>
            <w:tcW w:type="dxa" w:w="216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QA / Observability</w:t>
            </w:r>
          </w:p>
        </w:tc>
        <w:tc>
          <w:tcPr>
            <w:tcW w:type="dxa" w:w="453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Unit/integration/e2e tests, logging, metrics, release checks, crash/error capture.</w:t>
            </w:r>
          </w:p>
        </w:tc>
        <w:tc>
          <w:tcPr>
            <w:tcW w:type="dxa" w:w="367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Không log raw health data mặc định; phân biệt debug logs và audit logs.</w:t>
            </w:r>
          </w:p>
        </w:tc>
      </w:tr>
    </w:tbl>
    <w:p>
      <w:pPr>
        <w:widowControl/>
        <w:spacing w:after="20"/>
      </w:pPr>
    </w:p>
    <w:p>
      <w:pPr>
        <w:pStyle w:val="Heading2"/>
        <w:widowControl/>
      </w:pPr>
      <w:r>
        <w:t>6.2. Sơ đồ luồng tham chiếu</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1666"/>
        <w:gridCol w:w="1666"/>
        <w:gridCol w:w="1666"/>
        <w:gridCol w:w="1666"/>
        <w:gridCol w:w="1666"/>
        <w:gridCol w:w="1666"/>
      </w:tblGrid>
      <w:tr>
        <w:trPr>
          <w:tblHeader w:val="true"/>
          <w:cantSplit/>
        </w:trPr>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Thiết bị A</w:t>
              <w:br/>
              <w:t>Piezo + ADC</w:t>
            </w:r>
          </w:p>
        </w:tc>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Thiết bị B</w:t>
              <w:br/>
              <w:t>ADXL345</w:t>
            </w:r>
          </w:p>
        </w:tc>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Acquisition adapter</w:t>
            </w:r>
          </w:p>
        </w:tc>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Session + QC</w:t>
            </w:r>
          </w:p>
        </w:tc>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DSP core</w:t>
            </w:r>
          </w:p>
        </w:tc>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Storage + UI</w:t>
            </w:r>
          </w:p>
        </w:tc>
      </w:tr>
      <w:tr>
        <w:trPr>
          <w:cantSplit/>
        </w:trPr>
        <w:tc>
          <w:tcPr>
            <w:tcW w:type="dxa" w:w="1728"/>
            <w:vAlign w:val="center"/>
            <w:tcMar>
              <w:top w:w="80" w:type="dxa"/>
              <w:start w:w="95" w:type="dxa"/>
              <w:bottom w:w="80" w:type="dxa"/>
              <w:end w:w="95" w:type="dxa"/>
            </w:tcMar>
            <w:shd w:fill="EAF3F7"/>
          </w:tcPr>
          <w:p>
            <w:pPr>
              <w:widowControl/>
              <w:spacing w:after="0" w:before="0" w:line="245" w:lineRule="auto"/>
            </w:pPr>
            <w:r/>
            <w:r>
              <w:rPr>
                <w:rFonts w:ascii="Aptos" w:hAnsi="Aptos"/>
                <w:b w:val="0"/>
                <w:color w:val="233446"/>
                <w:sz w:val="15"/>
              </w:rPr>
              <w:t>Analog signal</w:t>
              <w:br/>
              <w:t>ADC/Serial</w:t>
            </w:r>
          </w:p>
        </w:tc>
        <w:tc>
          <w:tcPr>
            <w:tcW w:type="dxa" w:w="1728"/>
            <w:vAlign w:val="center"/>
            <w:tcMar>
              <w:top w:w="80" w:type="dxa"/>
              <w:start w:w="95" w:type="dxa"/>
              <w:bottom w:w="80" w:type="dxa"/>
              <w:end w:w="95" w:type="dxa"/>
            </w:tcMar>
            <w:shd w:fill="E6F4F2"/>
          </w:tcPr>
          <w:p>
            <w:pPr>
              <w:widowControl/>
              <w:spacing w:after="0" w:before="0" w:line="245" w:lineRule="auto"/>
            </w:pPr>
            <w:r/>
            <w:r>
              <w:rPr>
                <w:rFonts w:ascii="Aptos" w:hAnsi="Aptos"/>
                <w:b w:val="0"/>
                <w:color w:val="233446"/>
                <w:sz w:val="15"/>
              </w:rPr>
              <w:t>3-axis accel</w:t>
              <w:br/>
              <w:t>ODR/config</w:t>
            </w:r>
          </w:p>
        </w:tc>
        <w:tc>
          <w:tcPr>
            <w:tcW w:type="dxa" w:w="1728"/>
            <w:vAlign w:val="center"/>
            <w:tcMar>
              <w:top w:w="80" w:type="dxa"/>
              <w:start w:w="95" w:type="dxa"/>
              <w:bottom w:w="80" w:type="dxa"/>
              <w:end w:w="95" w:type="dxa"/>
            </w:tcMar>
            <w:shd w:fill="EFF1FA"/>
          </w:tcPr>
          <w:p>
            <w:pPr>
              <w:widowControl/>
              <w:spacing w:after="0" w:before="0" w:line="245" w:lineRule="auto"/>
            </w:pPr>
            <w:r/>
            <w:r>
              <w:rPr>
                <w:rFonts w:ascii="Aptos" w:hAnsi="Aptos"/>
                <w:b w:val="0"/>
                <w:color w:val="233446"/>
                <w:sz w:val="15"/>
              </w:rPr>
              <w:t>Parse + timestamp</w:t>
              <w:br/>
              <w:t>units + profile</w:t>
            </w:r>
          </w:p>
        </w:tc>
        <w:tc>
          <w:tcPr>
            <w:tcW w:type="dxa" w:w="1728"/>
            <w:vAlign w:val="center"/>
            <w:tcMar>
              <w:top w:w="80" w:type="dxa"/>
              <w:start w:w="95" w:type="dxa"/>
              <w:bottom w:w="80" w:type="dxa"/>
              <w:end w:w="95" w:type="dxa"/>
            </w:tcMar>
            <w:shd w:fill="FFF4DE"/>
          </w:tcPr>
          <w:p>
            <w:pPr>
              <w:widowControl/>
              <w:spacing w:after="0" w:before="0" w:line="245" w:lineRule="auto"/>
            </w:pPr>
            <w:r/>
            <w:r>
              <w:rPr>
                <w:rFonts w:ascii="Aptos" w:hAnsi="Aptos"/>
                <w:b w:val="0"/>
                <w:color w:val="233446"/>
                <w:sz w:val="15"/>
              </w:rPr>
              <w:t>Validate data</w:t>
              <w:br/>
              <w:t>quality gate</w:t>
            </w:r>
          </w:p>
        </w:tc>
        <w:tc>
          <w:tcPr>
            <w:tcW w:type="dxa" w:w="1728"/>
            <w:vAlign w:val="center"/>
            <w:tcMar>
              <w:top w:w="80" w:type="dxa"/>
              <w:start w:w="95" w:type="dxa"/>
              <w:bottom w:w="80" w:type="dxa"/>
              <w:end w:w="95" w:type="dxa"/>
            </w:tcMar>
            <w:shd w:fill="EAF3F7"/>
          </w:tcPr>
          <w:p>
            <w:pPr>
              <w:widowControl/>
              <w:spacing w:after="0" w:before="0" w:line="245" w:lineRule="auto"/>
            </w:pPr>
            <w:r/>
            <w:r>
              <w:rPr>
                <w:rFonts w:ascii="Aptos" w:hAnsi="Aptos"/>
                <w:b w:val="0"/>
                <w:color w:val="233446"/>
                <w:sz w:val="15"/>
              </w:rPr>
              <w:t>Filter + PSD</w:t>
              <w:br/>
              <w:t>TBR/NPI version</w:t>
            </w:r>
          </w:p>
        </w:tc>
        <w:tc>
          <w:tcPr>
            <w:tcW w:type="dxa" w:w="1728"/>
            <w:vAlign w:val="center"/>
            <w:tcMar>
              <w:top w:w="80" w:type="dxa"/>
              <w:start w:w="95" w:type="dxa"/>
              <w:bottom w:w="80" w:type="dxa"/>
              <w:end w:w="95" w:type="dxa"/>
            </w:tcMar>
            <w:shd w:fill="E6F4F2"/>
          </w:tcPr>
          <w:p>
            <w:pPr>
              <w:widowControl/>
              <w:spacing w:after="0" w:before="0" w:line="245" w:lineRule="auto"/>
            </w:pPr>
            <w:r/>
            <w:r>
              <w:rPr>
                <w:rFonts w:ascii="Aptos" w:hAnsi="Aptos"/>
                <w:b w:val="0"/>
                <w:color w:val="233446"/>
                <w:sz w:val="15"/>
              </w:rPr>
              <w:t>Raw + outputs</w:t>
              <w:br/>
              <w:t>charts/reports</w:t>
            </w:r>
          </w:p>
        </w:tc>
      </w:tr>
    </w:tbl>
    <w:p>
      <w:pPr>
        <w:widowControl/>
        <w:spacing w:after="20"/>
      </w:pPr>
    </w:p>
    <w:p>
      <w:pPr>
        <w:pStyle w:val="SmallNote"/>
        <w:widowControl/>
      </w:pPr>
      <w:r>
        <w:t>Sơ đồ logic, không bắt buộc phải phản chiếu từng service hoặc process của code hiện tại. Antigravity cần map cấu trúc đang có vào các trách nhiệm trên, sau đó đề xuất thay đổi tối thiểu để giảm coupling.</w:t>
      </w:r>
    </w:p>
    <w:p>
      <w:pPr>
        <w:pStyle w:val="Heading2"/>
        <w:widowControl/>
      </w:pPr>
      <w:r>
        <w:t>6.3. Tech stack khuyến nghị theo mức trưởng thành</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Thành phần</w:t>
            </w:r>
          </w:p>
        </w:tc>
        <w:tc>
          <w:tcPr>
            <w:tcW w:type="dxa" w:w="432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Ưu tiên cho MVP / codebase hiện hữu</w:t>
            </w:r>
          </w:p>
        </w:tc>
        <w:tc>
          <w:tcPr>
            <w:tcW w:type="dxa" w:w="432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Khi có nhu cầu nâng cấp</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Language/runtime</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Python với phiên bản được pin và test; tránh dependency floating.</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Giữ Python cho DSP/backend; TypeScript cho frontend nếu chuyển sang web app đa tương tác.</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DSP / numerics</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NumPy, SciPy; Pandas khi phục vụ table/dataframe; Pydantic cho schema/validation.</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Giữ core signal library độc lập; thêm typing/static checks, property-based tests khi phù hợp.</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Dashboard UI</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Giữ Streamlit nếu dashboard hiện tại hoạt động tốt, use case chủ yếu local/research và không có lý do mạnh để đổi.</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React + TypeScript với component system nhất quán nếu cần nhiều người dùng, routing sâu, realtime interaction và trải nghiệm SaaS.</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API / service</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Có thể gọi Python modules nội bộ trong modular monolith; tránh tạo API không cần thiết.</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FastAPI cho boundary HTTP/WebSocket, typed request/response và tách giao diện khỏi xử lý dữ liệu.</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Serial acquisition</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pySerial/collector Python nếu thiết bị gửi qua USB Serial; kiểm tra port, framing, reconnect và thread/process safety.</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Local acquisition agent/bridge khi UI chạy trên browser/cloud; browser không tự động có quyền mở COM port tùy ý của máy người dùng.</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Charts</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Plotly hoặc thư viện đang có nếu tương tác/hiệu năng đạt; test cả signal dài và zoom.</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Plotly/ECharts hoặc canvas/webgl khi profiling cho thấy nhu cầu; không thay chart lib chỉ vì thẩm mỹ.</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Metadata DB</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SQLite cho local single-user prototype nếu đủ; định nghĩa repository interface và migrations.</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PostgreSQL cho nhiều người dùng, phân quyền, concurrent writes và triển khai trung tâm; SQLAlchemy/Alembic nếu hợp kiến trúc Python.</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Raw signal storage</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File format có schema/version, checksum và manifest; CSV cho exchange, NPZ/Parquet cho data analysis khi phù hợp.</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Object storage S3-compatible hoặc tương đương cho dữ liệu quy mô lớn; DB lưu metadata/references, không nhồi mọi waveform vào bảng nghiệp vụ.</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Background jobs</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Task queue chỉ khi xử lý batch nặng; synchronous tasks cho workload nhỏ và đo được.</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Celery/RQ/worker khi cần batch/reprocessing nặng; Redis chỉ khi use case cụ thể cần queue/cache.</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Packaging / CI</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requirements/lock file, pytest, Ruff, Git, CI checks; README setup; .env.example không chứa secret.</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Docker/compose để tái lập môi trường; dependency scanning, SBOM/release artifact và deployment pipeline.</w:t>
            </w:r>
          </w:p>
        </w:tc>
      </w:tr>
    </w:tbl>
    <w:p>
      <w:pPr>
        <w:widowControl/>
        <w:spacing w:after="20"/>
      </w:pPr>
    </w:p>
    <w:p>
      <w:pPr>
        <w:pStyle w:val="Heading2"/>
        <w:widowControl/>
      </w:pPr>
      <w:r>
        <w:t>6.4. Quy tắc chọn stack</w:t>
      </w:r>
    </w:p>
    <w:p>
      <w:pPr>
        <w:pStyle w:val="ListBullet"/>
        <w:widowControl/>
        <w:spacing w:after="44"/>
        <w:ind w:left="317" w:hanging="173"/>
      </w:pPr>
      <w:r>
        <w:t>Không bắt buộc migrate từ Streamlit sang React/FastAPI nếu hiện trạng đáp ứng tốt use case và chưa có requirement khiến nó không phù hợp.</w:t>
      </w:r>
    </w:p>
    <w:p>
      <w:pPr>
        <w:pStyle w:val="ListBullet"/>
        <w:widowControl/>
        <w:spacing w:after="44"/>
        <w:ind w:left="317" w:hanging="173"/>
      </w:pPr>
      <w:r>
        <w:t>Nếu ứng dụng chạy trên máy đo có USB Serial: ưu tiên kiến trúc local acquisition process + dashboard local hoặc bridge bảo mật. Nếu dashboard đặt trên cloud, server không thể tự đọc cổng COM vật lý trên laptop người dùng.</w:t>
      </w:r>
    </w:p>
    <w:p>
      <w:pPr>
        <w:pStyle w:val="ListBullet"/>
        <w:widowControl/>
        <w:spacing w:after="44"/>
        <w:ind w:left="317" w:hanging="173"/>
      </w:pPr>
      <w:r>
        <w:t>Giữ signal processing core là thư viện Python thuần hoặc module domain tách UI, để có thể chạy từ Streamlit, API, CLI batch hoặc test harness.</w:t>
      </w:r>
    </w:p>
    <w:p>
      <w:pPr>
        <w:pStyle w:val="ListBullet"/>
        <w:widowControl/>
        <w:spacing w:after="44"/>
        <w:ind w:left="317" w:hanging="173"/>
      </w:pPr>
      <w:r>
        <w:t>Chọn storage theo quyền riêng tư, offline requirements, khối lượng dữ liệu và quy trình backup; không mặc định phải dùng cloud.</w:t>
      </w:r>
    </w:p>
    <w:p>
      <w:pPr>
        <w:pStyle w:val="ListBullet"/>
        <w:widowControl/>
        <w:spacing w:after="44"/>
        <w:ind w:left="317" w:hanging="173"/>
      </w:pPr>
      <w:r>
        <w:t>Mọi nâng cấp stack phải đi kèm migration plan, tương thích file/session hiện có, benchmark hiệu năng và test hồi quy.</w:t>
      </w:r>
    </w:p>
    <w:p>
      <w:pPr>
        <w:pStyle w:val="Heading1"/>
        <w:widowControl/>
      </w:pPr>
      <w:r>
        <w:t>07. UX/UI chuyên nghiệp, khả năng tiếp cận và trạng thái hệ thống</w:t>
      </w:r>
    </w:p>
    <w:p>
      <w:pPr>
        <w:pStyle w:val="Heading2"/>
        <w:widowControl/>
      </w:pPr>
      <w:r>
        <w:t>7.1. Phân cấp thông tin</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1872"/>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Ưu tiên thị giác</w:t>
            </w:r>
          </w:p>
        </w:tc>
        <w:tc>
          <w:tcPr>
            <w:tcW w:type="dxa" w:w="360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Nội dung</w:t>
            </w:r>
          </w:p>
        </w:tc>
        <w:tc>
          <w:tcPr>
            <w:tcW w:type="dxa" w:w="489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Nguyên tắc hiển thị</w:t>
            </w:r>
          </w:p>
        </w:tc>
      </w:tr>
      <w:tr>
        <w:trPr>
          <w:cantSplit/>
        </w:trPr>
        <w:tc>
          <w:tcPr>
            <w:tcW w:type="dxa" w:w="187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1 — Is data valid?</w:t>
            </w:r>
          </w:p>
        </w:tc>
        <w:tc>
          <w:tcPr>
            <w:tcW w:type="dxa" w:w="360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Connection state, sensor profile, sampling status, QC warnings, simulation/benchmark badge.</w:t>
            </w:r>
          </w:p>
        </w:tc>
        <w:tc>
          <w:tcPr>
            <w:tcW w:type="dxa" w:w="489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Đặt gần vùng thao tác; text + icon + màu, không chỉ dựa vào màu.</w:t>
            </w:r>
          </w:p>
        </w:tc>
      </w:tr>
      <w:tr>
        <w:trPr>
          <w:cantSplit/>
        </w:trPr>
        <w:tc>
          <w:tcPr>
            <w:tcW w:type="dxa" w:w="187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2 — What is happening now?</w:t>
            </w:r>
          </w:p>
        </w:tc>
        <w:tc>
          <w:tcPr>
            <w:tcW w:type="dxa" w:w="36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Elapsed time, acquisition progress, start/pause/stop, packet/sample rate, last update.</w:t>
            </w:r>
          </w:p>
        </w:tc>
        <w:tc>
          <w:tcPr>
            <w:tcW w:type="dxa" w:w="489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Trạng thái rõ; khóa nút không hợp lệ; phân biệt connecting, ready, recording, paused, failed.</w:t>
            </w:r>
          </w:p>
        </w:tc>
      </w:tr>
      <w:tr>
        <w:trPr>
          <w:cantSplit/>
        </w:trPr>
        <w:tc>
          <w:tcPr>
            <w:tcW w:type="dxa" w:w="187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3 — What does the signal look like?</w:t>
            </w:r>
          </w:p>
        </w:tc>
        <w:tc>
          <w:tcPr>
            <w:tcW w:type="dxa" w:w="360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Raw waveform, processed waveform, PSD/spectrogram, target band.</w:t>
            </w:r>
          </w:p>
        </w:tc>
        <w:tc>
          <w:tcPr>
            <w:tcW w:type="dxa" w:w="489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Unit/axis/timestamps rõ; legend có tên/đơn vị; zoom không làm đổi số liệu phân tích.</w:t>
            </w:r>
          </w:p>
        </w:tc>
      </w:tr>
      <w:tr>
        <w:trPr>
          <w:cantSplit/>
        </w:trPr>
        <w:tc>
          <w:tcPr>
            <w:tcW w:type="dxa" w:w="187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4 — What can be interpreted?</w:t>
            </w:r>
          </w:p>
        </w:tc>
        <w:tc>
          <w:tcPr>
            <w:tcW w:type="dxa" w:w="36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RMS, peak frequency, band powers, TBR/NPI with status and version.</w:t>
            </w:r>
          </w:p>
        </w:tc>
        <w:tc>
          <w:tcPr>
            <w:tcW w:type="dxa" w:w="489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6"/>
              </w:rPr>
              <w:t>Không lấn át QC; cho xem công thức/config; đánh dấu experimental/unvalidated.</w:t>
            </w:r>
          </w:p>
        </w:tc>
      </w:tr>
      <w:tr>
        <w:trPr>
          <w:cantSplit/>
        </w:trPr>
        <w:tc>
          <w:tcPr>
            <w:tcW w:type="dxa" w:w="1872"/>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5 — What can I do next?</w:t>
            </w:r>
          </w:p>
        </w:tc>
        <w:tc>
          <w:tcPr>
            <w:tcW w:type="dxa" w:w="3600"/>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Review, annotate, save, export, compare, retry acquisition.</w:t>
            </w:r>
          </w:p>
        </w:tc>
        <w:tc>
          <w:tcPr>
            <w:tcW w:type="dxa" w:w="4896"/>
            <w:vAlign w:val="center"/>
            <w:tcMar>
              <w:top w:w="80" w:type="dxa"/>
              <w:start w:w="95" w:type="dxa"/>
              <w:bottom w:w="80" w:type="dxa"/>
              <w:end w:w="95" w:type="dxa"/>
            </w:tcMar>
          </w:tcPr>
          <w:p>
            <w:pPr>
              <w:widowControl/>
              <w:spacing w:after="0" w:before="0" w:line="245" w:lineRule="auto"/>
            </w:pPr>
            <w:r/>
            <w:r>
              <w:rPr>
                <w:rFonts w:ascii="Aptos" w:hAnsi="Aptos"/>
                <w:b w:val="0"/>
                <w:color w:val="233446"/>
                <w:sz w:val="16"/>
              </w:rPr>
              <w:t>Đề xuất hành động phù hợp với trạng thái; lưu draft hoặc cảnh báo khi rời phiên chưa lưu.</w:t>
            </w:r>
          </w:p>
        </w:tc>
      </w:tr>
    </w:tbl>
    <w:p>
      <w:pPr>
        <w:widowControl/>
        <w:spacing w:after="20"/>
      </w:pPr>
    </w:p>
    <w:p>
      <w:pPr>
        <w:pStyle w:val="Heading2"/>
        <w:widowControl/>
      </w:pPr>
      <w:r>
        <w:t>7.2. Hệ thống trạng thái tối thiểu</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172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Trạng thái</w:t>
            </w:r>
          </w:p>
        </w:tc>
        <w:tc>
          <w:tcPr>
            <w:tcW w:type="dxa" w:w="360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Ý nghĩa</w:t>
            </w:r>
          </w:p>
        </w:tc>
        <w:tc>
          <w:tcPr>
            <w:tcW w:type="dxa" w:w="504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Phản hồi giao diện</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Disconnected</w:t>
            </w:r>
          </w:p>
        </w:tc>
        <w:tc>
          <w:tcPr>
            <w:tcW w:type="dxa" w:w="36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Không có liên kết tới device adapter.</w:t>
            </w:r>
          </w:p>
        </w:tc>
        <w:tc>
          <w:tcPr>
            <w:tcW w:type="dxa" w:w="504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Hiển thị lý do gần nhất, nút refresh/connect, chọn port/profile.</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Connecting</w:t>
            </w:r>
          </w:p>
        </w:tc>
        <w:tc>
          <w:tcPr>
            <w:tcW w:type="dxa" w:w="36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Đang mở port/khởi tạo giao thức.</w:t>
            </w:r>
          </w:p>
        </w:tc>
        <w:tc>
          <w:tcPr>
            <w:tcW w:type="dxa" w:w="504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Spinner + timeout; không cho Start khi chưa Ready.</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Ready</w:t>
            </w:r>
          </w:p>
        </w:tc>
        <w:tc>
          <w:tcPr>
            <w:tcW w:type="dxa" w:w="36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Thiết bị giao tiếp được và đã có profile.</w:t>
            </w:r>
          </w:p>
        </w:tc>
        <w:tc>
          <w:tcPr>
            <w:tcW w:type="dxa" w:w="504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Preview/short test; hiển thị sample rate, firmware nếu có.</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Recording</w:t>
            </w:r>
          </w:p>
        </w:tc>
        <w:tc>
          <w:tcPr>
            <w:tcW w:type="dxa" w:w="36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Đang tiếp nhận dữ liệu phiên đo.</w:t>
            </w:r>
          </w:p>
        </w:tc>
        <w:tc>
          <w:tcPr>
            <w:tcW w:type="dxa" w:w="504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Live plots + timers + QC; nút stop rõ, indicator không phụ thuộc màu đơn.</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Degraded</w:t>
            </w:r>
          </w:p>
        </w:tc>
        <w:tc>
          <w:tcPr>
            <w:tcW w:type="dxa" w:w="36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Dữ liệu đến nhưng QC không đạt hoặc kết nối không ổn định.</w:t>
            </w:r>
          </w:p>
        </w:tc>
        <w:tc>
          <w:tcPr>
            <w:tcW w:type="dxa" w:w="504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Giải thích tín hiệu nào không đạt; mark segment/session; không tạo impression kết quả hợp lệ.</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Paused</w:t>
            </w:r>
          </w:p>
        </w:tc>
        <w:tc>
          <w:tcPr>
            <w:tcW w:type="dxa" w:w="36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Thu nhận tạm dừng có chủ đích.</w:t>
            </w:r>
          </w:p>
        </w:tc>
        <w:tc>
          <w:tcPr>
            <w:tcW w:type="dxa" w:w="504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Hiển thị khoảng thời gian và cách tiếp tục; không nối liền dữ liệu giả.</w:t>
            </w:r>
          </w:p>
        </w:tc>
      </w:tr>
      <w:tr>
        <w:trPr>
          <w:cantSplit/>
        </w:trPr>
        <w:tc>
          <w:tcPr>
            <w:tcW w:type="dxa" w:w="172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Completed</w:t>
            </w:r>
          </w:p>
        </w:tc>
        <w:tc>
          <w:tcPr>
            <w:tcW w:type="dxa" w:w="36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Phiên kết thúc bình thường và dữ liệu được đóng gói.</w:t>
            </w:r>
          </w:p>
        </w:tc>
        <w:tc>
          <w:tcPr>
            <w:tcW w:type="dxa" w:w="504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Tóm tắt, QC status, review/export.</w:t>
            </w:r>
          </w:p>
        </w:tc>
      </w:tr>
      <w:tr>
        <w:trPr>
          <w:cantSplit/>
        </w:trPr>
        <w:tc>
          <w:tcPr>
            <w:tcW w:type="dxa" w:w="172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Failed / Invalid</w:t>
            </w:r>
          </w:p>
        </w:tc>
        <w:tc>
          <w:tcPr>
            <w:tcW w:type="dxa" w:w="36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Không thể dùng phiên cho mục tiêu phân tích theo rule hiện hành.</w:t>
            </w:r>
          </w:p>
        </w:tc>
        <w:tc>
          <w:tcPr>
            <w:tcW w:type="dxa" w:w="504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Giữ log/raw nếu policy cho phép; lý do; retry; không mất im lặng.</w:t>
            </w:r>
          </w:p>
        </w:tc>
      </w:tr>
    </w:tbl>
    <w:p>
      <w:pPr>
        <w:widowControl/>
        <w:spacing w:after="20"/>
      </w:pPr>
    </w:p>
    <w:p>
      <w:pPr>
        <w:pStyle w:val="Heading2"/>
        <w:widowControl/>
      </w:pPr>
      <w:r>
        <w:t>7.3. Tiêu chuẩn thiết kế trực quan</w:t>
      </w:r>
    </w:p>
    <w:p>
      <w:pPr>
        <w:pStyle w:val="ListBullet"/>
        <w:widowControl/>
        <w:spacing w:after="44"/>
        <w:ind w:left="317" w:hanging="173"/>
      </w:pPr>
      <w:r>
        <w:t>Thẩm mỹ clinical/engineering: typography rõ, spacing có quy luật, grid nhất quán, ưu tiên nền trung tính, tương phản tốt; không lạm dụng gradient, blur, glassmorphism hay hiệu ứng trang trí.</w:t>
      </w:r>
    </w:p>
    <w:p>
      <w:pPr>
        <w:pStyle w:val="ListBullet"/>
        <w:widowControl/>
        <w:spacing w:after="44"/>
        <w:ind w:left="317" w:hanging="173"/>
      </w:pPr>
      <w:r>
        <w:t>Sử dụng semantic colors nhất quán (success, warning, error, neutral) nhưng luôn kèm chữ/icon/pattern. Không dùng màu duy nhất để truyền tải ý nghĩa.</w:t>
      </w:r>
    </w:p>
    <w:p>
      <w:pPr>
        <w:pStyle w:val="ListBullet"/>
        <w:widowControl/>
        <w:spacing w:after="44"/>
        <w:ind w:left="317" w:hanging="173"/>
      </w:pPr>
      <w:r>
        <w:t>Có light/dark theme nếu thực sự hữu ích; ưu tiên độ tương phản và giảm chói; tránh việc mỗi chart tự chọn palette khác nhau.</w:t>
      </w:r>
    </w:p>
    <w:p>
      <w:pPr>
        <w:pStyle w:val="ListBullet"/>
        <w:widowControl/>
        <w:spacing w:after="44"/>
        <w:ind w:left="317" w:hanging="173"/>
      </w:pPr>
      <w:r>
        <w:t>Cỡ chữ, hit target và điều hướng phải phù hợp với thao tác phòng khám/lab, màn hình laptop phổ biến và người dùng không chuyên về code.</w:t>
      </w:r>
    </w:p>
    <w:p>
      <w:pPr>
        <w:pStyle w:val="ListBullet"/>
        <w:widowControl/>
        <w:spacing w:after="44"/>
        <w:ind w:left="317" w:hanging="173"/>
      </w:pPr>
      <w:r>
        <w:t>Empty states, loading states, error states, stale data state và permissions-denied state phải được thiết kế như một phần của product, không phải ngoại lệ.</w:t>
      </w:r>
    </w:p>
    <w:p>
      <w:pPr>
        <w:pStyle w:val="ListBullet"/>
        <w:widowControl/>
        <w:spacing w:after="44"/>
        <w:ind w:left="317" w:hanging="173"/>
      </w:pPr>
      <w:r>
        <w:t>Mọi chart có title, unit, timestamp/time window, data source, legend, quality overlay và chú thích các transform được bật.</w:t>
      </w:r>
    </w:p>
    <w:p>
      <w:pPr>
        <w:pStyle w:val="ListBullet"/>
        <w:widowControl/>
        <w:spacing w:after="44"/>
        <w:ind w:left="317" w:hanging="173"/>
      </w:pPr>
      <w:r>
        <w:t>Responsive layout không được làm mất trạng thái chất lượng dữ liệu hoặc đẩy cảnh báo ra ngoài vùng nhìn thấy.</w:t>
      </w:r>
    </w:p>
    <w:p>
      <w:pPr>
        <w:pStyle w:val="Heading2"/>
        <w:widowControl/>
      </w:pPr>
      <w:r>
        <w:t>7.4. Báo cáo và export</w:t>
      </w:r>
    </w:p>
    <w:p>
      <w:pPr>
        <w:widowControl/>
      </w:pPr>
      <w:r>
        <w:t>Báo cáo tối thiểu nên bao gồm: session ID; source mode; thiết bị/sensor profile; firmware/software version; ngày giờ và thời lượng; protocol; metadata cần thiết; QC status và lỗi; raw/processed visualization; thuật toán/pipeline version và tham số chính; chỉ số tính được; caveat “research-only / chưa xác nhận lâm sàng” ở vị trí dễ thấy; nguồn tham chiếu nếu có; thông tin export version và người tạo theo quyền phù hợp.</w:t>
      </w:r>
    </w:p>
    <w:p>
      <w:pPr>
        <w:pStyle w:val="SmallNote"/>
        <w:widowControl/>
      </w:pPr>
      <w:r>
        <w:t>CSV là format trao đổi bảng; JSON có thể dùng cho metadata; Parquet/NPZ phù hợp hơn cho mảng mẫu/tín hiệu tùy pipeline. Dù dùng format nào, đi kèm schema/data dictionary/version và không xuất riêng con số NPI mà thiếu bối cảnh.</w:t>
      </w:r>
    </w:p>
    <w:p>
      <w:pPr>
        <w:pStyle w:val="Heading1"/>
        <w:widowControl/>
      </w:pPr>
      <w:r>
        <w:t>08. Bảo mật, riêng tư, vận hành và khả năng truy vết</w:t>
      </w:r>
    </w:p>
    <w:p>
      <w:pPr>
        <w:pStyle w:val="Heading2"/>
        <w:widowControl/>
      </w:pPr>
      <w:r>
        <w:t>8.1. Data governance baseline</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208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Kiểm soát</w:t>
            </w:r>
          </w:p>
        </w:tc>
        <w:tc>
          <w:tcPr>
            <w:tcW w:type="dxa" w:w="828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Yêu cầu định hướng</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Data minimization</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Chỉ thu metadata cần cho mục tiêu đo/nghiên cứu; sử dụng participant code/pseudonym thay vì tên trực tiếp khi có thể.</w:t>
            </w:r>
          </w:p>
        </w:tc>
      </w:tr>
      <w:tr>
        <w:trPr>
          <w:cantSplit/>
        </w:trPr>
        <w:tc>
          <w:tcPr>
            <w:tcW w:type="dxa" w:w="208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Consent &amp; purpose</w:t>
            </w:r>
          </w:p>
        </w:tc>
        <w:tc>
          <w:tcPr>
            <w:tcW w:type="dxa" w:w="828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Ghi rõ mục đích thu thập, phạm vi sử dụng, chia sẻ, retention và cơ chế rút lại/đề nghị xử lý theo quy định áp dụng.</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Access control</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Nếu có nhiều người dùng: least privilege, role-based permissions, session expiry, account lifecycle, bảo vệ export.</w:t>
            </w:r>
          </w:p>
        </w:tc>
      </w:tr>
      <w:tr>
        <w:trPr>
          <w:cantSplit/>
        </w:trPr>
        <w:tc>
          <w:tcPr>
            <w:tcW w:type="dxa" w:w="208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Encryption</w:t>
            </w:r>
          </w:p>
        </w:tc>
        <w:tc>
          <w:tcPr>
            <w:tcW w:type="dxa" w:w="828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Mã hóa truyền tải khi qua network; mã hóa storage/backup theo risk và môi trường triển khai; không tự chế thuật toán crypto.</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Secrets</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Không commit API keys/passwords/tokens; dùng environment/secret manager; có .env.example chỉ chứa placeholders.</w:t>
            </w:r>
          </w:p>
        </w:tc>
      </w:tr>
      <w:tr>
        <w:trPr>
          <w:cantSplit/>
        </w:trPr>
        <w:tc>
          <w:tcPr>
            <w:tcW w:type="dxa" w:w="208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Audit trail</w:t>
            </w:r>
          </w:p>
        </w:tc>
        <w:tc>
          <w:tcPr>
            <w:tcW w:type="dxa" w:w="828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Ghi sự kiện quan trọng: login/access nếu phù hợp, metadata edits, processing run, export, delete, configuration/release changes.</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Retention &amp; deletion</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Chính sách retention rõ; xác định cách xóa cả data files, derived data, export và backups theo yêu cầu hợp lệ.</w:t>
            </w:r>
          </w:p>
        </w:tc>
      </w:tr>
      <w:tr>
        <w:trPr>
          <w:cantSplit/>
        </w:trPr>
        <w:tc>
          <w:tcPr>
            <w:tcW w:type="dxa" w:w="208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Backup/restore</w:t>
            </w:r>
          </w:p>
        </w:tc>
        <w:tc>
          <w:tcPr>
            <w:tcW w:type="dxa" w:w="828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Có backup plan, checksum, manifest và bài test restore; backup chưa được xem là có giá trị khi chưa chứng minh khôi phục được.</w:t>
            </w:r>
          </w:p>
        </w:tc>
      </w:tr>
      <w:tr>
        <w:trPr>
          <w:cantSplit/>
        </w:trPr>
        <w:tc>
          <w:tcPr>
            <w:tcW w:type="dxa" w:w="208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Incident response</w:t>
            </w:r>
          </w:p>
        </w:tc>
        <w:tc>
          <w:tcPr>
            <w:tcW w:type="dxa" w:w="828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Quy trình phát hiện, khoanh vùng, đánh giá, thông báo và khắc phục sự cố; theo dõi vulnerability và dependency updates.</w:t>
            </w:r>
          </w:p>
        </w:tc>
      </w:tr>
    </w:tbl>
    <w:p>
      <w:pPr>
        <w:widowControl/>
        <w:spacing w:after="20"/>
      </w:pPr>
    </w:p>
    <w:p>
      <w:pPr>
        <w:pStyle w:val="Heading2"/>
        <w:widowControl/>
      </w:pPr>
      <w:r>
        <w:t>8.2. Logging và observability</w:t>
      </w:r>
    </w:p>
    <w:p>
      <w:pPr>
        <w:pStyle w:val="ListBullet"/>
        <w:widowControl/>
        <w:spacing w:after="44"/>
        <w:ind w:left="317" w:hanging="173"/>
      </w:pPr>
      <w:r>
        <w:t>Structured logging với timestamp, component, severity, event code, session/device correlation ID và stack trace khi cần.</w:t>
      </w:r>
    </w:p>
    <w:p>
      <w:pPr>
        <w:pStyle w:val="ListBullet"/>
        <w:widowControl/>
        <w:spacing w:after="44"/>
        <w:ind w:left="317" w:hanging="173"/>
      </w:pPr>
      <w:r>
        <w:t>Tách operational logs, debug diagnostics và audit events; quyền xem và retention khác nhau khi phù hợp.</w:t>
      </w:r>
    </w:p>
    <w:p>
      <w:pPr>
        <w:pStyle w:val="ListBullet"/>
        <w:widowControl/>
        <w:spacing w:after="44"/>
        <w:ind w:left="317" w:hanging="173"/>
      </w:pPr>
      <w:r>
        <w:t>Mặc định không log raw waveform, tên người tham gia, dữ liệu y tế hoặc full CSV trong exception logs.</w:t>
      </w:r>
    </w:p>
    <w:p>
      <w:pPr>
        <w:pStyle w:val="ListBullet"/>
        <w:widowControl/>
        <w:spacing w:after="44"/>
        <w:ind w:left="317" w:hanging="173"/>
      </w:pPr>
      <w:r>
        <w:t>Có error code/correlation ID để người phát triển tìm được lỗi mà giao diện vẫn cung cấp hướng xử lý dễ hiểu.</w:t>
      </w:r>
    </w:p>
    <w:p>
      <w:pPr>
        <w:pStyle w:val="ListBullet"/>
        <w:widowControl/>
        <w:spacing w:after="44"/>
        <w:ind w:left="317" w:hanging="173"/>
      </w:pPr>
      <w:r>
        <w:t>Đo các chỉ số kỹ thuật như thời gian khởi tạo kết nối, throughput, processing latency, dropped-sample fraction và memory growth trong test, không phơi bày dữ liệu cá nhân.</w:t>
      </w:r>
    </w:p>
    <w:p>
      <w:pPr>
        <w:pStyle w:val="Heading2"/>
        <w:widowControl/>
      </w:pPr>
      <w:r>
        <w:t>8.3. Pháp lý dữ liệu và intended use</w:t>
      </w:r>
    </w:p>
    <w:p>
      <w:pPr>
        <w:widowControl/>
      </w:pPr>
      <w:r>
        <w:t>Nếu triển khai tại Việt Nam, cần xem xét Luật Bảo vệ dữ liệu cá nhân số 91/2025/QH15 có hiệu lực từ 01/01/2026 và Nghị định 356/2025/NĐ-CP có hiệu lực cùng ngày, cùng các văn bản hướng dẫn/liên quan hiện hành. Cần tư vấn pháp lý để xác định vai trò xử lý dữ liệu, căn cứ xử lý, quyền chủ thể dữ liệu, nghĩa vụ hồ sơ, chuyển dữ liệu và yêu cầu theo ngữ cảnh cụ thể.</w:t>
      </w:r>
    </w:p>
    <w:p>
      <w:pPr>
        <w:widowControl/>
      </w:pPr>
      <w:r>
        <w:t>Nếu intended use tiến đến sàng lọc, theo dõi hoặc hỗ trợ quyết định y khoa, nhóm cần xác định phân loại sản phẩm/phần mềm thiết bị y tế tại các thị trường mục tiêu, quản trị rủi ro và bằng chứng cần thiết trước khi thương mại hóa. Một disclaimer trên màn hình không thay thế việc xác định intended use, phân loại pháp lý, đánh giá rủi ro hoặc thẩm định/kiểm chứng phù hợp.</w:t>
      </w:r>
    </w:p>
    <w:tbl>
      <w:tblPr>
        <w:tblW w:type="auto" w:w="0"/>
        <w:jc w:val="center"/>
        <w:tblLayout w:type="fixed"/>
        <w:tblLook w:firstColumn="1" w:firstRow="1" w:lastColumn="0" w:lastRow="0" w:noHBand="0" w:noVBand="1" w:val="04A0"/>
        <w:tblBorders>
          <w:top w:val="single" w:sz="0" w:space="0" w:color="FBEAEA"/>
          <w:left w:val="single" w:sz="0" w:space="0" w:color="FBEAEA"/>
          <w:bottom w:val="single" w:sz="0" w:space="0" w:color="FBEAEA"/>
          <w:right w:val="single" w:sz="0" w:space="0" w:color="FBEAEA"/>
          <w:insideH w:val="single" w:sz="0" w:space="0" w:color="FBEAEA"/>
          <w:insideV w:val="single" w:sz="0" w:space="0" w:color="FBEAEA"/>
        </w:tblBorders>
      </w:tblPr>
      <w:tblGrid>
        <w:gridCol w:w="9994"/>
      </w:tblGrid>
      <w:tr>
        <w:tc>
          <w:tcPr>
            <w:tcW w:type="dxa" w:w="9994"/>
            <w:shd w:fill="FBEAEA"/>
            <w:tcMar>
              <w:top w:w="130" w:type="dxa"/>
              <w:start w:w="170" w:type="dxa"/>
              <w:bottom w:w="130" w:type="dxa"/>
              <w:end w:w="170" w:type="dxa"/>
            </w:tcMar>
          </w:tcPr>
          <w:p>
            <w:pPr>
              <w:widowControl/>
              <w:spacing w:after="60"/>
            </w:pPr>
            <w:r/>
            <w:r>
              <w:rPr>
                <w:rFonts w:ascii="Aptos" w:hAnsi="Aptos"/>
                <w:b/>
                <w:color w:val="A12A2A"/>
                <w:sz w:val="18"/>
              </w:rPr>
              <w:t>RANH GIỚI TUYÊN BỐ</w:t>
            </w:r>
          </w:p>
          <w:p>
            <w:pPr>
              <w:widowControl/>
              <w:spacing w:after="0" w:line="252" w:lineRule="auto"/>
            </w:pPr>
            <w:r>
              <w:rPr>
                <w:rFonts w:ascii="Aptos" w:hAnsi="Aptos"/>
                <w:color w:val="233446"/>
                <w:sz w:val="17"/>
              </w:rPr>
              <w:t>Có thể nói “dashboard phân tích tín hiệu và tính toán chỉ số nghiên cứu theo thuật toán đã định nghĩa”. Không được suy diễn thành “phát hiện Parkinson sớm”, “độ chính xác X%”, “medical-grade” hoặc “đủ điều kiện sử dụng lâm sàng” khi chưa có bằng chứng và điều kiện quản lý phù hợp.</w:t>
            </w:r>
          </w:p>
        </w:tc>
      </w:tr>
    </w:tbl>
    <w:p>
      <w:pPr>
        <w:widowControl/>
        <w:spacing w:after="20"/>
      </w:pPr>
    </w:p>
    <w:p>
      <w:pPr>
        <w:pStyle w:val="Heading1"/>
        <w:widowControl/>
      </w:pPr>
      <w:r>
        <w:t>09. Tiêu chuẩn phát triển phần mềm y tế và chất lượng</w:t>
      </w:r>
    </w:p>
    <w:p>
      <w:pPr>
        <w:widowControl/>
      </w:pPr>
      <w:r>
        <w:t>Các chuẩn và hướng dẫn dưới đây là khung tham khảo để thiết kế quy trình kỹ thuật, không phải tuyên bố NeuroPulse đã tuân thủ hoặc được chứng nhận. Phạm vi áp dụng cụ thể cần được xác định theo intended use, loại sản phẩm, thị trường và tư vấn chuyên môn/pháp lý.</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273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Chuẩn / hướng dẫn</w:t>
            </w:r>
          </w:p>
        </w:tc>
        <w:tc>
          <w:tcPr>
            <w:tcW w:type="dxa" w:w="489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Cách áp dụng vào cách làm phần mềm</w:t>
            </w:r>
          </w:p>
        </w:tc>
        <w:tc>
          <w:tcPr>
            <w:tcW w:type="dxa" w:w="273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Không được hiểu nhầm thành</w:t>
            </w:r>
          </w:p>
        </w:tc>
      </w:tr>
      <w:tr>
        <w:trPr>
          <w:cantSplit/>
        </w:trPr>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IEC 62304 — Software lifecycle processes</w:t>
            </w:r>
          </w:p>
        </w:tc>
        <w:tc>
          <w:tcPr>
            <w:tcW w:type="dxa" w:w="489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Quản lý vòng đời phần mềm: yêu cầu, kiến trúc, phát triển, verification, maintenance, problem resolution và hồ sơ thay đổi tương ứng.</w:t>
            </w:r>
          </w:p>
        </w:tc>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Chỉ thêm test hoặc viết code theo module là tự động tuân thủ IEC 62304.</w:t>
            </w:r>
          </w:p>
        </w:tc>
      </w:tr>
      <w:tr>
        <w:trPr>
          <w:cantSplit/>
        </w:trPr>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ISO 14971 — Risk management</w:t>
            </w:r>
          </w:p>
        </w:tc>
        <w:tc>
          <w:tcPr>
            <w:tcW w:type="dxa" w:w="489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Xác định hazard, sequence of events, harm, risk controls, verification và residual risk; duy trì risk file xuyên suốt vòng đời.</w:t>
            </w:r>
          </w:p>
        </w:tc>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Một checklist bảo mật hoặc cảnh báo UI thay thế phân tích rủi ro thiết bị y tế.</w:t>
            </w:r>
          </w:p>
        </w:tc>
      </w:tr>
      <w:tr>
        <w:trPr>
          <w:cantSplit/>
        </w:trPr>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IEC 62366-1 — Usability engineering</w:t>
            </w:r>
          </w:p>
        </w:tc>
        <w:tc>
          <w:tcPr>
            <w:tcW w:type="dxa" w:w="489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Xác định user groups/use environments, use-related hazards, nhiệm vụ trọng yếu, use errors và đánh giá khả năng sử dụng an toàn.</w:t>
            </w:r>
          </w:p>
        </w:tc>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Giao diện đẹp/được người phát triển thích tương đương usability validation.</w:t>
            </w:r>
          </w:p>
        </w:tc>
      </w:tr>
      <w:tr>
        <w:trPr>
          <w:cantSplit/>
        </w:trPr>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ISO 13485 — Quality management systems</w:t>
            </w:r>
          </w:p>
        </w:tc>
        <w:tc>
          <w:tcPr>
            <w:tcW w:type="dxa" w:w="489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Thiết lập quy trình, trách nhiệm, document control, design/development controls, supplier/change controls khi tiến tới sản xuất thiết bị y tế.</w:t>
            </w:r>
          </w:p>
        </w:tc>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Một repo sạch tự nó cấu thành hệ thống QMS hoặc chứng nhận ISO 13485.</w:t>
            </w:r>
          </w:p>
        </w:tc>
      </w:tr>
      <w:tr>
        <w:trPr>
          <w:cantSplit/>
        </w:trPr>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FDA General Principles of Software Validation</w:t>
            </w:r>
          </w:p>
        </w:tc>
        <w:tc>
          <w:tcPr>
            <w:tcW w:type="dxa" w:w="489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Xác định yêu cầu, test, traceability, validation và bằng chứng để chứng minh phần mềm đáp ứng intended use.</w:t>
            </w:r>
          </w:p>
        </w:tc>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Test suite pass không chứng minh hiệu năng lâm sàng hoặc sự phù hợp pháp lý toàn diện.</w:t>
            </w:r>
          </w:p>
        </w:tc>
      </w:tr>
      <w:tr>
        <w:trPr>
          <w:cantSplit/>
        </w:trPr>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FDA Cybersecurity in Medical Devices (2025 update)</w:t>
            </w:r>
          </w:p>
        </w:tc>
        <w:tc>
          <w:tcPr>
            <w:tcW w:type="dxa" w:w="489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Threat modeling, secure design, vulnerability management, documentation, incident response và lifecycle controls nếu thuộc phạm vi áp dụng.</w:t>
            </w:r>
          </w:p>
        </w:tc>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Chỉ dùng HTTPS hoặc scan dependency một lần là đủ an toàn.</w:t>
            </w:r>
          </w:p>
        </w:tc>
      </w:tr>
      <w:tr>
        <w:trPr>
          <w:cantSplit/>
        </w:trPr>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EU MDCG 2019-11 Rev.1 (2025)</w:t>
            </w:r>
          </w:p>
        </w:tc>
        <w:tc>
          <w:tcPr>
            <w:tcW w:type="dxa" w:w="489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Tham khảo khi đánh giá qualification/classification của software theo EU MDR/IVDR nếu thị trường mục tiêu liên quan.</w:t>
            </w:r>
          </w:p>
        </w:tc>
        <w:tc>
          <w:tcPr>
            <w:tcW w:type="dxa" w:w="2736"/>
            <w:vAlign w:val="center"/>
            <w:tcMar>
              <w:top w:w="80" w:type="dxa"/>
              <w:start w:w="95" w:type="dxa"/>
              <w:bottom w:w="80" w:type="dxa"/>
              <w:end w:w="95" w:type="dxa"/>
            </w:tcMar>
          </w:tcPr>
          <w:p>
            <w:pPr>
              <w:widowControl/>
              <w:spacing w:after="0" w:before="0" w:line="245" w:lineRule="auto"/>
            </w:pPr>
            <w:r/>
            <w:r>
              <w:rPr>
                <w:rFonts w:ascii="Aptos" w:hAnsi="Aptos"/>
                <w:b w:val="0"/>
                <w:color w:val="233446"/>
                <w:sz w:val="14"/>
              </w:rPr>
              <w:t>Hướng dẫn này tự động xác định phân loại cho NeuroPulse mà không có intended use/use-case đầy đủ.</w:t>
            </w:r>
          </w:p>
        </w:tc>
      </w:tr>
      <w:tr>
        <w:trPr>
          <w:cantSplit/>
        </w:trPr>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Luật BVDLCN Việt Nam 91/2025/QH15 + NĐ 356/2025</w:t>
            </w:r>
          </w:p>
        </w:tc>
        <w:tc>
          <w:tcPr>
            <w:tcW w:type="dxa" w:w="489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Rà soát dữ liệu cá nhân, quyền/chấp thuận, mục đích, lưu trữ, chia sẻ, bảo mật và xử lý yêu cầu của chủ thể dữ liệu.</w:t>
            </w:r>
          </w:p>
        </w:tc>
        <w:tc>
          <w:tcPr>
            <w:tcW w:type="dxa" w:w="273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4"/>
              </w:rPr>
              <w:t>Đưa checkbox “I agree” vào ứng dụng là đã đáp ứng mọi nghĩa vụ pháp lý.</w:t>
            </w:r>
          </w:p>
        </w:tc>
      </w:tr>
    </w:tbl>
    <w:p>
      <w:pPr>
        <w:widowControl/>
        <w:spacing w:after="20"/>
      </w:pPr>
    </w:p>
    <w:p>
      <w:pPr>
        <w:pStyle w:val="Heading2"/>
        <w:widowControl/>
      </w:pPr>
      <w:r>
        <w:t>9.1. Bộ hồ sơ chất lượng nên tăng dần</w:t>
      </w:r>
    </w:p>
    <w:p>
      <w:pPr>
        <w:pStyle w:val="ListBullet"/>
        <w:widowControl/>
        <w:spacing w:after="44"/>
        <w:ind w:left="317" w:hanging="173"/>
      </w:pPr>
      <w:r>
        <w:t>Software requirements/specification: mô tả chức năng, trạng thái, input/output, error conditions, units, performance và acceptance criteria.</w:t>
      </w:r>
    </w:p>
    <w:p>
      <w:pPr>
        <w:pStyle w:val="ListBullet"/>
        <w:widowControl/>
        <w:spacing w:after="44"/>
        <w:ind w:left="317" w:hanging="173"/>
      </w:pPr>
      <w:r>
        <w:t>Architecture/design description: module boundaries, data flow, sensor adapters, storage, trust boundaries, dependencies và design decisions.</w:t>
      </w:r>
    </w:p>
    <w:p>
      <w:pPr>
        <w:pStyle w:val="ListBullet"/>
        <w:widowControl/>
        <w:spacing w:after="44"/>
        <w:ind w:left="317" w:hanging="173"/>
      </w:pPr>
      <w:r>
        <w:t>Risk register: hazard, foreseeable sequence, harm, control, verification evidence, residual risk và owner.</w:t>
      </w:r>
    </w:p>
    <w:p>
      <w:pPr>
        <w:pStyle w:val="ListBullet"/>
        <w:widowControl/>
        <w:spacing w:after="44"/>
        <w:ind w:left="317" w:hanging="173"/>
      </w:pPr>
      <w:r>
        <w:t>Verification/validation plan: unit, integration, system, usability, performance, security và evidence/report.</w:t>
      </w:r>
    </w:p>
    <w:p>
      <w:pPr>
        <w:pStyle w:val="ListBullet"/>
        <w:widowControl/>
        <w:spacing w:after="44"/>
        <w:ind w:left="317" w:hanging="173"/>
      </w:pPr>
      <w:r>
        <w:t>Traceability matrix: requirement → risk/control nếu có → implementation module → test case → result/release.</w:t>
      </w:r>
    </w:p>
    <w:p>
      <w:pPr>
        <w:pStyle w:val="ListBullet"/>
        <w:widowControl/>
        <w:spacing w:after="44"/>
        <w:ind w:left="317" w:hanging="173"/>
      </w:pPr>
      <w:r>
        <w:t>Release/change control: version, changelog, known issues, migration note, dependency lock/SBOM khi phù hợp, rollback strategy.</w:t>
      </w:r>
    </w:p>
    <w:p>
      <w:pPr>
        <w:pStyle w:val="ListBullet"/>
        <w:widowControl/>
        <w:spacing w:after="44"/>
        <w:ind w:left="317" w:hanging="173"/>
      </w:pPr>
      <w:r>
        <w:t>Data and algorithm governance: dataset provenance, protocol, exclusions, versioned parameters, model/version governance nếu sau này có ML.</w:t>
      </w:r>
    </w:p>
    <w:p>
      <w:pPr>
        <w:pStyle w:val="Heading1"/>
        <w:widowControl/>
      </w:pPr>
      <w:r>
        <w:t>10. Kiểm thử, tiêu chí nghiệm thu và Definition of Done</w:t>
      </w:r>
    </w:p>
    <w:p>
      <w:pPr>
        <w:pStyle w:val="Heading2"/>
        <w:widowControl/>
      </w:pPr>
      <w:r>
        <w:t>10.1. Ma trận test cần có</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180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Lớp test</w:t>
            </w:r>
          </w:p>
        </w:tc>
        <w:tc>
          <w:tcPr>
            <w:tcW w:type="dxa" w:w="338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Đối tượng</w:t>
            </w:r>
          </w:p>
        </w:tc>
        <w:tc>
          <w:tcPr>
            <w:tcW w:type="dxa" w:w="518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Ví dụ test</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Unit</w:t>
            </w:r>
          </w:p>
        </w:tc>
        <w:tc>
          <w:tcPr>
            <w:tcW w:type="dxa" w:w="33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Parser, state machine, calculations, QC rules, format validation.</w:t>
            </w:r>
          </w:p>
        </w:tc>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Malformed frame; empty input; values at clipping limits; PSD band power on synthetic known-frequency fixtures.</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Integration</w:t>
            </w:r>
          </w:p>
        </w:tc>
        <w:tc>
          <w:tcPr>
            <w:tcW w:type="dxa" w:w="33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Adapter → session → QC → processing → storage → chart/report.</w:t>
            </w:r>
          </w:p>
        </w:tc>
        <w:tc>
          <w:tcPr>
            <w:tcW w:type="dxa" w:w="51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Disconnect mid-session; serial buffer split; reconnect; session stop during partial chunk; failed storage write.</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Golden/reference</w:t>
            </w:r>
          </w:p>
        </w:tc>
        <w:tc>
          <w:tcPr>
            <w:tcW w:type="dxa" w:w="33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Stable algorithm outputs against reviewed fixtures and hand-checked or independently computed results.</w:t>
            </w:r>
          </w:p>
        </w:tc>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Same fixture + same pipeline version + same parameters yields outputs within defined numeric tolerance.</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Regression</w:t>
            </w:r>
          </w:p>
        </w:tc>
        <w:tc>
          <w:tcPr>
            <w:tcW w:type="dxa" w:w="33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Features that worked before change.</w:t>
            </w:r>
          </w:p>
        </w:tc>
        <w:tc>
          <w:tcPr>
            <w:tcW w:type="dxa" w:w="51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Live mode, benchmark import, simulation labeling, export schema and prior session opening continue to work.</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Performance/stress</w:t>
            </w:r>
          </w:p>
        </w:tc>
        <w:tc>
          <w:tcPr>
            <w:tcW w:type="dxa" w:w="33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Long signals, sustained serial read, memory, rendering and batch pipeline.</w:t>
            </w:r>
          </w:p>
        </w:tc>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Multi-minute/hours synthetic stream; no uncontrolled memory growth; UI remains responsive within defined requirement.</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Security/privacy</w:t>
            </w:r>
          </w:p>
        </w:tc>
        <w:tc>
          <w:tcPr>
            <w:tcW w:type="dxa" w:w="33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Auth/access, inputs/files, logs, secrets, storage and backup handling.</w:t>
            </w:r>
          </w:p>
        </w:tc>
        <w:tc>
          <w:tcPr>
            <w:tcW w:type="dxa" w:w="518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Unauthorized export rejected; malformed import safe; secret scan clean; logs contain no participant identifiers by default.</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Usability</w:t>
            </w:r>
          </w:p>
        </w:tc>
        <w:tc>
          <w:tcPr>
            <w:tcW w:type="dxa" w:w="33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Key tasks for researcher/operator and potential clinical users.</w:t>
            </w:r>
          </w:p>
        </w:tc>
        <w:tc>
          <w:tcPr>
            <w:tcW w:type="dxa" w:w="518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Connect device, determine QC status, repeat invalid measurement, save/export report without confusing simulation and real data.</w:t>
            </w:r>
          </w:p>
        </w:tc>
      </w:tr>
    </w:tbl>
    <w:p>
      <w:pPr>
        <w:widowControl/>
        <w:spacing w:after="20"/>
      </w:pPr>
    </w:p>
    <w:p>
      <w:pPr>
        <w:pStyle w:val="Heading2"/>
        <w:widowControl/>
      </w:pPr>
      <w:r>
        <w:t>10.2. Các tiêu chí định lượng — phải được chốt từ yêu cầu, không đoán</w:t>
      </w:r>
    </w:p>
    <w:p>
      <w:pPr>
        <w:widowControl/>
      </w:pPr>
      <w:r>
        <w:t>Antigravity không được tự chọn ngưỡng chất lượng y sinh hoặc pass/fail nếu chưa có requirement. Hãy lập bảng các ngưỡng còn thiếu và đề xuất giá trị kỹ thuật có rationale để chủ dự án phê duyệt. Một số tiêu chí phải được xác định bao gồm: sample-rate tolerance theo sensor; allowed missing-sample fraction; clipping rule; minimum signal duration; processing latency; maximum UI memory footprint; data-integrity/checksum behavior; numerical tolerance của algorithm; và policy khi QC không đạt.</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4997"/>
        <w:gridCol w:w="4997"/>
      </w:tblGrid>
      <w:tr>
        <w:trPr>
          <w:tblHeader w:val="true"/>
          <w:cantSplit/>
        </w:trPr>
        <w:tc>
          <w:tcPr>
            <w:tcW w:type="dxa" w:w="194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Khu vực</w:t>
            </w:r>
          </w:p>
        </w:tc>
        <w:tc>
          <w:tcPr>
            <w:tcW w:type="dxa" w:w="8424"/>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Cách kiểm chứng mong muốn</w:t>
            </w:r>
          </w:p>
        </w:tc>
      </w:tr>
      <w:tr>
        <w:trPr>
          <w:cantSplit/>
        </w:trPr>
        <w:tc>
          <w:tcPr>
            <w:tcW w:type="dxa" w:w="194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Sampling</w:t>
            </w:r>
          </w:p>
        </w:tc>
        <w:tc>
          <w:tcPr>
            <w:tcW w:type="dxa" w:w="842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Fixture/tín hiệu kiểm thử có timestamp; đo sample rate thực; kiểm tra drift, packet drop, duplicate/reordered timestamps và reconnect.</w:t>
            </w:r>
          </w:p>
        </w:tc>
      </w:tr>
      <w:tr>
        <w:trPr>
          <w:cantSplit/>
        </w:trPr>
        <w:tc>
          <w:tcPr>
            <w:tcW w:type="dxa" w:w="194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Frequency response</w:t>
            </w:r>
          </w:p>
        </w:tc>
        <w:tc>
          <w:tcPr>
            <w:tcW w:type="dxa" w:w="842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Tạo tín hiệu tổng hợp với thành phần tần số đã biết; xác nhận pipeline không loại dải mục tiêu ngoài thiết kế; xác minh filter response và band-power.</w:t>
            </w:r>
          </w:p>
        </w:tc>
      </w:tr>
      <w:tr>
        <w:trPr>
          <w:cantSplit/>
        </w:trPr>
        <w:tc>
          <w:tcPr>
            <w:tcW w:type="dxa" w:w="194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TBR/NPI</w:t>
            </w:r>
          </w:p>
        </w:tc>
        <w:tc>
          <w:tcPr>
            <w:tcW w:type="dxa" w:w="842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Unit tests cho biên dải, trường hợp zero denominator, NaN/Inf, tín hiệu quá ngắn, dữ liệu không hợp lệ và version migration. Công thức phải theo định nghĩa đã được phê duyệt.</w:t>
            </w:r>
          </w:p>
        </w:tc>
      </w:tr>
      <w:tr>
        <w:trPr>
          <w:cantSplit/>
        </w:trPr>
        <w:tc>
          <w:tcPr>
            <w:tcW w:type="dxa" w:w="194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Data provenance</w:t>
            </w:r>
          </w:p>
        </w:tc>
        <w:tc>
          <w:tcPr>
            <w:tcW w:type="dxa" w:w="842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Sửa/sao chép/export một session vẫn mang đúng source mode, sensor profile, pipeline version và raw-data hash/reference.</w:t>
            </w:r>
          </w:p>
        </w:tc>
      </w:tr>
      <w:tr>
        <w:trPr>
          <w:cantSplit/>
        </w:trPr>
        <w:tc>
          <w:tcPr>
            <w:tcW w:type="dxa" w:w="194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Simulation safety</w:t>
            </w:r>
          </w:p>
        </w:tc>
        <w:tc>
          <w:tcPr>
            <w:tcW w:type="dxa" w:w="842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Bất kỳ đường export/history/report nào từ simulated record phải có marker; simulated records không xuất hiện trong cohort real-data mặc định.</w:t>
            </w:r>
          </w:p>
        </w:tc>
      </w:tr>
      <w:tr>
        <w:trPr>
          <w:cantSplit/>
        </w:trPr>
        <w:tc>
          <w:tcPr>
            <w:tcW w:type="dxa" w:w="194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Failure recovery</w:t>
            </w:r>
          </w:p>
        </w:tc>
        <w:tc>
          <w:tcPr>
            <w:tcW w:type="dxa" w:w="8424"/>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Rút cáp, dừng app bất ngờ, disk full hoặc write failure không làm mất im lặng trạng thái; recovery behavior phải có test.</w:t>
            </w:r>
          </w:p>
        </w:tc>
      </w:tr>
      <w:tr>
        <w:trPr>
          <w:cantSplit/>
        </w:trPr>
        <w:tc>
          <w:tcPr>
            <w:tcW w:type="dxa" w:w="194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Reproducibility</w:t>
            </w:r>
          </w:p>
        </w:tc>
        <w:tc>
          <w:tcPr>
            <w:tcW w:type="dxa" w:w="8424"/>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Chạy lại cùng raw data bằng cùng release/config tạo cùng kết quả trong tolerance đã định; thay version tạo processing run mới chứ không ghi đè.</w:t>
            </w:r>
          </w:p>
        </w:tc>
      </w:tr>
    </w:tbl>
    <w:p>
      <w:pPr>
        <w:widowControl/>
        <w:spacing w:after="20"/>
      </w:pPr>
    </w:p>
    <w:p>
      <w:pPr>
        <w:pStyle w:val="Heading2"/>
        <w:widowControl/>
      </w:pPr>
      <w:r>
        <w:t>10.3. Definition of Done cho một thay đổi</w:t>
      </w:r>
    </w:p>
    <w:p>
      <w:pPr>
        <w:pStyle w:val="ListBullet"/>
        <w:widowControl/>
        <w:spacing w:after="44"/>
        <w:ind w:left="317" w:hanging="173"/>
      </w:pPr>
      <w:r>
        <w:t>Có mục tiêu và yêu cầu rõ; không thay đổi intended use hoặc diễn giải y khoa ngoài phạm vi được duyệt.</w:t>
      </w:r>
    </w:p>
    <w:p>
      <w:pPr>
        <w:pStyle w:val="ListBullet"/>
        <w:widowControl/>
        <w:spacing w:after="44"/>
        <w:ind w:left="317" w:hanging="173"/>
      </w:pPr>
      <w:r>
        <w:t>Có implementation nhỏ nhất phù hợp; cập nhật typing/schema/documentation và error states khi cần.</w:t>
      </w:r>
    </w:p>
    <w:p>
      <w:pPr>
        <w:pStyle w:val="ListBullet"/>
        <w:widowControl/>
        <w:spacing w:after="44"/>
        <w:ind w:left="317" w:hanging="173"/>
      </w:pPr>
      <w:r>
        <w:t>Tests mới và tests liên quan đều pass; test hồi quy xác nhận các workflow cũ quan trọng không hỏng.</w:t>
      </w:r>
    </w:p>
    <w:p>
      <w:pPr>
        <w:pStyle w:val="ListBullet"/>
        <w:widowControl/>
        <w:spacing w:after="44"/>
        <w:ind w:left="317" w:hanging="173"/>
      </w:pPr>
      <w:r>
        <w:t>Không có secret, raw health data hoặc PII trong log/fixture/repository; dependency changes được ghi rõ.</w:t>
      </w:r>
    </w:p>
    <w:p>
      <w:pPr>
        <w:pStyle w:val="ListBullet"/>
        <w:widowControl/>
        <w:spacing w:after="44"/>
        <w:ind w:left="317" w:hanging="173"/>
      </w:pPr>
      <w:r>
        <w:t>UI states, units, sensor/source provenance và caveats hiển thị đúng; không có biểu đồ hoặc metric giả mạo khi thiếu dữ liệu.</w:t>
      </w:r>
    </w:p>
    <w:p>
      <w:pPr>
        <w:pStyle w:val="ListBullet"/>
        <w:widowControl/>
        <w:spacing w:after="44"/>
        <w:ind w:left="317" w:hanging="173"/>
      </w:pPr>
      <w:r>
        <w:t>Có note về cách kiểm tra thủ công, known limitations, migration/rollback nếu thay schema hoặc format.</w:t>
      </w:r>
    </w:p>
    <w:p>
      <w:pPr>
        <w:pStyle w:val="ListBullet"/>
        <w:widowControl/>
        <w:spacing w:after="44"/>
        <w:ind w:left="317" w:hanging="173"/>
      </w:pPr>
      <w:r>
        <w:t>Kết quả được kiểm tra với một bộ fixture đại diện và code diff được rà soát trước khi kết luận hoàn tất.</w:t>
      </w:r>
    </w:p>
    <w:p>
      <w:pPr>
        <w:pStyle w:val="Heading1"/>
        <w:widowControl/>
      </w:pPr>
      <w:r>
        <w:t>11. Lộ trình triển khai và cổng kiểm soát</w:t>
      </w:r>
    </w:p>
    <w:p>
      <w:pPr>
        <w:widowControl/>
      </w:pPr>
      <w:r>
        <w:t>Lộ trình bên dưới là trình tự đề xuất, không phải lịch cam kết. Mỗi giai đoạn chỉ bắt đầu khi kết quả giai đoạn trước được báo cáo. Antigravity nên chạy theo các batch nhỏ có test/rollback, tránh đồng thời thay UI framework, storage, DSP và serial protocol.</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180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Giai đoạn</w:t>
            </w:r>
          </w:p>
        </w:tc>
        <w:tc>
          <w:tcPr>
            <w:tcW w:type="dxa" w:w="432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Việc cần làm</w:t>
            </w:r>
          </w:p>
        </w:tc>
        <w:tc>
          <w:tcPr>
            <w:tcW w:type="dxa" w:w="4248"/>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Đầu ra bắt buộc / gate</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0 — Audit hiện trạng</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Inspect repo, run app, inventory features/pages/modules, inspect data path/protocol, dependencies, tests, Git changes and actual UX.</w:t>
            </w:r>
          </w:p>
        </w:tc>
        <w:tc>
          <w:tcPr>
            <w:tcW w:type="dxa" w:w="424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Current-state report: verified/partial/missing/broken; architecture diagram; top risks; no broad refactor before report.</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1 — Stabilize baseline</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Reproduce setup; pin dependencies; repair obvious runtime errors; establish tests/fixtures/logging; freeze a known-good baseline.</w:t>
            </w:r>
          </w:p>
        </w:tc>
        <w:tc>
          <w:tcPr>
            <w:tcW w:type="dxa" w:w="42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Clean start instructions; smoke test; baseline test suite; backup/commit/tag or other reversible checkpoint.</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2 — Data contract &amp; dual sensor</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Introduce typed sensor profiles/adapters and unified session envelope while retaining sensor-specific raw semantics.</w:t>
            </w:r>
          </w:p>
        </w:tc>
        <w:tc>
          <w:tcPr>
            <w:tcW w:type="dxa" w:w="424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Both adapters can be tested independently; synthetic or fixture streams pass parser/QC; metadata persisted with source and units.</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3 — Signal analysis correctness</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Audit actual filter/PSD/TBR/NPI code; resolve config inconsistencies; version pipeline; build numerical fixtures and invalid-data gates.</w:t>
            </w:r>
          </w:p>
        </w:tc>
        <w:tc>
          <w:tcPr>
            <w:tcW w:type="dxa" w:w="42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Documented equations/config; verified band calculations; invalid/insufficient data cannot create misleading metrics.</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4 — Dashboard workflow &amp; UX</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Improve Live, Signal Lab, Benchmark, Simulation, History, reports and error states using target IA.</w:t>
            </w:r>
          </w:p>
        </w:tc>
        <w:tc>
          <w:tcPr>
            <w:tcW w:type="dxa" w:w="424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End-to-end flows work; data mode separation holds through export; usability issues and UI regression tests addressed.</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5 — Reliability &amp; governance</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Roles if needed, audit trails, data management, backup/restore, dependency/security checks, performance profiling.</w:t>
            </w:r>
          </w:p>
        </w:tc>
        <w:tc>
          <w:tcPr>
            <w:tcW w:type="dxa" w:w="42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Threat/risk register, access model, recovery test, no critical known failures in defined test scope.</w:t>
            </w:r>
          </w:p>
        </w:tc>
      </w:tr>
      <w:tr>
        <w:trPr>
          <w:cantSplit/>
        </w:trPr>
        <w:tc>
          <w:tcPr>
            <w:tcW w:type="dxa" w:w="18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6 — Research/clinical evidence pathway</w:t>
            </w:r>
          </w:p>
        </w:tc>
        <w:tc>
          <w:tcPr>
            <w:tcW w:type="dxa" w:w="432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Define protocol, collect appropriately governed data, verify scientific claims, clinical/statistical analysis, regulatory pathway review.</w:t>
            </w:r>
          </w:p>
        </w:tc>
        <w:tc>
          <w:tcPr>
            <w:tcW w:type="dxa" w:w="4248"/>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Separate research evidence report; no claims exceed the evidence or applicable authorization.</w:t>
            </w:r>
          </w:p>
        </w:tc>
      </w:tr>
      <w:tr>
        <w:trPr>
          <w:cantSplit/>
        </w:trPr>
        <w:tc>
          <w:tcPr>
            <w:tcW w:type="dxa" w:w="18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7 — Commercial readiness</w:t>
            </w:r>
          </w:p>
        </w:tc>
        <w:tc>
          <w:tcPr>
            <w:tcW w:type="dxa" w:w="432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Market-specific compliance, QMS, validation/usability evidence, deployment/support/monitoring and lifecycle management.</w:t>
            </w:r>
          </w:p>
        </w:tc>
        <w:tc>
          <w:tcPr>
            <w:tcW w:type="dxa" w:w="4248"/>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Formal release gates and legal/regulatory review; cannot be achieved by coding alone.</w:t>
            </w:r>
          </w:p>
        </w:tc>
      </w:tr>
    </w:tbl>
    <w:p>
      <w:pPr>
        <w:widowControl/>
        <w:spacing w:after="20"/>
      </w:pPr>
    </w:p>
    <w:p>
      <w:pPr>
        <w:pStyle w:val="Heading2"/>
        <w:widowControl/>
      </w:pPr>
      <w:r>
        <w:t>11.1. Thứ tự ưu tiên thực tế</w:t>
      </w:r>
    </w:p>
    <w:p>
      <w:pPr>
        <w:widowControl/>
      </w:pPr>
      <w:r>
        <w:t>Nếu thời gian có hạn, ưu tiên theo thứ tự: (1) xác nhận dữ liệu vào và sample rate thật; (2) làm đúng data contract/units và QC; (3) xác minh pipeline/metric; (4) tách dữ liệu thật/benchmark/mô phỏng; (5) ổn định session lifecycle và export; (6) UX polish; (7) tính năng nâng cao. Một dashboard đẹp nhưng dữ liệu sai hoặc không truy vết được không đáp ứng mục tiêu NeuroPulse.</w:t>
      </w:r>
    </w:p>
    <w:p>
      <w:pPr>
        <w:pStyle w:val="Heading2"/>
        <w:widowControl/>
      </w:pPr>
      <w:r>
        <w:t>11.2. Báo cáo tiến độ Antigravity phải cung cấp</w:t>
      </w:r>
    </w:p>
    <w:p>
      <w:pPr>
        <w:pStyle w:val="ListBullet"/>
        <w:widowControl/>
        <w:spacing w:after="44"/>
        <w:ind w:left="317" w:hanging="173"/>
      </w:pPr>
      <w:r>
        <w:t>Bảng trạng thái requirement: Existing &amp; verified / Partial / Missing / Defect / Blocked / Not applicable, kèm file/module hoặc bằng chứng cụ thể.</w:t>
      </w:r>
    </w:p>
    <w:p>
      <w:pPr>
        <w:pStyle w:val="ListBullet"/>
        <w:widowControl/>
        <w:spacing w:after="44"/>
        <w:ind w:left="317" w:hanging="173"/>
      </w:pPr>
      <w:r>
        <w:t>Danh sách files changed và lý do cho từng nhóm thay đổi; dependency thay đổi; schema/API/serial compatibility impact.</w:t>
      </w:r>
    </w:p>
    <w:p>
      <w:pPr>
        <w:pStyle w:val="ListBullet"/>
        <w:widowControl/>
        <w:spacing w:after="44"/>
        <w:ind w:left="317" w:hanging="173"/>
      </w:pPr>
      <w:r>
        <w:t>Tests đã chạy và kết quả; tests chưa chạy và lý do; vấn đề còn lại/assumptions.</w:t>
      </w:r>
    </w:p>
    <w:p>
      <w:pPr>
        <w:pStyle w:val="ListBullet"/>
        <w:widowControl/>
        <w:spacing w:after="44"/>
        <w:ind w:left="317" w:hanging="173"/>
      </w:pPr>
      <w:r>
        <w:t>Những quyết định có ảnh hưởng science/data/medical claims cần owner phê duyệt; không tự quyết thay người phụ trách khoa học.</w:t>
      </w:r>
    </w:p>
    <w:p>
      <w:pPr>
        <w:pStyle w:val="ListBullet"/>
        <w:widowControl/>
        <w:spacing w:after="44"/>
        <w:ind w:left="317" w:hanging="173"/>
      </w:pPr>
      <w:r>
        <w:t>Known limitations và đề xuất bước tiếp theo có ưu tiên, không báo “100% hoàn thiện” nếu còn gate chưa đạt.</w:t>
      </w:r>
    </w:p>
    <w:p>
      <w:pPr>
        <w:pStyle w:val="Heading1"/>
        <w:widowControl/>
      </w:pPr>
      <w:r>
        <w:t>12. Prompt triển khai trực tiếp cho Antigravity</w:t>
      </w:r>
    </w:p>
    <w:tbl>
      <w:tblPr>
        <w:tblW w:type="auto" w:w="0"/>
        <w:jc w:val="center"/>
        <w:tblLayout w:type="fixed"/>
        <w:tblLook w:firstColumn="1" w:firstRow="1" w:lastColumn="0" w:lastRow="0" w:noHBand="0" w:noVBand="1" w:val="04A0"/>
        <w:tblBorders>
          <w:top w:val="single" w:sz="0" w:space="0" w:color="E6F4F2"/>
          <w:left w:val="single" w:sz="0" w:space="0" w:color="E6F4F2"/>
          <w:bottom w:val="single" w:sz="0" w:space="0" w:color="E6F4F2"/>
          <w:right w:val="single" w:sz="0" w:space="0" w:color="E6F4F2"/>
          <w:insideH w:val="single" w:sz="0" w:space="0" w:color="E6F4F2"/>
          <w:insideV w:val="single" w:sz="0" w:space="0" w:color="E6F4F2"/>
        </w:tblBorders>
      </w:tblPr>
      <w:tblGrid>
        <w:gridCol w:w="9994"/>
      </w:tblGrid>
      <w:tr>
        <w:tc>
          <w:tcPr>
            <w:tcW w:type="dxa" w:w="9994"/>
            <w:shd w:fill="E6F4F2"/>
            <w:tcMar>
              <w:top w:w="130" w:type="dxa"/>
              <w:start w:w="170" w:type="dxa"/>
              <w:bottom w:w="130" w:type="dxa"/>
              <w:end w:w="170" w:type="dxa"/>
            </w:tcMar>
          </w:tcPr>
          <w:p>
            <w:pPr>
              <w:widowControl/>
              <w:spacing w:after="60"/>
            </w:pPr>
            <w:r/>
            <w:r>
              <w:rPr>
                <w:rFonts w:ascii="Aptos" w:hAnsi="Aptos"/>
                <w:b/>
                <w:color w:val="0F6868"/>
                <w:sz w:val="18"/>
              </w:rPr>
              <w:t>CÁCH DÙNG</w:t>
            </w:r>
          </w:p>
          <w:p>
            <w:pPr>
              <w:widowControl/>
              <w:spacing w:after="0" w:line="252" w:lineRule="auto"/>
            </w:pPr>
            <w:r>
              <w:rPr>
                <w:rFonts w:ascii="Aptos" w:hAnsi="Aptos"/>
                <w:color w:val="233446"/>
                <w:sz w:val="17"/>
              </w:rPr>
              <w:t>Đưa toàn bộ phần bên dưới cùng repository/workspace hiện tại cho Antigravity. Đây là prompt có chỉ thị kiểm tra hiện trạng trước khi sửa; không cần bạn tự khai báo app đã dev đến đâu.</w:t>
            </w:r>
          </w:p>
        </w:tc>
      </w:tr>
    </w:tbl>
    <w:p>
      <w:pPr>
        <w:widowControl/>
        <w:spacing w:after="20"/>
      </w:pPr>
    </w:p>
    <w:p>
      <w:pPr>
        <w:pStyle w:val="Heading2"/>
        <w:widowControl/>
      </w:pPr>
      <w:r>
        <w:t>ROLE &amp; MISSION</w:t>
      </w:r>
    </w:p>
    <w:p>
      <w:pPr>
        <w:pStyle w:val="CodeBlock"/>
        <w:spacing w:before="60" w:after="120"/>
        <w:ind w:left="173" w:right="173"/>
        <w:shd w:fill="F4F7FA"/>
        <w:widowControl/>
        <w:pBdr>
          <w:left w:val="single" w:sz="18" w:space="5" w:color="178A8A"/>
        </w:pBdr>
      </w:pPr>
      <w:r>
        <w:rPr>
          <w:rFonts w:ascii="Consolas" w:hAnsi="Consolas"/>
          <w:color w:val="233446"/>
          <w:sz w:val="15"/>
        </w:rPr>
        <w:t>You are the senior software architect, Python signal-processing engineer, product designer, QA lead, and medical-software engineering advisor for NeuroPulse. Your task is to inspect the actual repository and progressively align the existing dashboard with the target direction in the attached “NeuroPulse Dashboard Software Master Blueprint”. Do not assume that the current repository matches the project description or that any feature is missing before you inspect it.</w:t>
      </w:r>
    </w:p>
    <w:p>
      <w:pPr>
        <w:pStyle w:val="Heading2"/>
        <w:widowControl/>
      </w:pPr>
      <w:r>
        <w:t>NON-NEGOTIABLE WORKING RULES</w:t>
      </w:r>
    </w:p>
    <w:p>
      <w:pPr>
        <w:pStyle w:val="CodeBlock"/>
        <w:spacing w:before="60" w:after="120"/>
        <w:ind w:left="173" w:right="173"/>
        <w:shd w:fill="F4F7FA"/>
        <w:widowControl/>
        <w:pBdr>
          <w:left w:val="single" w:sz="18" w:space="5" w:color="178A8A"/>
        </w:pBdr>
      </w:pPr>
      <w:r>
        <w:rPr>
          <w:rFonts w:ascii="Consolas" w:hAnsi="Consolas"/>
          <w:color w:val="233446"/>
          <w:sz w:val="15"/>
        </w:rPr>
        <w:t>1. Inspect before editing. Start with repository tree, README, entry points, pages/components, signal-processing modules, firmware/serial protocol artifacts, dependency files, tests, configuration, data examples, current Git status and uncommitted changes. Run the application and tests if safe and feasible.</w:t>
      </w:r>
      <w:r>
        <w:br/>
      </w:r>
      <w:r>
        <w:rPr>
          <w:rFonts w:ascii="Consolas" w:hAnsi="Consolas"/>
          <w:color w:val="233446"/>
          <w:sz w:val="15"/>
        </w:rPr>
        <w:t>2. Preserve working functionality. Do not rewrite the app or migrate its framework just because another stack is listed in the blueprint. Make a change only when tied to a verified defect, requirement gap, maintainability issue, security risk or performance bottleneck.</w:t>
      </w:r>
      <w:r>
        <w:br/>
      </w:r>
      <w:r>
        <w:rPr>
          <w:rFonts w:ascii="Consolas" w:hAnsi="Consolas"/>
          <w:color w:val="233446"/>
          <w:sz w:val="15"/>
        </w:rPr>
        <w:t>3. Never delete or overwrite user changes, raw data, configuration, datasets, environment files, migrations, or firmware protocol assumptions without explicit evidence and a reversible plan. If Git has uncommitted user work, preserve it.</w:t>
      </w:r>
      <w:r>
        <w:br/>
      </w:r>
      <w:r>
        <w:rPr>
          <w:rFonts w:ascii="Consolas" w:hAnsi="Consolas"/>
          <w:color w:val="233446"/>
          <w:sz w:val="15"/>
        </w:rPr>
        <w:t>4. Work in small phases. After each phase, run tests/smoke checks, summarize the diff, document residual risks, and keep the app runnable. Create a rollback/checkpoint where the workflow supports it.</w:t>
      </w:r>
      <w:r>
        <w:br/>
      </w:r>
      <w:r>
        <w:rPr>
          <w:rFonts w:ascii="Consolas" w:hAnsi="Consolas"/>
          <w:color w:val="233446"/>
          <w:sz w:val="15"/>
        </w:rPr>
        <w:t>5. Do not invent scientific claims, NPI formula details, thresholds, calibration values, sensor sample rates or clinically meaningful output. Search the repository and project documents; where missing/conflicting, record the gap and propose a question/decision for the project owner.</w:t>
      </w:r>
      <w:r>
        <w:br/>
      </w:r>
      <w:r>
        <w:rPr>
          <w:rFonts w:ascii="Consolas" w:hAnsi="Consolas"/>
          <w:color w:val="233446"/>
          <w:sz w:val="15"/>
        </w:rPr>
        <w:t>6. Do not represent NeuroPulse as clinically validated or capable of diagnosing/predicting Parkinson’s unless valid evidence and applicable authorization support that exact intended use.</w:t>
      </w:r>
    </w:p>
    <w:p>
      <w:pPr>
        <w:pStyle w:val="Heading2"/>
        <w:widowControl/>
      </w:pPr>
      <w:r>
        <w:t>PHASE A — REPOSITORY AUDIT, NO BROAD REFACTOR YET</w:t>
      </w:r>
    </w:p>
    <w:p>
      <w:pPr>
        <w:pStyle w:val="CodeBlock"/>
        <w:spacing w:before="60" w:after="120"/>
        <w:ind w:left="173" w:right="173"/>
        <w:shd w:fill="F4F7FA"/>
        <w:widowControl/>
        <w:pBdr>
          <w:left w:val="single" w:sz="18" w:space="5" w:color="178A8A"/>
        </w:pBdr>
      </w:pPr>
      <w:r>
        <w:rPr>
          <w:rFonts w:ascii="Consolas" w:hAnsi="Consolas"/>
          <w:color w:val="233446"/>
          <w:sz w:val="15"/>
        </w:rPr>
        <w:t>Produce a concise but evidence-based audit before implementing large changes. Include:</w:t>
      </w:r>
      <w:r>
        <w:br/>
      </w:r>
      <w:r>
        <w:rPr>
          <w:rFonts w:ascii="Consolas" w:hAnsi="Consolas"/>
          <w:color w:val="233446"/>
          <w:sz w:val="15"/>
        </w:rPr>
        <w:t>- actual app entrypoint and run command;</w:t>
      </w:r>
      <w:r>
        <w:br/>
      </w:r>
      <w:r>
        <w:rPr>
          <w:rFonts w:ascii="Consolas" w:hAnsi="Consolas"/>
          <w:color w:val="233446"/>
          <w:sz w:val="15"/>
        </w:rPr>
        <w:t>- stack, runtime, dependencies and versions;</w:t>
      </w:r>
      <w:r>
        <w:br/>
      </w:r>
      <w:r>
        <w:rPr>
          <w:rFonts w:ascii="Consolas" w:hAnsi="Consolas"/>
          <w:color w:val="233446"/>
          <w:sz w:val="15"/>
        </w:rPr>
        <w:t>- pages/screens and what each currently does;</w:t>
      </w:r>
      <w:r>
        <w:br/>
      </w:r>
      <w:r>
        <w:rPr>
          <w:rFonts w:ascii="Consolas" w:hAnsi="Consolas"/>
          <w:color w:val="233446"/>
          <w:sz w:val="15"/>
        </w:rPr>
        <w:t>- end-to-end data path from device/import/simulator to plots, metrics, storage and export;</w:t>
      </w:r>
      <w:r>
        <w:br/>
      </w:r>
      <w:r>
        <w:rPr>
          <w:rFonts w:ascii="Consolas" w:hAnsi="Consolas"/>
          <w:color w:val="233446"/>
          <w:sz w:val="15"/>
        </w:rPr>
        <w:t>- current sensor assumptions, serial schema/protocol, units, sample rate, timestamp behavior, reconnect and parsing;</w:t>
      </w:r>
      <w:r>
        <w:br/>
      </w:r>
      <w:r>
        <w:rPr>
          <w:rFonts w:ascii="Consolas" w:hAnsi="Consolas"/>
          <w:color w:val="233446"/>
          <w:sz w:val="15"/>
        </w:rPr>
        <w:t>- actual filters, PSD/FFT/Welch settings, TBR/NPI formulas, defaults and thresholds found in code;</w:t>
      </w:r>
      <w:r>
        <w:br/>
      </w:r>
      <w:r>
        <w:rPr>
          <w:rFonts w:ascii="Consolas" w:hAnsi="Consolas"/>
          <w:color w:val="233446"/>
          <w:sz w:val="15"/>
        </w:rPr>
        <w:t>- storage schema/formats and source-mode separation;</w:t>
      </w:r>
      <w:r>
        <w:br/>
      </w:r>
      <w:r>
        <w:rPr>
          <w:rFonts w:ascii="Consolas" w:hAnsi="Consolas"/>
          <w:color w:val="233446"/>
          <w:sz w:val="15"/>
        </w:rPr>
        <w:t>- current tests, tests missing, known failures and reproducibility risks;</w:t>
      </w:r>
      <w:r>
        <w:br/>
      </w:r>
      <w:r>
        <w:rPr>
          <w:rFonts w:ascii="Consolas" w:hAnsi="Consolas"/>
          <w:color w:val="233446"/>
          <w:sz w:val="15"/>
        </w:rPr>
        <w:t>- UX, accessibility, security/privacy and deployment gaps;</w:t>
      </w:r>
      <w:r>
        <w:br/>
      </w:r>
      <w:r>
        <w:rPr>
          <w:rFonts w:ascii="Consolas" w:hAnsi="Consolas"/>
          <w:color w:val="233446"/>
          <w:sz w:val="15"/>
        </w:rPr>
        <w:t>- a matrix marking each blueprint item Existing &amp; verified / Existing but fragile / Partial / Missing / Defect / Blocked / Not applicable, with concrete file paths/evidence.</w:t>
      </w:r>
      <w:r>
        <w:br/>
      </w:r>
      <w:r>
        <w:rPr>
          <w:rFonts w:ascii="Consolas" w:hAnsi="Consolas"/>
          <w:color w:val="233446"/>
          <w:sz w:val="15"/>
        </w:rPr>
        <w:t>Do not claim a feature exists based only on a label or placeholder; verify behavior through code and, when possible, runtime test.</w:t>
      </w:r>
    </w:p>
    <w:p>
      <w:pPr>
        <w:pStyle w:val="Heading2"/>
        <w:widowControl/>
      </w:pPr>
      <w:r>
        <w:t>PHASE B — BASELINE &amp; RISK REGISTER</w:t>
      </w:r>
    </w:p>
    <w:p>
      <w:pPr>
        <w:pStyle w:val="CodeBlock"/>
        <w:spacing w:before="60" w:after="120"/>
        <w:ind w:left="173" w:right="173"/>
        <w:shd w:fill="F4F7FA"/>
        <w:widowControl/>
        <w:pBdr>
          <w:left w:val="single" w:sz="18" w:space="5" w:color="178A8A"/>
        </w:pBdr>
      </w:pPr>
      <w:r>
        <w:rPr>
          <w:rFonts w:ascii="Consolas" w:hAnsi="Consolas"/>
          <w:color w:val="233446"/>
          <w:sz w:val="15"/>
        </w:rPr>
        <w:t>Before substantive refactoring, establish a reproducible baseline: dependencies, setup instructions, smoke test, current automated tests, known-good app launch, and a concise change/rollback strategy. Create a prioritized risk register covering data integrity, science/algorithm correctness, sensor compatibility, session failure/recovery, simulation contamination, security/privacy, and usability. Separate confirmed defects from assumptions and design opportunities.</w:t>
      </w:r>
    </w:p>
    <w:p>
      <w:pPr>
        <w:pStyle w:val="Heading2"/>
        <w:widowControl/>
      </w:pPr>
      <w:r>
        <w:t>PHASE C — DUAL-SENSOR ARCHITECTURE</w:t>
      </w:r>
    </w:p>
    <w:p>
      <w:pPr>
        <w:pStyle w:val="CodeBlock"/>
        <w:spacing w:before="60" w:after="120"/>
        <w:ind w:left="173" w:right="173"/>
        <w:shd w:fill="F4F7FA"/>
        <w:widowControl/>
        <w:pBdr>
          <w:left w:val="single" w:sz="18" w:space="5" w:color="178A8A"/>
        </w:pBdr>
      </w:pPr>
      <w:r>
        <w:rPr>
          <w:rFonts w:ascii="Consolas" w:hAnsi="Consolas"/>
          <w:color w:val="233446"/>
          <w:sz w:val="15"/>
        </w:rPr>
        <w:t>Design or improve a modular sensor adapter layer for both configurations:</w:t>
      </w:r>
      <w:r>
        <w:br/>
      </w:r>
      <w:r>
        <w:rPr>
          <w:rFonts w:ascii="Consolas" w:hAnsi="Consolas"/>
          <w:color w:val="233446"/>
          <w:sz w:val="15"/>
        </w:rPr>
        <w:t>A. Piezo LDT0-028K + LM358 analog front-end + ESP32 ADC/Serial.</w:t>
      </w:r>
      <w:r>
        <w:br/>
      </w:r>
      <w:r>
        <w:rPr>
          <w:rFonts w:ascii="Consolas" w:hAnsi="Consolas"/>
          <w:color w:val="233446"/>
          <w:sz w:val="15"/>
        </w:rPr>
        <w:t>B. ADXL345 digital accelerometer + ESP32 DevKit.</w:t>
      </w:r>
      <w:r>
        <w:br/>
      </w:r>
      <w:r>
        <w:rPr>
          <w:rFonts w:ascii="Consolas" w:hAnsi="Consolas"/>
          <w:color w:val="233446"/>
          <w:sz w:val="15"/>
        </w:rPr>
        <w:t>A shared session envelope must preserve sensor-specific physical meaning. Capture sensor model/profile, unit, channel/axis, configured and observed sample rate/ODR, calibration/scale and relevant firmware/configuration metadata. Do not convert acceleration to piezo response or assume the same sampling rate. Keep raw samples immutable and create separate derived data for transformed signals. Do not break the currently working serial protocol without compatibility analysis and a migration/test plan. If actual firmware formats are absent, implement/test adapters with explicit sample fixtures rather than guessing live wire formats.</w:t>
      </w:r>
    </w:p>
    <w:p>
      <w:pPr>
        <w:pStyle w:val="Heading2"/>
        <w:widowControl/>
      </w:pPr>
      <w:r>
        <w:t>PHASE D — DATA QUALITY &amp; SIGNAL PROCESSING</w:t>
      </w:r>
    </w:p>
    <w:p>
      <w:pPr>
        <w:pStyle w:val="CodeBlock"/>
        <w:spacing w:before="60" w:after="120"/>
        <w:ind w:left="173" w:right="173"/>
        <w:shd w:fill="F4F7FA"/>
        <w:widowControl/>
        <w:pBdr>
          <w:left w:val="single" w:sz="18" w:space="5" w:color="178A8A"/>
        </w:pBdr>
      </w:pPr>
      <w:r>
        <w:rPr>
          <w:rFonts w:ascii="Consolas" w:hAnsi="Consolas"/>
          <w:color w:val="233446"/>
          <w:sz w:val="15"/>
        </w:rPr>
        <w:t>Audit the full processing pipeline. Make QC observable: timestamps, missing/dropped samples, sample-rate mismatch, clipping/saturation, flatline, insufficient length, malformed input and relevant artifacts. An invalid session may be retained for debugging if policy permits but must be marked invalid/needs-review and must not silently produce an interpretable result.</w:t>
      </w:r>
      <w:r>
        <w:br/>
      </w:r>
      <w:r>
        <w:rPr>
          <w:rFonts w:ascii="Consolas" w:hAnsi="Consolas"/>
          <w:color w:val="233446"/>
          <w:sz w:val="15"/>
        </w:rPr>
        <w:t>Keep the DSP core independent of UI. Version filter design/parameters, phase behavior, PSD/Welch settings, feature definitions and NPI/TBR computation. Use unit/golden tests with synthetic signals of known frequency and amplitude. Handle NaN/Inf, zero denominators, short windows, wrong units and empty data. Resolve the conflicting 1–20 Hz versus 5–20 Hz filter description only with documented owner-approved science/config decision; do not silently pick one. Do not assume ADXL345 provides 1000 Hz. Distinguish causal real-time filtering from offline zero-phase filtering. Plot downsampling may be used for display performance only; calculations must use the approved analysis data.</w:t>
      </w:r>
    </w:p>
    <w:p>
      <w:pPr>
        <w:pStyle w:val="Heading2"/>
        <w:widowControl/>
      </w:pPr>
      <w:r>
        <w:t>PHASE E — DASHBOARD WORKFLOWS</w:t>
      </w:r>
    </w:p>
    <w:p>
      <w:pPr>
        <w:pStyle w:val="CodeBlock"/>
        <w:spacing w:before="60" w:after="120"/>
        <w:ind w:left="173" w:right="173"/>
        <w:shd w:fill="F4F7FA"/>
        <w:widowControl/>
        <w:pBdr>
          <w:left w:val="single" w:sz="18" w:space="5" w:color="178A8A"/>
        </w:pBdr>
      </w:pPr>
      <w:r>
        <w:rPr>
          <w:rFonts w:ascii="Consolas" w:hAnsi="Consolas"/>
          <w:color w:val="233446"/>
          <w:sz w:val="15"/>
        </w:rPr>
        <w:t>Align existing navigation with the target information architecture where beneficial: Overview, Live Sensing, Signal Lab, Benchmark/Research, Simulation/Test, Sessions/History, Devices/Profiles, Reports/Export and Administration only as justified. Preserve existing useful screens when possible. Prioritize reliable session lifecycle, clear connection states, QC visibility, raw/processed/PSD views with 3–6 Hz highlighted where scientifically appropriate, data provenance, reproducible review, and exports with metadata. Every simulated screen/chart/metric/session/report/export must be marked “MÔ PHỎNG”; prevent simulated records from entering real-data analyses by default.</w:t>
      </w:r>
    </w:p>
    <w:p>
      <w:pPr>
        <w:pStyle w:val="Heading2"/>
        <w:widowControl/>
      </w:pPr>
      <w:r>
        <w:t>PHASE F — TECH STACK DECISIONS</w:t>
      </w:r>
    </w:p>
    <w:p>
      <w:pPr>
        <w:pStyle w:val="CodeBlock"/>
        <w:spacing w:before="60" w:after="120"/>
        <w:ind w:left="173" w:right="173"/>
        <w:shd w:fill="F4F7FA"/>
        <w:widowControl/>
        <w:pBdr>
          <w:left w:val="single" w:sz="18" w:space="5" w:color="178A8A"/>
        </w:pBdr>
      </w:pPr>
      <w:r>
        <w:rPr>
          <w:rFonts w:ascii="Consolas" w:hAnsi="Consolas"/>
          <w:color w:val="233446"/>
          <w:sz w:val="15"/>
        </w:rPr>
        <w:t>Recommend the smallest viable architecture based on verified needs. Streamlit may remain if it meets current research/local-device requirements. Consider FastAPI/React/TypeScript/PostgreSQL only when specific requirements justify separation, multi-user use, advanced interaction or hosted deployment. Use pySerial/local acquisition agent as appropriate for physical USB/COM access; a cloud-hosted browser app cannot automatically open a COM port on a user's local machine. Avoid premature microservices/Kubernetes/Redis/Celery. Pin dependencies and add tests/type validation/linting/CI in proportion to the project’s maturity. Document every major architecture decision, alternatives, migration risk and rollback option.</w:t>
      </w:r>
    </w:p>
    <w:p>
      <w:pPr>
        <w:pStyle w:val="Heading2"/>
        <w:widowControl/>
      </w:pPr>
      <w:r>
        <w:t>PHASE G — SECURITY, PRIVACY &amp; MEDICAL-SOFTWARE QUALITY</w:t>
      </w:r>
    </w:p>
    <w:p>
      <w:pPr>
        <w:pStyle w:val="CodeBlock"/>
        <w:spacing w:before="60" w:after="120"/>
        <w:ind w:left="173" w:right="173"/>
        <w:shd w:fill="F4F7FA"/>
        <w:widowControl/>
        <w:pBdr>
          <w:left w:val="single" w:sz="18" w:space="5" w:color="178A8A"/>
        </w:pBdr>
      </w:pPr>
      <w:r>
        <w:rPr>
          <w:rFonts w:ascii="Consolas" w:hAnsi="Consolas"/>
          <w:color w:val="233446"/>
          <w:sz w:val="15"/>
        </w:rPr>
        <w:t>Add security and privacy controls appropriate to the actual deployment and intended use: data minimization, pseudonymous IDs, role-based access if multi-user, secrets management, safe imports, log redaction, access/audit events for important actions, backups and tested restoration. Review current Vietnamese data protection requirements and target-market medical-device software requirements with qualified counsel/regulatory specialists; do not claim compliance based only on code changes. Use IEC 62304, ISO 14971, IEC 62366-1 and ISO 13485 as relevant engineering/quality reference frameworks, not as claims of certification. Keep intended-use boundaries and research-only caveats visible.</w:t>
      </w:r>
    </w:p>
    <w:p>
      <w:pPr>
        <w:pStyle w:val="Heading2"/>
        <w:widowControl/>
      </w:pPr>
      <w:r>
        <w:t>PHASE H — VERIFICATION &amp; DELIVERY</w:t>
      </w:r>
    </w:p>
    <w:p>
      <w:pPr>
        <w:pStyle w:val="CodeBlock"/>
        <w:spacing w:before="60" w:after="120"/>
        <w:ind w:left="173" w:right="173"/>
        <w:shd w:fill="F4F7FA"/>
        <w:widowControl/>
        <w:pBdr>
          <w:left w:val="single" w:sz="18" w:space="5" w:color="178A8A"/>
        </w:pBdr>
      </w:pPr>
      <w:r>
        <w:rPr>
          <w:rFonts w:ascii="Consolas" w:hAnsi="Consolas"/>
          <w:color w:val="233446"/>
          <w:sz w:val="15"/>
        </w:rPr>
        <w:t>Create/extend unit, integration, regression, golden-signal, import/export, session lifecycle, failure recovery and simulation-isolation tests. Define acceptance thresholds only where the project owner has approved them or the requirement is objectively supported; mark unresolved thresholds as open decisions. After each batch:</w:t>
      </w:r>
      <w:r>
        <w:br/>
      </w:r>
      <w:r>
        <w:rPr>
          <w:rFonts w:ascii="Consolas" w:hAnsi="Consolas"/>
          <w:color w:val="233446"/>
          <w:sz w:val="15"/>
        </w:rPr>
        <w:t>- run relevant tests and the app smoke test;</w:t>
      </w:r>
      <w:r>
        <w:br/>
      </w:r>
      <w:r>
        <w:rPr>
          <w:rFonts w:ascii="Consolas" w:hAnsi="Consolas"/>
          <w:color w:val="233446"/>
          <w:sz w:val="15"/>
        </w:rPr>
        <w:t>- report exact commands and outcomes;</w:t>
      </w:r>
      <w:r>
        <w:br/>
      </w:r>
      <w:r>
        <w:rPr>
          <w:rFonts w:ascii="Consolas" w:hAnsi="Consolas"/>
          <w:color w:val="233446"/>
          <w:sz w:val="15"/>
        </w:rPr>
        <w:t>- list files changed and why;</w:t>
      </w:r>
      <w:r>
        <w:br/>
      </w:r>
      <w:r>
        <w:rPr>
          <w:rFonts w:ascii="Consolas" w:hAnsi="Consolas"/>
          <w:color w:val="233446"/>
          <w:sz w:val="15"/>
        </w:rPr>
        <w:t>- state known issues, untested paths and assumptions;</w:t>
      </w:r>
      <w:r>
        <w:br/>
      </w:r>
      <w:r>
        <w:rPr>
          <w:rFonts w:ascii="Consolas" w:hAnsi="Consolas"/>
          <w:color w:val="233446"/>
          <w:sz w:val="15"/>
        </w:rPr>
        <w:t>- confirm no accidental edits to user data/secrets;</w:t>
      </w:r>
      <w:r>
        <w:br/>
      </w:r>
      <w:r>
        <w:rPr>
          <w:rFonts w:ascii="Consolas" w:hAnsi="Consolas"/>
          <w:color w:val="233446"/>
          <w:sz w:val="15"/>
        </w:rPr>
        <w:t>- update docs/architecture/decision log.</w:t>
      </w:r>
      <w:r>
        <w:br/>
      </w:r>
      <w:r>
        <w:rPr>
          <w:rFonts w:ascii="Consolas" w:hAnsi="Consolas"/>
          <w:color w:val="233446"/>
          <w:sz w:val="15"/>
        </w:rPr>
        <w:t>Do not say “100% done”, “medical-grade” or “commercial-ready” unless the corresponding agreed requirements and evidence gates actually pass.</w:t>
      </w:r>
    </w:p>
    <w:p>
      <w:pPr>
        <w:pStyle w:val="Heading2"/>
        <w:widowControl/>
      </w:pPr>
      <w:r>
        <w:t>FINAL OUTPUT REQUIRED</w:t>
      </w:r>
    </w:p>
    <w:p>
      <w:pPr>
        <w:pStyle w:val="CodeBlock"/>
        <w:spacing w:before="60" w:after="120"/>
        <w:ind w:left="173" w:right="173"/>
        <w:shd w:fill="F4F7FA"/>
        <w:widowControl/>
        <w:pBdr>
          <w:left w:val="single" w:sz="18" w:space="5" w:color="178A8A"/>
        </w:pBdr>
      </w:pPr>
      <w:r>
        <w:rPr>
          <w:rFonts w:ascii="Consolas" w:hAnsi="Consolas"/>
          <w:color w:val="233446"/>
          <w:sz w:val="15"/>
        </w:rPr>
        <w:t>Return an implementation report with: (1) current-state audit, (2) requirement compliance matrix, (3) high-risk defects and evidence, (4) changes implemented by phase, (5) test results, (6) architecture/stack decision rationale, (7) unresolved science/owner decisions, (8) security/privacy/regulatory gaps, (9) next prioritized actions and explicit acceptance criteria. Prefer verified partial completion and transparent gaps over superficial breadth or a wholesale rewrite.</w:t>
      </w:r>
    </w:p>
    <w:p>
      <w:pPr>
        <w:pStyle w:val="Heading1"/>
        <w:widowControl/>
      </w:pPr>
      <w:r>
        <w:t>13. Quyết định cần chủ dự án xác nhận</w:t>
      </w:r>
    </w:p>
    <w:p>
      <w:pPr>
        <w:widowControl/>
      </w:pPr>
      <w:r>
        <w:t>Antigravity phải phát hiện và ghi lại các quyết định này thay vì tự chọn đáp án nếu repository hoặc tài liệu hiện tại không đủ bằng chứng.</w:t>
      </w:r>
    </w:p>
    <w:tbl>
      <w:tblPr>
        <w:tblW w:type="auto" w:w="0"/>
        <w:jc w:val="center"/>
        <w:tblLayout w:type="fixed"/>
        <w:tblLook w:firstColumn="1" w:firstRow="1" w:lastColumn="0" w:lastRow="0" w:noHBand="0" w:noVBand="1" w:val="04A0"/>
        <w:tblBorders>
          <w:top w:val="single" w:sz="5" w:space="0" w:color="D7E1E8"/>
          <w:left w:val="single" w:sz="5" w:space="0" w:color="D7E1E8"/>
          <w:bottom w:val="single" w:sz="5" w:space="0" w:color="D7E1E8"/>
          <w:right w:val="single" w:sz="5" w:space="0" w:color="D7E1E8"/>
          <w:insideH w:val="single" w:sz="5" w:space="0" w:color="D7E1E8"/>
          <w:insideV w:val="single" w:sz="5" w:space="0" w:color="D7E1E8"/>
        </w:tblBorders>
      </w:tblPr>
      <w:tblGrid>
        <w:gridCol w:w="3331"/>
        <w:gridCol w:w="3331"/>
        <w:gridCol w:w="3331"/>
      </w:tblGrid>
      <w:tr>
        <w:trPr>
          <w:tblHeader w:val="true"/>
          <w:cantSplit/>
        </w:trPr>
        <w:tc>
          <w:tcPr>
            <w:tcW w:type="dxa" w:w="792"/>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ID</w:t>
            </w:r>
          </w:p>
        </w:tc>
        <w:tc>
          <w:tcPr>
            <w:tcW w:type="dxa" w:w="5400"/>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Câu hỏi/điểm cần chốt</w:t>
            </w:r>
          </w:p>
        </w:tc>
        <w:tc>
          <w:tcPr>
            <w:tcW w:type="dxa" w:w="4176"/>
            <w:vAlign w:val="center"/>
            <w:tcMar>
              <w:top w:w="80" w:type="dxa"/>
              <w:start w:w="95" w:type="dxa"/>
              <w:bottom w:w="80" w:type="dxa"/>
              <w:end w:w="95" w:type="dxa"/>
            </w:tcMar>
            <w:shd w:fill="142B45"/>
          </w:tcPr>
          <w:p>
            <w:pPr>
              <w:widowControl/>
              <w:spacing w:after="0" w:before="0" w:line="245" w:lineRule="auto"/>
            </w:pPr>
            <w:r/>
            <w:r>
              <w:rPr>
                <w:rFonts w:ascii="Aptos" w:hAnsi="Aptos"/>
                <w:b/>
                <w:color w:val="FFFFFF"/>
                <w:sz w:val="16"/>
              </w:rPr>
              <w:t>Vì sao quan trọng</w:t>
            </w:r>
          </w:p>
        </w:tc>
      </w:tr>
      <w:tr>
        <w:trPr>
          <w:cantSplit/>
        </w:trPr>
        <w:tc>
          <w:tcPr>
            <w:tcW w:type="dxa" w:w="79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D-01</w:t>
            </w:r>
          </w:p>
        </w:tc>
        <w:tc>
          <w:tcPr>
            <w:tcW w:type="dxa" w:w="54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Nguồn dữ liệu và wire protocol thực tế của từng cấu hình cảm biến là gì? Có tài liệu/firmware sample chuẩn không?</w:t>
            </w:r>
          </w:p>
        </w:tc>
        <w:tc>
          <w:tcPr>
            <w:tcW w:type="dxa" w:w="41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Tránh parser giả định sai format, unit hoặc packet boundary.</w:t>
            </w:r>
          </w:p>
        </w:tc>
      </w:tr>
      <w:tr>
        <w:trPr>
          <w:cantSplit/>
        </w:trPr>
        <w:tc>
          <w:tcPr>
            <w:tcW w:type="dxa" w:w="79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D-02</w:t>
            </w:r>
          </w:p>
        </w:tc>
        <w:tc>
          <w:tcPr>
            <w:tcW w:type="dxa" w:w="54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Mỗi cấu hình có sample rate/ODR và timestamp behavior đã đo xác nhận là bao nhiêu?</w:t>
            </w:r>
          </w:p>
        </w:tc>
        <w:tc>
          <w:tcPr>
            <w:tcW w:type="dxa" w:w="41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Tác động đến phổ, band power, duration và validity.</w:t>
            </w:r>
          </w:p>
        </w:tc>
      </w:tr>
      <w:tr>
        <w:trPr>
          <w:cantSplit/>
        </w:trPr>
        <w:tc>
          <w:tcPr>
            <w:tcW w:type="dxa" w:w="79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D-03</w:t>
            </w:r>
          </w:p>
        </w:tc>
        <w:tc>
          <w:tcPr>
            <w:tcW w:type="dxa" w:w="54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Filter chuẩn của nghiên cứu là 1–20 Hz hay 5–20 Hz? Có pipeline real-time và offline riêng không?</w:t>
            </w:r>
          </w:p>
        </w:tc>
        <w:tc>
          <w:tcPr>
            <w:tcW w:type="dxa" w:w="41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Xung đột trực tiếp với dải TBR 3–6 Hz.</w:t>
            </w:r>
          </w:p>
        </w:tc>
      </w:tr>
      <w:tr>
        <w:trPr>
          <w:cantSplit/>
        </w:trPr>
        <w:tc>
          <w:tcPr>
            <w:tcW w:type="dxa" w:w="79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D-04</w:t>
            </w:r>
          </w:p>
        </w:tc>
        <w:tc>
          <w:tcPr>
            <w:tcW w:type="dxa" w:w="54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Công thức NPI, scaling, guard conditions và ngưỡng 40/70 nào đã được xác nhận chính thức cho mục đích thử nghiệm?</w:t>
            </w:r>
          </w:p>
        </w:tc>
        <w:tc>
          <w:tcPr>
            <w:tcW w:type="dxa" w:w="41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Không nên suy diễn hoặc sửa công thức từ UI/slide.</w:t>
            </w:r>
          </w:p>
        </w:tc>
      </w:tr>
      <w:tr>
        <w:trPr>
          <w:cantSplit/>
        </w:trPr>
        <w:tc>
          <w:tcPr>
            <w:tcW w:type="dxa" w:w="79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D-05</w:t>
            </w:r>
          </w:p>
        </w:tc>
        <w:tc>
          <w:tcPr>
            <w:tcW w:type="dxa" w:w="54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Dashboard chỉ chạy local trên laptop, hay dự kiến multi-user/cloud ở giai đoạn gần?</w:t>
            </w:r>
          </w:p>
        </w:tc>
        <w:tc>
          <w:tcPr>
            <w:tcW w:type="dxa" w:w="41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Quyết định kiến trúc UI/API, serial bridge, DB, auth và deployment.</w:t>
            </w:r>
          </w:p>
        </w:tc>
      </w:tr>
      <w:tr>
        <w:trPr>
          <w:cantSplit/>
        </w:trPr>
        <w:tc>
          <w:tcPr>
            <w:tcW w:type="dxa" w:w="79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D-06</w:t>
            </w:r>
          </w:p>
        </w:tc>
        <w:tc>
          <w:tcPr>
            <w:tcW w:type="dxa" w:w="54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Dữ liệu benchmark lấy từ đâu, giấy phép/consent và schema/labels thế nào?</w:t>
            </w:r>
          </w:p>
        </w:tc>
        <w:tc>
          <w:tcPr>
            <w:tcW w:type="dxa" w:w="41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Ảnh hưởng đến tính hợp pháp, khả năng dùng, chất lượng khoa học và report.</w:t>
            </w:r>
          </w:p>
        </w:tc>
      </w:tr>
      <w:tr>
        <w:trPr>
          <w:cantSplit/>
        </w:trPr>
        <w:tc>
          <w:tcPr>
            <w:tcW w:type="dxa" w:w="79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D-07</w:t>
            </w:r>
          </w:p>
        </w:tc>
        <w:tc>
          <w:tcPr>
            <w:tcW w:type="dxa" w:w="54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Ai là người dùng chính ở MVP: developer/researcher hay operator/bác sĩ? Người nào có quyền xem/sửa/export?</w:t>
            </w:r>
          </w:p>
        </w:tc>
        <w:tc>
          <w:tcPr>
            <w:tcW w:type="dxa" w:w="41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Ảnh hưởng IA, UX, usability, access model.</w:t>
            </w:r>
          </w:p>
        </w:tc>
      </w:tr>
      <w:tr>
        <w:trPr>
          <w:cantSplit/>
        </w:trPr>
        <w:tc>
          <w:tcPr>
            <w:tcW w:type="dxa" w:w="79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D-08</w:t>
            </w:r>
          </w:p>
        </w:tc>
        <w:tc>
          <w:tcPr>
            <w:tcW w:type="dxa" w:w="54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Ngưỡng QC tối thiểu và điều kiện loại phiên đo được ai phê duyệt?</w:t>
            </w:r>
          </w:p>
        </w:tc>
        <w:tc>
          <w:tcPr>
            <w:tcW w:type="dxa" w:w="41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Cần để hệ thống phân biệt “có dữ liệu” với “dữ liệu đủ tin cậy”.</w:t>
            </w:r>
          </w:p>
        </w:tc>
      </w:tr>
      <w:tr>
        <w:trPr>
          <w:cantSplit/>
        </w:trPr>
        <w:tc>
          <w:tcPr>
            <w:tcW w:type="dxa" w:w="792"/>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D-09</w:t>
            </w:r>
          </w:p>
        </w:tc>
        <w:tc>
          <w:tcPr>
            <w:tcW w:type="dxa" w:w="5400"/>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Intended use và thị trường mục tiêu trong 12–24 tháng là gì?</w:t>
            </w:r>
          </w:p>
        </w:tc>
        <w:tc>
          <w:tcPr>
            <w:tcW w:type="dxa" w:w="4176"/>
            <w:vAlign w:val="center"/>
            <w:tcMar>
              <w:top w:w="80" w:type="dxa"/>
              <w:start w:w="95" w:type="dxa"/>
              <w:bottom w:w="80" w:type="dxa"/>
              <w:end w:w="95" w:type="dxa"/>
            </w:tcMar>
          </w:tcPr>
          <w:p>
            <w:pPr>
              <w:widowControl/>
              <w:spacing w:after="0" w:before="0" w:line="245" w:lineRule="auto"/>
            </w:pPr>
            <w:r/>
            <w:r>
              <w:rPr>
                <w:rFonts w:ascii="Aptos" w:hAnsi="Aptos"/>
                <w:b w:val="0"/>
                <w:color w:val="233446"/>
                <w:sz w:val="15"/>
              </w:rPr>
              <w:t>Cần để xác định lộ trình pháp lý/quality systems phù hợp.</w:t>
            </w:r>
          </w:p>
        </w:tc>
      </w:tr>
      <w:tr>
        <w:trPr>
          <w:cantSplit/>
        </w:trPr>
        <w:tc>
          <w:tcPr>
            <w:tcW w:type="dxa" w:w="792"/>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D-10</w:t>
            </w:r>
          </w:p>
        </w:tc>
        <w:tc>
          <w:tcPr>
            <w:tcW w:type="dxa" w:w="5400"/>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Data retention, offline operation, backup, consent withdrawal và deletion policy sẽ ra sao?</w:t>
            </w:r>
          </w:p>
        </w:tc>
        <w:tc>
          <w:tcPr>
            <w:tcW w:type="dxa" w:w="4176"/>
            <w:vAlign w:val="center"/>
            <w:tcMar>
              <w:top w:w="80" w:type="dxa"/>
              <w:start w:w="95" w:type="dxa"/>
              <w:bottom w:w="80" w:type="dxa"/>
              <w:end w:w="95" w:type="dxa"/>
            </w:tcMar>
            <w:shd w:fill="F7F9FB"/>
          </w:tcPr>
          <w:p>
            <w:pPr>
              <w:widowControl/>
              <w:spacing w:after="0" w:before="0" w:line="245" w:lineRule="auto"/>
            </w:pPr>
            <w:r/>
            <w:r>
              <w:rPr>
                <w:rFonts w:ascii="Aptos" w:hAnsi="Aptos"/>
                <w:b w:val="0"/>
                <w:color w:val="233446"/>
                <w:sz w:val="15"/>
              </w:rPr>
              <w:t>Ảnh hưởng thiết kế lưu trữ, bảo mật và quyền dữ liệu.</w:t>
            </w:r>
          </w:p>
        </w:tc>
      </w:tr>
    </w:tbl>
    <w:p>
      <w:pPr>
        <w:widowControl/>
        <w:spacing w:after="20"/>
      </w:pPr>
    </w:p>
    <w:p>
      <w:pPr>
        <w:pStyle w:val="Heading1"/>
        <w:widowControl/>
      </w:pPr>
      <w:r>
        <w:t>Nguồn tham khảo và cơ sở định hướng</w:t>
      </w:r>
    </w:p>
    <w:p>
      <w:pPr>
        <w:widowControl/>
      </w:pPr>
      <w:r>
        <w:t>Nguồn dự án: “RTS2026 - Bản Mô tả - NeuroPulse(5).docx” và “RTS2026 - Bản Mô tả - NeuroPulse.docx - Bản tối ưu chi phí(1).docx” do chủ dự án cung cấp trong cuộc hội thoại. Thông tin trong hai tài liệu được dùng để làm bối cảnh sản phẩm; không được xem là xác nhận hiện trạng code hoặc bằng chứng hiệu quả lâm sàng.</w:t>
      </w:r>
    </w:p>
    <w:tbl>
      <w:tblPr>
        <w:tblW w:type="auto" w:w="0"/>
        <w:jc w:val="center"/>
        <w:tblLayout w:type="fixed"/>
        <w:tblLook w:firstColumn="1" w:firstRow="1" w:lastColumn="0" w:lastRow="0" w:noHBand="0" w:noVBand="1" w:val="04A0"/>
        <w:tblBorders>
          <w:top w:val="single" w:sz="0" w:space="0" w:color="FFF4DE"/>
          <w:left w:val="single" w:sz="0" w:space="0" w:color="FFF4DE"/>
          <w:bottom w:val="single" w:sz="0" w:space="0" w:color="FFF4DE"/>
          <w:right w:val="single" w:sz="0" w:space="0" w:color="FFF4DE"/>
          <w:insideH w:val="single" w:sz="0" w:space="0" w:color="FFF4DE"/>
          <w:insideV w:val="single" w:sz="0" w:space="0" w:color="FFF4DE"/>
        </w:tblBorders>
      </w:tblPr>
      <w:tblGrid>
        <w:gridCol w:w="9994"/>
      </w:tblGrid>
      <w:tr>
        <w:tc>
          <w:tcPr>
            <w:tcW w:type="dxa" w:w="9994"/>
            <w:shd w:fill="FFF4DE"/>
            <w:tcMar>
              <w:top w:w="130" w:type="dxa"/>
              <w:start w:w="170" w:type="dxa"/>
              <w:bottom w:w="130" w:type="dxa"/>
              <w:end w:w="170" w:type="dxa"/>
            </w:tcMar>
          </w:tcPr>
          <w:p>
            <w:pPr>
              <w:widowControl/>
              <w:spacing w:after="60"/>
            </w:pPr>
            <w:r/>
            <w:r>
              <w:rPr>
                <w:rFonts w:ascii="Aptos" w:hAnsi="Aptos"/>
                <w:b/>
                <w:color w:val="9D6500"/>
                <w:sz w:val="18"/>
              </w:rPr>
              <w:t>GIỚI HẠN SỬ DỤNG TÀI LIỆU</w:t>
            </w:r>
          </w:p>
          <w:p>
            <w:pPr>
              <w:widowControl/>
              <w:spacing w:after="0" w:line="252" w:lineRule="auto"/>
            </w:pPr>
            <w:r>
              <w:rPr>
                <w:rFonts w:ascii="Aptos" w:hAnsi="Aptos"/>
                <w:color w:val="233446"/>
                <w:sz w:val="17"/>
              </w:rPr>
              <w:t>Blueprint này không thay thế cố vấn thần kinh, chuyên gia thống kê/biostatistics, chuyên gia quản trị chất lượng/pháp chế thiết bị y tế hoặc kiểm chứng độc lập bằng dữ liệu thu thập theo quy trình phù hợp.</w:t>
            </w:r>
          </w:p>
        </w:tc>
      </w:tr>
    </w:tbl>
    <w:p>
      <w:pPr>
        <w:widowControl/>
        <w:spacing w:after="20"/>
      </w:pPr>
    </w:p>
    <w:p>
      <w:pPr>
        <w:widowControl/>
        <w:spacing w:after="30"/>
      </w:pPr>
      <w:r>
        <w:rPr>
          <w:b/>
          <w:color w:val="142B45"/>
          <w:sz w:val="17"/>
        </w:rPr>
        <w:t>1. IEC 62304 — Medical device software life cycle processes (IEC official)</w:t>
      </w:r>
    </w:p>
    <w:p>
      <w:pPr>
        <w:widowControl/>
        <w:spacing w:after="30"/>
        <w:ind w:left="259"/>
      </w:pPr>
      <w:hyperlink r:id="rId11">
        <w:r>
          <w:rPr>
            <w:color w:val="0F6868"/>
            <w:u w:val="single"/>
            <w:sz w:val="17"/>
          </w:rPr>
          <w:t>https://webstore.iec.ch/en/publication/22794</w:t>
        </w:r>
      </w:hyperlink>
    </w:p>
    <w:p>
      <w:pPr>
        <w:pStyle w:val="SmallNote"/>
        <w:widowControl/>
        <w:spacing w:after="100"/>
        <w:ind w:left="259"/>
      </w:pPr>
      <w:r>
        <w:t>Khung quy trình vòng đời phát triển và bảo trì phần mềm thiết bị y tế.</w:t>
      </w:r>
    </w:p>
    <w:p>
      <w:pPr>
        <w:widowControl/>
        <w:spacing w:after="30"/>
      </w:pPr>
      <w:r>
        <w:rPr>
          <w:b/>
          <w:color w:val="142B45"/>
          <w:sz w:val="17"/>
        </w:rPr>
        <w:t>2. ISO 14971:2019 — Medical devices, risk management (ISO official)</w:t>
      </w:r>
    </w:p>
    <w:p>
      <w:pPr>
        <w:widowControl/>
        <w:spacing w:after="30"/>
        <w:ind w:left="259"/>
      </w:pPr>
      <w:hyperlink r:id="rId12">
        <w:r>
          <w:rPr>
            <w:color w:val="0F6868"/>
            <w:u w:val="single"/>
            <w:sz w:val="17"/>
          </w:rPr>
          <w:t>https://www.iso.org/standard/72704.html</w:t>
        </w:r>
      </w:hyperlink>
    </w:p>
    <w:p>
      <w:pPr>
        <w:pStyle w:val="SmallNote"/>
        <w:widowControl/>
        <w:spacing w:after="100"/>
        <w:ind w:left="259"/>
      </w:pPr>
      <w:r>
        <w:t>Quản trị rủi ro xuyên suốt vòng đời thiết bị y tế, bao gồm phần mềm trong phạm vi áp dụng.</w:t>
      </w:r>
    </w:p>
    <w:p>
      <w:pPr>
        <w:widowControl/>
        <w:spacing w:after="30"/>
      </w:pPr>
      <w:r>
        <w:rPr>
          <w:b/>
          <w:color w:val="142B45"/>
          <w:sz w:val="17"/>
        </w:rPr>
        <w:t>3. IEC 62366-1:2015 + AMD1:2020 — Usability engineering (IEC official)</w:t>
      </w:r>
    </w:p>
    <w:p>
      <w:pPr>
        <w:widowControl/>
        <w:spacing w:after="30"/>
        <w:ind w:left="259"/>
      </w:pPr>
      <w:hyperlink r:id="rId13">
        <w:r>
          <w:rPr>
            <w:color w:val="0F6868"/>
            <w:u w:val="single"/>
            <w:sz w:val="17"/>
          </w:rPr>
          <w:t>https://webstore.iec.ch/en/publication/67220</w:t>
        </w:r>
      </w:hyperlink>
    </w:p>
    <w:p>
      <w:pPr>
        <w:pStyle w:val="SmallNote"/>
        <w:widowControl/>
        <w:spacing w:after="100"/>
        <w:ind w:left="259"/>
      </w:pPr>
      <w:r>
        <w:t>Quy trình usability engineering gắn với an toàn sử dụng.</w:t>
      </w:r>
    </w:p>
    <w:p>
      <w:pPr>
        <w:widowControl/>
        <w:spacing w:after="30"/>
      </w:pPr>
      <w:r>
        <w:rPr>
          <w:b/>
          <w:color w:val="142B45"/>
          <w:sz w:val="17"/>
        </w:rPr>
        <w:t>4. ISO 13485:2016 — Quality management systems (ISO official)</w:t>
      </w:r>
    </w:p>
    <w:p>
      <w:pPr>
        <w:widowControl/>
        <w:spacing w:after="30"/>
        <w:ind w:left="259"/>
      </w:pPr>
      <w:hyperlink r:id="rId14">
        <w:r>
          <w:rPr>
            <w:color w:val="0F6868"/>
            <w:u w:val="single"/>
            <w:sz w:val="17"/>
          </w:rPr>
          <w:t>https://committee.iso.org/cms/live/live/en/sites/isoorg/home/standards/popular-standards/iso-9001/MAIN%20after/sector/sector-col0/standards/standard-reference%40/59752.html</w:t>
        </w:r>
      </w:hyperlink>
    </w:p>
    <w:p>
      <w:pPr>
        <w:pStyle w:val="SmallNote"/>
        <w:widowControl/>
        <w:spacing w:after="100"/>
        <w:ind w:left="259"/>
      </w:pPr>
      <w:r>
        <w:t>Hệ thống quản lý chất lượng liên quan thiết kế và sản xuất thiết bị y tế.</w:t>
      </w:r>
    </w:p>
    <w:p>
      <w:pPr>
        <w:widowControl/>
        <w:spacing w:after="30"/>
      </w:pPr>
      <w:r>
        <w:rPr>
          <w:b/>
          <w:color w:val="142B45"/>
          <w:sz w:val="17"/>
        </w:rPr>
        <w:t>5. FDA — Cybersecurity in Medical Devices (page updated for 2025 guidance)</w:t>
      </w:r>
    </w:p>
    <w:p>
      <w:pPr>
        <w:widowControl/>
        <w:spacing w:after="30"/>
        <w:ind w:left="259"/>
      </w:pPr>
      <w:hyperlink r:id="rId15">
        <w:r>
          <w:rPr>
            <w:color w:val="0F6868"/>
            <w:u w:val="single"/>
            <w:sz w:val="17"/>
          </w:rPr>
          <w:t>https://www.fda.gov/medical-devices/digital-health-center-excellence/cybersecurity</w:t>
        </w:r>
      </w:hyperlink>
    </w:p>
    <w:p>
      <w:pPr>
        <w:pStyle w:val="SmallNote"/>
        <w:widowControl/>
        <w:spacing w:after="100"/>
        <w:ind w:left="259"/>
      </w:pPr>
      <w:r>
        <w:t>Quản lý cybersecurity và các hướng dẫn chính thức của FDA.</w:t>
      </w:r>
    </w:p>
    <w:p>
      <w:pPr>
        <w:widowControl/>
        <w:spacing w:after="30"/>
      </w:pPr>
      <w:r>
        <w:rPr>
          <w:b/>
          <w:color w:val="142B45"/>
          <w:sz w:val="17"/>
        </w:rPr>
        <w:t>6. FDA — General Principles of Software Validation (2002)</w:t>
      </w:r>
    </w:p>
    <w:p>
      <w:pPr>
        <w:widowControl/>
        <w:spacing w:after="30"/>
        <w:ind w:left="259"/>
      </w:pPr>
      <w:hyperlink r:id="rId16">
        <w:r>
          <w:rPr>
            <w:color w:val="0F6868"/>
            <w:u w:val="single"/>
            <w:sz w:val="17"/>
          </w:rPr>
          <w:t>https://www.fda.gov/regulatory-information/search-fda-guidance-documents/general-principles-software-validation</w:t>
        </w:r>
      </w:hyperlink>
    </w:p>
    <w:p>
      <w:pPr>
        <w:pStyle w:val="SmallNote"/>
        <w:widowControl/>
        <w:spacing w:after="100"/>
        <w:ind w:left="259"/>
      </w:pPr>
      <w:r>
        <w:t>Nguyên tắc xác nhận phần mềm và bằng chứng verification/validation.</w:t>
      </w:r>
    </w:p>
    <w:p>
      <w:pPr>
        <w:widowControl/>
        <w:spacing w:after="30"/>
      </w:pPr>
      <w:r>
        <w:rPr>
          <w:b/>
          <w:color w:val="142B45"/>
          <w:sz w:val="17"/>
        </w:rPr>
        <w:t>7. FDA — Applying Human Factors and Usability Engineering to Medical Devices (2026 page)</w:t>
      </w:r>
    </w:p>
    <w:p>
      <w:pPr>
        <w:widowControl/>
        <w:spacing w:after="30"/>
        <w:ind w:left="259"/>
      </w:pPr>
      <w:hyperlink r:id="rId17">
        <w:r>
          <w:rPr>
            <w:color w:val="0F6868"/>
            <w:u w:val="single"/>
            <w:sz w:val="17"/>
          </w:rPr>
          <w:t>https://www.fda.gov/regulatory-information/search-fda-guidance-documents/applying-human-factors-and-usability-engineering-medical-devices</w:t>
        </w:r>
      </w:hyperlink>
    </w:p>
    <w:p>
      <w:pPr>
        <w:pStyle w:val="SmallNote"/>
        <w:widowControl/>
        <w:spacing w:after="100"/>
        <w:ind w:left="259"/>
      </w:pPr>
      <w:r>
        <w:t>Human factors, user groups, use environments và giảm use errors.</w:t>
      </w:r>
    </w:p>
    <w:p>
      <w:pPr>
        <w:widowControl/>
        <w:spacing w:after="30"/>
      </w:pPr>
      <w:r>
        <w:rPr>
          <w:b/>
          <w:color w:val="142B45"/>
          <w:sz w:val="17"/>
        </w:rPr>
        <w:t>8. European Commission — MDCG 2019-11 Rev.1 (June 2025)</w:t>
      </w:r>
    </w:p>
    <w:p>
      <w:pPr>
        <w:widowControl/>
        <w:spacing w:after="30"/>
        <w:ind w:left="259"/>
      </w:pPr>
      <w:hyperlink r:id="rId18">
        <w:r>
          <w:rPr>
            <w:color w:val="0F6868"/>
            <w:u w:val="single"/>
            <w:sz w:val="17"/>
          </w:rPr>
          <w:t>https://health.ec.europa.eu/latest-updates/update-mdcg-2019-11-rev1-qualification-and-classification-software-regulation-eu-2017745-and-2025-06-17_en</w:t>
        </w:r>
      </w:hyperlink>
    </w:p>
    <w:p>
      <w:pPr>
        <w:pStyle w:val="SmallNote"/>
        <w:widowControl/>
        <w:spacing w:after="100"/>
        <w:ind w:left="259"/>
      </w:pPr>
      <w:r>
        <w:t>Hướng dẫn qualification/classification phần mềm theo EU MDR/IVDR.</w:t>
      </w:r>
    </w:p>
    <w:p>
      <w:pPr>
        <w:widowControl/>
        <w:spacing w:after="30"/>
      </w:pPr>
      <w:r>
        <w:rPr>
          <w:b/>
          <w:color w:val="142B45"/>
          <w:sz w:val="17"/>
        </w:rPr>
        <w:t>9. Chính phủ Việt Nam — Luật Bảo vệ dữ liệu cá nhân 91/2025/QH15</w:t>
      </w:r>
    </w:p>
    <w:p>
      <w:pPr>
        <w:widowControl/>
        <w:spacing w:after="30"/>
        <w:ind w:left="259"/>
      </w:pPr>
      <w:hyperlink r:id="rId19">
        <w:r>
          <w:rPr>
            <w:color w:val="0F6868"/>
            <w:u w:val="single"/>
            <w:sz w:val="17"/>
          </w:rPr>
          <w:t>https://chinhphu.vn/?classid=1&amp;docid=214590&amp;pageid=27160&amp;typegroupid=3</w:t>
        </w:r>
      </w:hyperlink>
    </w:p>
    <w:p>
      <w:pPr>
        <w:pStyle w:val="SmallNote"/>
        <w:widowControl/>
        <w:spacing w:after="100"/>
        <w:ind w:left="259"/>
      </w:pPr>
      <w:r>
        <w:t>Luật hiện hành có hiệu lực từ 01/01/2026; cần đọc toàn văn và văn bản hướng dẫn áp dụng.</w:t>
      </w:r>
    </w:p>
    <w:p>
      <w:pPr>
        <w:widowControl/>
        <w:spacing w:after="30"/>
      </w:pPr>
      <w:r>
        <w:rPr>
          <w:b/>
          <w:color w:val="142B45"/>
          <w:sz w:val="17"/>
        </w:rPr>
        <w:t>10. Chính phủ Việt Nam — Nghị định 356/2025/NĐ-CP</w:t>
      </w:r>
    </w:p>
    <w:p>
      <w:pPr>
        <w:widowControl/>
        <w:spacing w:after="30"/>
        <w:ind w:left="259"/>
      </w:pPr>
      <w:hyperlink r:id="rId20">
        <w:r>
          <w:rPr>
            <w:color w:val="0F6868"/>
            <w:u w:val="single"/>
            <w:sz w:val="17"/>
          </w:rPr>
          <w:t>https://chinhphu.vn/?classid=0&amp;docid=216387&amp;pageid=27160</w:t>
        </w:r>
      </w:hyperlink>
    </w:p>
    <w:p>
      <w:pPr>
        <w:pStyle w:val="SmallNote"/>
        <w:widowControl/>
        <w:spacing w:after="100"/>
        <w:ind w:left="259"/>
      </w:pPr>
      <w:r>
        <w:t>Quy định chi tiết Luật Bảo vệ dữ liệu cá nhân, hiệu lực từ 01/01/2026.</w:t>
      </w:r>
    </w:p>
    <w:p>
      <w:pPr>
        <w:widowControl/>
        <w:spacing w:after="30"/>
      </w:pPr>
      <w:r>
        <w:rPr>
          <w:b/>
          <w:color w:val="142B45"/>
          <w:sz w:val="17"/>
        </w:rPr>
        <w:t>11. Bộ Y tế — Cổng văn bản pháp quy trang thiết bị y tế</w:t>
      </w:r>
    </w:p>
    <w:p>
      <w:pPr>
        <w:widowControl/>
        <w:spacing w:after="30"/>
        <w:ind w:left="259"/>
      </w:pPr>
      <w:hyperlink r:id="rId21">
        <w:r>
          <w:rPr>
            <w:color w:val="0F6868"/>
            <w:u w:val="single"/>
            <w:sz w:val="17"/>
          </w:rPr>
          <w:t>https://vimda.moh.gov.vn/web/guest/van-ban-phap-quy</w:t>
        </w:r>
      </w:hyperlink>
    </w:p>
    <w:p>
      <w:pPr>
        <w:pStyle w:val="SmallNote"/>
        <w:widowControl/>
        <w:spacing w:after="100"/>
        <w:ind w:left="259"/>
      </w:pPr>
      <w:r>
        <w:t>Điểm khởi đầu để kiểm tra văn bản thiết bị y tế mới nhất tại Việt Nam.</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7182"/>
        <w:sz w:val="14"/>
      </w:rPr>
      <w:t xml:space="preserve">TÀI LIỆU ĐỊNH HƯỚNG NỘI BỘ  •  KHÔNG PHẢI HỒ SƠ CHỨNG NHẬN Y TẾ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8A8A"/>
      </w:pBdr>
    </w:pPr>
    <w:r>
      <w:rPr>
        <w:rFonts w:ascii="Aptos" w:hAnsi="Aptos"/>
        <w:b/>
        <w:color w:val="0F6868"/>
        <w:sz w:val="15"/>
      </w:rPr>
      <w:t>NEUROPULSE  /  SOFTWARE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ptos" w:hAnsi="Aptos"/>
      <w:color w:val="2334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2B45"/>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6868"/>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42B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B4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F7182"/>
      <w:sz w:val="16"/>
    </w:rPr>
  </w:style>
  <w:style w:type="paragraph" w:customStyle="1" w:styleId="Kicker">
    <w:name w:val="Kicker"/>
    <w:pPr>
      <w:spacing w:after="80"/>
    </w:pPr>
    <w:rPr>
      <w:rFonts w:ascii="Aptos" w:hAnsi="Aptos"/>
      <w:b/>
      <w:color w:val="178A8A"/>
      <w:sz w:val="17"/>
    </w:rPr>
  </w:style>
  <w:style w:type="paragraph" w:customStyle="1" w:styleId="CodeBlock">
    <w:name w:val="Code Block"/>
    <w:pPr>
      <w:spacing w:after="30" w:line="240" w:lineRule="auto"/>
      <w:ind w:left="216" w:right="144"/>
    </w:pPr>
    <w:rPr>
      <w:rFonts w:ascii="Consolas" w:hAnsi="Consolas"/>
      <w:color w:val="24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22794" TargetMode="External"/><Relationship Id="rId12" Type="http://schemas.openxmlformats.org/officeDocument/2006/relationships/hyperlink" Target="https://www.iso.org/standard/72704.html" TargetMode="External"/><Relationship Id="rId13" Type="http://schemas.openxmlformats.org/officeDocument/2006/relationships/hyperlink" Target="https://webstore.iec.ch/en/publication/67220" TargetMode="External"/><Relationship Id="rId14" Type="http://schemas.openxmlformats.org/officeDocument/2006/relationships/hyperlink" Target="https://committee.iso.org/cms/live/live/en/sites/isoorg/home/standards/popular-standards/iso-9001/MAIN%20after/sector/sector-col0/standards/standard-reference%40/59752.html" TargetMode="External"/><Relationship Id="rId15" Type="http://schemas.openxmlformats.org/officeDocument/2006/relationships/hyperlink" Target="https://www.fda.gov/medical-devices/digital-health-center-excellence/cybersecurity" TargetMode="External"/><Relationship Id="rId16" Type="http://schemas.openxmlformats.org/officeDocument/2006/relationships/hyperlink" Target="https://www.fda.gov/regulatory-information/search-fda-guidance-documents/general-principles-software-validation" TargetMode="External"/><Relationship Id="rId17" Type="http://schemas.openxmlformats.org/officeDocument/2006/relationships/hyperlink" Target="https://www.fda.gov/regulatory-information/search-fda-guidance-documents/applying-human-factors-and-usability-engineering-medical-devices" TargetMode="External"/><Relationship Id="rId18" Type="http://schemas.openxmlformats.org/officeDocument/2006/relationships/hyperlink" Target="https://health.ec.europa.eu/latest-updates/update-mdcg-2019-11-rev1-qualification-and-classification-software-regulation-eu-2017745-and-2025-06-17_en" TargetMode="External"/><Relationship Id="rId19" Type="http://schemas.openxmlformats.org/officeDocument/2006/relationships/hyperlink" Target="https://chinhphu.vn/?classid=1&amp;docid=214590&amp;pageid=27160&amp;typegroupid=3" TargetMode="External"/><Relationship Id="rId20" Type="http://schemas.openxmlformats.org/officeDocument/2006/relationships/hyperlink" Target="https://chinhphu.vn/?classid=0&amp;docid=216387&amp;pageid=27160" TargetMode="External"/><Relationship Id="rId21" Type="http://schemas.openxmlformats.org/officeDocument/2006/relationships/hyperlink" Target="https://vimda.moh.gov.vn/web/guest/van-ban-phap-qu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NeuroPulse Dashboard Software Master Blueprint for Antigravity</dc:title>
  <dc:subject>Dashboard software product direction, architecture, features, tech stack, signal processing and implementation roadmap</dc:subject>
  <dc:creator>OpenAI</dc:creator>
  <cp:keywords>NeuroPulse, dashboard, software architecture, signal processing, Antigravity, medical software</cp:keywords>
  <dc:description>Engineering blueprint; not a regulatory certification or clinical validation claim.</dc:description>
  <cp:lastModifiedBy/>
  <cp:revision>1</cp:revision>
  <dcterms:created xsi:type="dcterms:W3CDTF">2013-12-23T23:15:00Z</dcterms:created>
  <dcterms:modified xsi:type="dcterms:W3CDTF">2013-12-23T23:15:00Z</dcterms:modified>
  <cp:category/>
</cp:coreProperties>
</file>