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Slides (using data for 2013-2018):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Section 2 graphs: Rohan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Section 3: Heyang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Section 4.1 - 4.2: Haoxian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Section 4.3 - 4.4: Dave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Section 5: Rohan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Appendix: Each person responsible for the tables/graphs that correspond to the section above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Individual Country Reports (30 countries for 2013-2018):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Executive summary, introduction and summary: Kamessi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Section 2 graphs: Lun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Section 3: Heyang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Section 4.1 - 4.2: Haoxian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Section 4.3 - 4.4: Dave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Section 5: Rohan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DDL and prioritizations: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all results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graphs/tables in slides and docs (March 13 3pm)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analyses (March 13 11:59pm)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