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9" name="image33.png"/>
            <a:graphic>
              <a:graphicData uri="http://schemas.openxmlformats.org/drawingml/2006/picture">
                <pic:pic>
                  <pic:nvPicPr>
                    <pic:cNvPr id="0" name="image3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Mexico</w:t>
      </w:r>
      <w:r w:rsidDel="00000000" w:rsidR="00000000" w:rsidRPr="00000000">
        <w:rPr>
          <w:rtl w:val="0"/>
        </w:rPr>
      </w:r>
    </w:p>
    <w:p w:rsidR="00000000" w:rsidDel="00000000" w:rsidP="00000000" w:rsidRDefault="00000000" w:rsidRPr="00000000" w14:paraId="00000005">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7">
      <w:pPr>
        <w:pageBreakBefore w:val="0"/>
        <w:spacing w:before="120" w:lineRule="auto"/>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Margarita Demkina</w:t>
      </w:r>
      <w:r w:rsidDel="00000000" w:rsidR="00000000" w:rsidRPr="00000000">
        <w:br w:type="page"/>
      </w:r>
      <w:r w:rsidDel="00000000" w:rsidR="00000000" w:rsidRPr="00000000">
        <w:rPr>
          <w:rtl w:val="0"/>
        </w:rPr>
      </w:r>
    </w:p>
    <w:p w:rsidR="00000000" w:rsidDel="00000000" w:rsidP="00000000" w:rsidRDefault="00000000" w:rsidRPr="00000000" w14:paraId="00000008">
      <w:pPr>
        <w:pageBreakBefore w:val="0"/>
        <w:jc w:val="center"/>
        <w:rPr>
          <w:sz w:val="40"/>
          <w:szCs w:val="40"/>
        </w:rPr>
      </w:pPr>
      <w:r w:rsidDel="00000000" w:rsidR="00000000" w:rsidRPr="00000000">
        <w:rPr>
          <w:sz w:val="40"/>
          <w:szCs w:val="40"/>
          <w:rtl w:val="0"/>
        </w:rPr>
        <w:t xml:space="preserve">Optimal Industry Development Strategy for Mexico</w:t>
      </w:r>
    </w:p>
    <w:p w:rsidR="00000000" w:rsidDel="00000000" w:rsidP="00000000" w:rsidRDefault="00000000" w:rsidRPr="00000000" w14:paraId="00000009">
      <w:pPr>
        <w:pageBreakBefore w:val="0"/>
        <w:jc w:val="center"/>
        <w:rPr>
          <w:sz w:val="40"/>
          <w:szCs w:val="40"/>
        </w:rPr>
      </w:pPr>
      <w:r w:rsidDel="00000000" w:rsidR="00000000" w:rsidRPr="00000000">
        <w:rPr>
          <w:rtl w:val="0"/>
        </w:rPr>
      </w:r>
    </w:p>
    <w:p w:rsidR="00000000" w:rsidDel="00000000" w:rsidP="00000000" w:rsidRDefault="00000000" w:rsidRPr="00000000" w14:paraId="0000000A">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C">
      <w:pPr>
        <w:pageBreakBefore w:val="0"/>
        <w:jc w:val="both"/>
        <w:rPr/>
      </w:pPr>
      <w:r w:rsidDel="00000000" w:rsidR="00000000" w:rsidRPr="00000000">
        <w:rPr>
          <w:rtl w:val="0"/>
        </w:rPr>
        <w:t xml:space="preserve">In this report, we aim to uncover the economic path Mexico went through during the period from 2013 to 2021. Specifically, we dive into the topic through a macroeconomic overview of Mexico from the perspective of Gross Domestic Product (GDP) and Economic Complexity Index (ECI), which reflect countries’ production capability and production structure, respectively. We find that during the period of our interest, Mexico demonstrated a an increased level of economic growth with an average annual GDP growth rate of 0.5% between 2013 and 2018 and 1.53% between 2019 and 2021, with a highly volatile economic complexity, especially since the onset of the pandemic compared to other major developed economies. </w:t>
      </w:r>
    </w:p>
    <w:p w:rsidR="00000000" w:rsidDel="00000000" w:rsidP="00000000" w:rsidRDefault="00000000" w:rsidRPr="00000000" w14:paraId="0000000D">
      <w:pPr>
        <w:pageBreakBefore w:val="0"/>
        <w:jc w:val="both"/>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Mexico on the industry group level, as well as the improved macro and microeconomic strategies. The product classification system we adopt allows us to measure the realized industry development for various industry groups and to observe that Mexico regressed in developing most of its industries during the </w:t>
      </w:r>
      <w:r w:rsidDel="00000000" w:rsidR="00000000" w:rsidRPr="00000000">
        <w:rPr>
          <w:rtl w:val="0"/>
        </w:rPr>
        <w:t xml:space="preserve">period while its developed counterparts and emerging economies around the globe also adopted complex and progressive paths with variable degree of success.</w:t>
      </w:r>
      <w:r w:rsidDel="00000000" w:rsidR="00000000" w:rsidRPr="00000000">
        <w:rPr>
          <w:rtl w:val="0"/>
        </w:rPr>
        <w:t xml:space="preserve"> </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Based on our analysis of the opportunity gain and sensitivity analysis of major industry groups for 2013-2018, Mexico can further its gains by prioritizing Daily Instruments and Chemicals. We further note that Mexico has a well-matched development strategy that indicates a particularly high level of structural optimality on the complexity level, having an adjusted R-square of merely -6.1%, compared to 8.8% in 2021. Since a significant positive correlation exists between five-year GDP growth and the structural optimality index of an economy as we define and calculate, Mexico indeed has a nearly optimal growth experience as compared with fast-growing economies both on a regional and global scales and has the potential to further its economic gains through industrial structure optimization as suggested in the paper.</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The three years following showed a significant improvement in Mexico’s economic growth, boosting its position alongside its peers. Its GDP recovered to above the pre-pandemic levels, but it saw a significant decline in the ECI, particularly compared to its peer countries. We also note that Mexico has changed its investment strategy in the sectors identified earlier toward more high-level industries, still l</w:t>
      </w:r>
      <w:r w:rsidDel="00000000" w:rsidR="00000000" w:rsidRPr="00000000">
        <w:rPr>
          <w:rtl w:val="0"/>
        </w:rPr>
        <w:t xml:space="preserve">eaving some room for strategic improvement</w:t>
      </w:r>
      <w:r w:rsidDel="00000000" w:rsidR="00000000" w:rsidRPr="00000000">
        <w:rPr>
          <w:rtl w:val="0"/>
        </w:rPr>
        <w:t xml:space="preserve"> in Energy Drilling and Precious, Metals, and Chemicals</w:t>
      </w:r>
      <w:r w:rsidDel="00000000" w:rsidR="00000000" w:rsidRPr="00000000">
        <w:rPr>
          <w:rtl w:val="0"/>
        </w:rPr>
        <w:t xml:space="preserve"> industries, for instance.</w:t>
      </w:r>
      <w:r w:rsidDel="00000000" w:rsidR="00000000" w:rsidRPr="00000000">
        <w:rPr>
          <w:rtl w:val="0"/>
        </w:rPr>
        <w:t xml:space="preserve"> Its current strategy still has viable potential upside to increase its performance and optimize its structure further.</w:t>
      </w:r>
    </w:p>
    <w:p w:rsidR="00000000" w:rsidDel="00000000" w:rsidP="00000000" w:rsidRDefault="00000000" w:rsidRPr="00000000" w14:paraId="0000001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Mexico went through during the period from 2019 to 2021, before and after the COVID pandemic, compared to its performance from 2013 to 2018. Specifically, we dive into the topic through a macroeconomic overview of Mexico from the perspective of Gross Domestic Product (GDP) and Economic Complexity Index (ECI), which reflect countries’ production capability and production structure, respectively. We then analyze the industrial framework and changes of Mexico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Mexico,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jc w:val="both"/>
        <w:rPr/>
      </w:pPr>
      <w:r w:rsidDel="00000000" w:rsidR="00000000" w:rsidRPr="00000000">
        <w:rPr>
          <w:rtl w:val="0"/>
        </w:rPr>
        <w:t xml:space="preserve">As the 15</w:t>
      </w:r>
      <w:r w:rsidDel="00000000" w:rsidR="00000000" w:rsidRPr="00000000">
        <w:rPr>
          <w:vertAlign w:val="superscript"/>
          <w:rtl w:val="0"/>
        </w:rPr>
        <w:t xml:space="preserve">th</w:t>
      </w:r>
      <w:r w:rsidDel="00000000" w:rsidR="00000000" w:rsidRPr="00000000">
        <w:rPr>
          <w:rtl w:val="0"/>
        </w:rPr>
        <w:t xml:space="preserve"> largest economy in the world by GDP in 2021, Mexico has a GDP of 1.27 trillion USD in 2013, 1.22 trillion USD in 2018, and 1.29 trillion USD in 2021, exhibiting an steady economic output. Figure 1a illustrates the time-series GDP results for major emerging economies from 1999-2018, and Mexico demonstrates a high level of consistency in terms of both GDP and GDP growth. However, its growth rate is not significant as compared with many other emerging economies in the world, with an average annual growth of 0.5% during the period from 2013 to 2018. This number is much smaller than the annual growth rate of the other five leading emerging economies, which have a geometric average growth rates of 2.2% and an arithmetic average growth rate of 2.4%. The contrast is particularly significant with China, one of the leading emerging economies in the world, which has an average annual growth rate of 8.2% during the same period. The pace of economic growth in Mexico, we believe, can be reflected through changes in ECI and PCI, and can be further explained by a suboptimal set of production strategies adopted by Mexico from 2013 to 2018, which we will expand at the later stage of the report.</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Figure 1b shows the GDP levels for Mexico and its peer countries (China, Brazil, Malaysia, South Korea, UAE) from 2019 to 2021. Similar to the other countries, Mexico displayed a drop in GDP from 2019 to 2020 because of the pandemic, with all GDPs rebounding in 2021. Over these three years, Mexico’s average annual GDP growth rate (1.53%) is in the middle of the pack, as it is greater than Brazil’s rate (-3.87%), Malaysia’s (0.95%), and UAE’a (0.55%) but less than South Korea’s (3.00%). It is notable that the GDP levels in Mexico and its comparable countries with the exception of Brazil have rebounded and increased from the pre-pandemic levels.</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1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1999-2018;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is used to explain the knowledge accumulated in a country's population.</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illustrated in Figures 2a and 2b below, Mexico exhibits a huge increase in terms of its production capability from 2013 to 2018, as measured by ECI. This change is similar to countries such as China and South Korea, which demonstrate a steady trend in terms of both the ECI and GDP indexes. </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had drastic changes in ECI levels between 2019 and 2020, with a particularly sharp change between 2020 and 2021 as the COVID policies fluctuated across the regions. Mexico exhibits a large decrease in production capability in 2021, erasing the progress from the prior eight years. Mexico has seen a 197% decrease in its ECI, which is much smaller than Brazil’s (252%), Malaysia’s (-180%), and UAE’s (207%) but higher than South Korea’s (-202%).</w:t>
      </w:r>
    </w:p>
    <w:p w:rsidR="00000000" w:rsidDel="00000000" w:rsidP="00000000" w:rsidRDefault="00000000" w:rsidRPr="00000000" w14:paraId="0000002B">
      <w:pPr>
        <w:pageBreakBefore w:val="0"/>
        <w:jc w:val="left"/>
        <w:rPr/>
      </w:pPr>
      <w:r w:rsidDel="00000000" w:rsidR="00000000" w:rsidRPr="00000000">
        <w:rPr/>
        <w:drawing>
          <wp:inline distB="114300" distT="114300" distL="114300" distR="114300">
            <wp:extent cx="2834640" cy="1645920"/>
            <wp:effectExtent b="0" l="0" r="0" t="0"/>
            <wp:docPr id="20"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2834640" cy="164592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51760" cy="1737360"/>
            <wp:effectExtent b="0" l="0" r="0" t="0"/>
            <wp:docPr id="2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65176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D">
      <w:pPr>
        <w:pageBreakBefore w:val="0"/>
        <w:jc w:val="left"/>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Figures 3a and 3b offer a further comparison of GDP Growth and ECI from 2013 to 2021 for Mexico. Based on statistical analysis, ECI is a significant covariate for GDP with an adjusted R-square of 33.8% in 2018 and 21.2</w:t>
      </w:r>
      <w:r w:rsidDel="00000000" w:rsidR="00000000" w:rsidRPr="00000000">
        <w:rPr>
          <w:rtl w:val="0"/>
        </w:rPr>
        <w:t xml:space="preserve">%</w:t>
      </w:r>
      <w:r w:rsidDel="00000000" w:rsidR="00000000" w:rsidRPr="00000000">
        <w:rPr>
          <w:rtl w:val="0"/>
        </w:rPr>
        <w:t xml:space="preserve"> in 2021. In particular, the changes in GDP during the period from 2013 to 2018 are consistent with the changes in ECI, indicating great predictive power of ECI in terms of Mexico’s potential economic development. The effectiveness of the country in developing a competitive product space that helps to accumulate complicated knowledge and technology can be reflected by the increase in ECI.</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changes in GDP during the period from 2019 to 2021 differ greatly from the changes in ECI, indicating weak predictive power of ECI in terms of Mexico’s potential economic development. The lack of relationship implies that GDP growth is not consistent with the predictions by ECI and that Mexico could make a stronger progress towards effectively developing a competitive product space that helps to accumulate complicated knowledge and technology. In order to get a better insight of the relationship between ECI and the country’s economy, we will dive into an analysis of Mexico’s production structure and its product space designs in the next few chapters. </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2770632" cy="1691640"/>
            <wp:effectExtent b="0" l="0" r="0" t="0"/>
            <wp:docPr id="1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770632" cy="1691640"/>
                    </a:xfrm>
                    <a:prstGeom prst="rect"/>
                    <a:ln/>
                  </pic:spPr>
                </pic:pic>
              </a:graphicData>
            </a:graphic>
          </wp:inline>
        </w:drawing>
      </w:r>
      <w:r w:rsidDel="00000000" w:rsidR="00000000" w:rsidRPr="00000000">
        <w:rPr/>
        <w:drawing>
          <wp:inline distB="114300" distT="114300" distL="114300" distR="114300">
            <wp:extent cx="2743200" cy="1737360"/>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4320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Times" w:cs="Times" w:eastAsia="Times" w:hAnsi="Times"/>
          <w:b w:val="1"/>
          <w:bCs w:val="1"/>
          <w:sz w:val="28"/>
          <w:szCs w:val="28"/>
        </w:rPr>
      </w:pPr>
      <w:r w:rsidDel="00000000" w:rsidR="00000000" w:rsidRPr="00000000">
        <w:rPr>
          <w:sz w:val="22"/>
          <w:szCs w:val="22"/>
          <w:rtl w:val="0"/>
        </w:rPr>
        <w:t xml:space="preserve">Figures 3a and 3b. GDP Growth and ECI for Mexico (left: 2013-2018; right: 2019-2021)</w:t>
      </w:r>
      <w:r w:rsidDel="00000000" w:rsidR="00000000" w:rsidRPr="00000000">
        <w:br w:type="page"/>
      </w:r>
      <w:r w:rsidDel="00000000" w:rsidR="00000000" w:rsidRPr="00000000">
        <w:rPr>
          <w:rtl w:val="0"/>
        </w:rPr>
      </w:r>
    </w:p>
    <w:p w:rsidR="00000000" w:rsidDel="00000000" w:rsidP="00000000" w:rsidRDefault="00000000" w:rsidRPr="00000000" w14:paraId="00000033">
      <w:pPr>
        <w:jc w:val="lef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6">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9">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A">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6">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0">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F">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6">
      <w:pPr>
        <w:pageBreakBefore w:val="0"/>
        <w:jc w:val="center"/>
        <w:rPr>
          <w:sz w:val="22"/>
          <w:szCs w:val="22"/>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pageBreakBefore w:val="0"/>
        <w:jc w:val="both"/>
        <w:rPr/>
      </w:pPr>
      <w:r w:rsidDel="00000000" w:rsidR="00000000" w:rsidRPr="00000000">
        <w:rPr>
          <w:rtl w:val="0"/>
        </w:rPr>
        <w:t xml:space="preserve">Based on the aforementioned product categorization, we aim to capture Mexico’s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Mexico and the 18 product groups in 2021 and 2018 through the difference, where a positive RID indicates a shortening of the distance (i.e., advancement of the industry), and a negative RID indicates the reverse. As shown in Table 3, during the periods ending in 2018 and 2021, Mexico has focused on products with a moderate level of complexity and those requiring intermediate skills, like Transportation and Services and Utilities. It is notable that the number of industries with positive RID has increased fro</w:t>
      </w:r>
      <w:r w:rsidDel="00000000" w:rsidR="00000000" w:rsidRPr="00000000">
        <w:rPr>
          <w:rtl w:val="0"/>
        </w:rPr>
        <w:t xml:space="preserve">m 2 to 15 f</w:t>
      </w:r>
      <w:r w:rsidDel="00000000" w:rsidR="00000000" w:rsidRPr="00000000">
        <w:rPr>
          <w:rtl w:val="0"/>
        </w:rPr>
        <w:t xml:space="preserve">rom 2018 to 2021.</w:t>
      </w:r>
    </w:p>
    <w:p w:rsidR="00000000" w:rsidDel="00000000" w:rsidP="00000000" w:rsidRDefault="00000000" w:rsidRPr="00000000" w14:paraId="0000008A">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00" w:hRule="atLeast"/>
          <w:tblHeader w:val="0"/>
        </w:trPr>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ind w:left="180" w:firstLine="0"/>
              <w:rPr>
                <w:b w:val="1"/>
                <w:bCs w:val="1"/>
                <w:sz w:val="20"/>
                <w:szCs w:val="20"/>
              </w:rPr>
            </w:pPr>
            <w:r w:rsidDel="00000000" w:rsidR="00000000" w:rsidRPr="00000000">
              <w:rPr>
                <w:b w:val="1"/>
                <w:bCs w:val="1"/>
                <w:sz w:val="20"/>
                <w:szCs w:val="20"/>
                <w:rtl w:val="0"/>
              </w:rPr>
              <w:t xml:space="preserve">Category </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jc w:val="both"/>
              <w:rPr>
                <w:b w:val="1"/>
                <w:bCs w:val="1"/>
                <w:sz w:val="20"/>
                <w:szCs w:val="20"/>
              </w:rPr>
            </w:pPr>
            <w:r w:rsidDel="00000000" w:rsidR="00000000" w:rsidRPr="00000000">
              <w:rPr>
                <w:b w:val="1"/>
                <w:bCs w:val="1"/>
                <w:sz w:val="20"/>
                <w:szCs w:val="20"/>
                <w:rtl w:val="0"/>
              </w:rPr>
              <w:t xml:space="preserve">RID (2021)</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jc w:val="both"/>
              <w:rPr>
                <w:b w:val="1"/>
                <w:bCs w:val="1"/>
                <w:sz w:val="20"/>
                <w:szCs w:val="20"/>
              </w:rPr>
            </w:pPr>
            <w:r w:rsidDel="00000000" w:rsidR="00000000" w:rsidRPr="00000000">
              <w:rPr>
                <w:b w:val="1"/>
                <w:bCs w:val="1"/>
                <w:sz w:val="20"/>
                <w:szCs w:val="20"/>
                <w:rtl w:val="0"/>
              </w:rPr>
              <w:t xml:space="preserve">RID (2018)</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-0.009</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0.002</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sz w:val="20"/>
                <w:szCs w:val="20"/>
                <w:rtl w:val="0"/>
              </w:rPr>
              <w:t xml:space="preserve">Daily Instruments</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-0.008</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-0.041</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-0.007</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-0.028</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0.003</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-0.048</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0.004</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-0.006</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0.007</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-0.018</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0.008</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-0.025</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0.009</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-0.05</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0.012</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-0.057</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0.014</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-0.011</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0.015</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-0.007</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0.017</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-0.006</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0.018</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-0.016</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212121"/>
                <w:sz w:val="20"/>
                <w:szCs w:val="20"/>
                <w:rtl w:val="0"/>
              </w:rPr>
              <w:t xml:space="preserve">Animals and By-products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0.020</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-0.005</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0.022</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-0.025</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0.025</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-0.014</w:t>
            </w:r>
          </w:p>
        </w:tc>
      </w:tr>
      <w:tr>
        <w:trPr>
          <w:cantSplit w:val="0"/>
          <w:trHeight w:val="102.23999999999998" w:hRule="atLeast"/>
          <w:tblHeader w:val="0"/>
        </w:trPr>
        <w:tc>
          <w:tcPr>
            <w:tcBorders>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0.051</w:t>
            </w:r>
          </w:p>
        </w:tc>
        <w:tc>
          <w:tcPr>
            <w:tcBorders>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-0.042</w:t>
            </w:r>
          </w:p>
        </w:tc>
      </w:tr>
      <w:tr>
        <w:trPr>
          <w:cantSplit w:val="0"/>
          <w:trHeight w:val="102.23999999999998" w:hRule="atLeast"/>
          <w:tblHeader w:val="0"/>
        </w:trPr>
        <w:tc>
          <w:tcPr>
            <w:tcBorders>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0.068</w:t>
            </w:r>
          </w:p>
        </w:tc>
        <w:tc>
          <w:tcPr>
            <w:tcBorders>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0.002</w:t>
            </w:r>
          </w:p>
        </w:tc>
      </w:tr>
    </w:tbl>
    <w:p w:rsidR="00000000" w:rsidDel="00000000" w:rsidP="00000000" w:rsidRDefault="00000000" w:rsidRPr="00000000" w14:paraId="000000C4">
      <w:pPr>
        <w:pageBreakBefore w:val="0"/>
        <w:jc w:val="center"/>
        <w:rPr>
          <w:sz w:val="22"/>
          <w:szCs w:val="22"/>
        </w:rPr>
      </w:pPr>
      <w:r w:rsidDel="00000000" w:rsidR="00000000" w:rsidRPr="00000000">
        <w:rPr>
          <w:sz w:val="22"/>
          <w:szCs w:val="22"/>
          <w:rtl w:val="0"/>
        </w:rPr>
        <w:t xml:space="preserve">Table 3. Realized Industry Development (RID) of Mexico</w:t>
      </w:r>
    </w:p>
    <w:p w:rsidR="00000000" w:rsidDel="00000000" w:rsidP="00000000" w:rsidRDefault="00000000" w:rsidRPr="00000000" w14:paraId="000000C5">
      <w:pPr>
        <w:pageBreakBefore w:val="0"/>
        <w:jc w:val="center"/>
        <w:rPr>
          <w:sz w:val="22"/>
          <w:szCs w:val="22"/>
        </w:rPr>
      </w:pPr>
      <w:r w:rsidDel="00000000" w:rsidR="00000000" w:rsidRPr="00000000">
        <w:rPr>
          <w:rtl w:val="0"/>
        </w:rPr>
      </w:r>
    </w:p>
    <w:p w:rsidR="00000000" w:rsidDel="00000000" w:rsidP="00000000" w:rsidRDefault="00000000" w:rsidRPr="00000000" w14:paraId="000000C6">
      <w:pPr>
        <w:pageBreakBefore w:val="0"/>
        <w:jc w:val="center"/>
        <w:rPr>
          <w:sz w:val="22"/>
          <w:szCs w:val="22"/>
        </w:rPr>
      </w:pP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8">
      <w:pPr>
        <w:pageBreakBefore w:val="0"/>
        <w:jc w:val="both"/>
        <w:rPr/>
      </w:pPr>
      <w:r w:rsidDel="00000000" w:rsidR="00000000" w:rsidRPr="00000000">
        <w:rPr>
          <w:rtl w:val="0"/>
        </w:rPr>
        <w:t xml:space="preserve">Tables 4a and 4b below summarize how the production strategy adopted by Mexico compares with selected leading economies in the world across different years, as measured in RID. It can be directly observed that Mexico shifted its focus from products with a lower complexity level in 2018 to more specialized industries (such as Chemicals, Daily Instruments, and Machinery and Construction) in 2021, when compared against leading economies such as France, the United States and Germany, which gave a considerable level of attention to more advanced product groups such as Weapons and High-Complexity Products in 2018 and Services and Utiliteis, Precious Stones, and High-Complexity Products in 2021.</w:t>
      </w:r>
    </w:p>
    <w:p w:rsidR="00000000" w:rsidDel="00000000" w:rsidP="00000000" w:rsidRDefault="00000000" w:rsidRPr="00000000" w14:paraId="000000C9">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A">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B">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C">
            <w:pPr>
              <w:jc w:val="both"/>
              <w:rPr/>
            </w:pPr>
            <w:r w:rsidDel="00000000" w:rsidR="00000000" w:rsidRPr="00000000">
              <w:rPr>
                <w:rtl w:val="0"/>
              </w:rPr>
              <w:t xml:space="preserve">the UK</w:t>
            </w:r>
          </w:p>
        </w:tc>
        <w:tc>
          <w:tcPr>
            <w:vAlign w:val="center"/>
          </w:tcPr>
          <w:p w:rsidR="00000000" w:rsidDel="00000000" w:rsidP="00000000" w:rsidRDefault="00000000" w:rsidRPr="00000000" w14:paraId="000000CD">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CE">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2">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2">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E3">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4">
            <w:pPr>
              <w:jc w:val="both"/>
              <w:rPr/>
            </w:pPr>
            <w:r w:rsidDel="00000000" w:rsidR="00000000" w:rsidRPr="00000000">
              <w:rPr>
                <w:rtl w:val="0"/>
              </w:rPr>
              <w:t xml:space="preserve">Ranking</w:t>
            </w:r>
          </w:p>
        </w:tc>
        <w:tc>
          <w:tcPr/>
          <w:p w:rsidR="00000000" w:rsidDel="00000000" w:rsidP="00000000" w:rsidRDefault="00000000" w:rsidRPr="00000000" w14:paraId="000000E5">
            <w:pPr>
              <w:jc w:val="both"/>
              <w:rPr/>
            </w:pPr>
            <w:r w:rsidDel="00000000" w:rsidR="00000000" w:rsidRPr="00000000">
              <w:rPr>
                <w:rtl w:val="0"/>
              </w:rPr>
              <w:t xml:space="preserve">France</w:t>
            </w:r>
          </w:p>
        </w:tc>
        <w:tc>
          <w:tcPr/>
          <w:p w:rsidR="00000000" w:rsidDel="00000000" w:rsidP="00000000" w:rsidRDefault="00000000" w:rsidRPr="00000000" w14:paraId="000000E6">
            <w:pPr>
              <w:jc w:val="both"/>
              <w:rPr/>
            </w:pPr>
            <w:r w:rsidDel="00000000" w:rsidR="00000000" w:rsidRPr="00000000">
              <w:rPr>
                <w:rtl w:val="0"/>
              </w:rPr>
              <w:t xml:space="preserve">the UK</w:t>
            </w:r>
          </w:p>
        </w:tc>
        <w:tc>
          <w:tcPr/>
          <w:p w:rsidR="00000000" w:rsidDel="00000000" w:rsidP="00000000" w:rsidRDefault="00000000" w:rsidRPr="00000000" w14:paraId="000000E7">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EC">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FC">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D">
      <w:pPr>
        <w:jc w:val="center"/>
        <w:rPr>
          <w:sz w:val="22"/>
          <w:szCs w:val="22"/>
        </w:rPr>
      </w:pPr>
      <w:r w:rsidDel="00000000" w:rsidR="00000000" w:rsidRPr="00000000">
        <w:rPr>
          <w:rtl w:val="0"/>
        </w:rPr>
      </w:r>
    </w:p>
    <w:p w:rsidR="00000000" w:rsidDel="00000000" w:rsidP="00000000" w:rsidRDefault="00000000" w:rsidRPr="00000000" w14:paraId="000000FE">
      <w:pPr>
        <w:jc w:val="both"/>
        <w:rPr>
          <w:sz w:val="22"/>
          <w:szCs w:val="22"/>
        </w:rPr>
      </w:pPr>
      <w:r w:rsidDel="00000000" w:rsidR="00000000" w:rsidRPr="00000000">
        <w:rPr>
          <w:rtl w:val="0"/>
        </w:rPr>
        <w:t xml:space="preserve">Tables 4c and 4d further examine Mexico’s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 Economies similar to Mexico should have relied more on advanced industry groups - the shift in focus visible from 2018 to 2021. This trend holds true in general, regardless of the continent or the time period, and serves as an indicator for which phase of development a country is currently in as evaluated from its production strategy. Based on this standard, Mexico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0">
            <w:pPr>
              <w:jc w:val="both"/>
              <w:rPr/>
            </w:pPr>
            <w:r w:rsidDel="00000000" w:rsidR="00000000" w:rsidRPr="00000000">
              <w:rPr>
                <w:rtl w:val="0"/>
              </w:rPr>
              <w:t xml:space="preserve">Ranking</w:t>
            </w:r>
          </w:p>
        </w:tc>
        <w:tc>
          <w:tcPr/>
          <w:p w:rsidR="00000000" w:rsidDel="00000000" w:rsidP="00000000" w:rsidRDefault="00000000" w:rsidRPr="00000000" w14:paraId="00000101">
            <w:pPr>
              <w:jc w:val="both"/>
              <w:rPr/>
            </w:pPr>
            <w:r w:rsidDel="00000000" w:rsidR="00000000" w:rsidRPr="00000000">
              <w:rPr>
                <w:rtl w:val="0"/>
              </w:rPr>
              <w:t xml:space="preserve">China</w:t>
            </w:r>
          </w:p>
        </w:tc>
        <w:tc>
          <w:tcPr/>
          <w:p w:rsidR="00000000" w:rsidDel="00000000" w:rsidP="00000000" w:rsidRDefault="00000000" w:rsidRPr="00000000" w14:paraId="00000102">
            <w:pPr>
              <w:jc w:val="both"/>
              <w:rPr/>
            </w:pPr>
            <w:r w:rsidDel="00000000" w:rsidR="00000000" w:rsidRPr="00000000">
              <w:rPr>
                <w:rtl w:val="0"/>
              </w:rPr>
              <w:t xml:space="preserve">South Korea</w:t>
            </w:r>
          </w:p>
        </w:tc>
        <w:tc>
          <w:tcPr/>
          <w:p w:rsidR="00000000" w:rsidDel="00000000" w:rsidP="00000000" w:rsidRDefault="00000000" w:rsidRPr="00000000" w14:paraId="00000103">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4">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8">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C">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10">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14">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8">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A">
            <w:pPr>
              <w:jc w:val="both"/>
              <w:rPr/>
            </w:pPr>
            <w:r w:rsidDel="00000000" w:rsidR="00000000" w:rsidRPr="00000000">
              <w:rPr>
                <w:rtl w:val="0"/>
              </w:rPr>
              <w:t xml:space="preserve">Ranking</w:t>
            </w:r>
          </w:p>
        </w:tc>
        <w:tc>
          <w:tcPr/>
          <w:p w:rsidR="00000000" w:rsidDel="00000000" w:rsidP="00000000" w:rsidRDefault="00000000" w:rsidRPr="00000000" w14:paraId="0000011B">
            <w:pPr>
              <w:jc w:val="both"/>
              <w:rPr/>
            </w:pPr>
            <w:r w:rsidDel="00000000" w:rsidR="00000000" w:rsidRPr="00000000">
              <w:rPr>
                <w:rtl w:val="0"/>
              </w:rPr>
              <w:t xml:space="preserve">China</w:t>
            </w:r>
          </w:p>
        </w:tc>
        <w:tc>
          <w:tcPr/>
          <w:p w:rsidR="00000000" w:rsidDel="00000000" w:rsidP="00000000" w:rsidRDefault="00000000" w:rsidRPr="00000000" w14:paraId="0000011C">
            <w:pPr>
              <w:jc w:val="both"/>
              <w:rPr/>
            </w:pPr>
            <w:r w:rsidDel="00000000" w:rsidR="00000000" w:rsidRPr="00000000">
              <w:rPr>
                <w:rtl w:val="0"/>
              </w:rPr>
              <w:t xml:space="preserve">South Korea</w:t>
            </w:r>
          </w:p>
        </w:tc>
        <w:tc>
          <w:tcPr/>
          <w:p w:rsidR="00000000" w:rsidDel="00000000" w:rsidP="00000000" w:rsidRDefault="00000000" w:rsidRPr="00000000" w14:paraId="0000011D">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1E">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1F">
            <w:pPr>
              <w:ind w:left="90" w:right="-165" w:firstLine="0"/>
              <w:jc w:val="both"/>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ind w:left="90" w:right="-165" w:firstLine="0"/>
              <w:jc w:val="both"/>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1">
            <w:pPr>
              <w:ind w:left="90" w:right="-165" w:firstLine="0"/>
              <w:jc w:val="both"/>
              <w:rPr>
                <w:sz w:val="20"/>
                <w:szCs w:val="20"/>
              </w:rPr>
            </w:pPr>
            <w:r w:rsidDel="00000000" w:rsidR="00000000" w:rsidRPr="00000000">
              <w:rPr>
                <w:sz w:val="20"/>
                <w:szCs w:val="20"/>
                <w:rtl w:val="0"/>
              </w:rPr>
              <w:t xml:space="preserve">Weapons</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2">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3">
            <w:pPr>
              <w:ind w:left="90" w:right="-165" w:firstLine="0"/>
              <w:jc w:val="both"/>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ind w:left="90" w:right="-165" w:firstLine="0"/>
              <w:jc w:val="both"/>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5">
            <w:pPr>
              <w:ind w:left="90" w:right="-165" w:firstLine="0"/>
              <w:jc w:val="both"/>
              <w:rPr>
                <w:sz w:val="20"/>
                <w:szCs w:val="20"/>
              </w:rPr>
            </w:pPr>
            <w:r w:rsidDel="00000000" w:rsidR="00000000" w:rsidRPr="00000000">
              <w:rPr>
                <w:sz w:val="20"/>
                <w:szCs w:val="20"/>
                <w:rtl w:val="0"/>
              </w:rPr>
              <w:t xml:space="preserve">Energy Drilling and Mining</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6">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7">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9">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A">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B">
            <w:pPr>
              <w:ind w:left="90" w:right="-165" w:firstLine="0"/>
              <w:jc w:val="both"/>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ind w:left="90" w:right="-165" w:firstLine="0"/>
              <w:jc w:val="both"/>
              <w:rPr>
                <w:sz w:val="20"/>
                <w:szCs w:val="20"/>
              </w:rPr>
            </w:pPr>
            <w:r w:rsidDel="00000000" w:rsidR="00000000" w:rsidRPr="00000000">
              <w:rPr>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D">
            <w:pPr>
              <w:ind w:left="90" w:right="-165" w:firstLine="0"/>
              <w:jc w:val="both"/>
              <w:rPr>
                <w:sz w:val="20"/>
                <w:szCs w:val="20"/>
              </w:rPr>
            </w:pPr>
            <w:r w:rsidDel="00000000" w:rsidR="00000000" w:rsidRPr="00000000">
              <w:rPr>
                <w:sz w:val="20"/>
                <w:szCs w:val="20"/>
                <w:rtl w:val="0"/>
              </w:rPr>
              <w:t xml:space="preserve">Machinery and Construction</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E">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F">
            <w:pPr>
              <w:ind w:left="90" w:right="-165" w:firstLine="0"/>
              <w:jc w:val="both"/>
              <w:rPr>
                <w:sz w:val="20"/>
                <w:szCs w:val="20"/>
              </w:rPr>
            </w:pPr>
            <w:r w:rsidDel="00000000" w:rsidR="00000000" w:rsidRPr="00000000">
              <w:rPr>
                <w:sz w:val="20"/>
                <w:szCs w:val="20"/>
                <w:rtl w:val="0"/>
              </w:rPr>
              <w:t xml:space="preserve">Weapons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ind w:left="90" w:right="-165" w:firstLine="0"/>
              <w:jc w:val="both"/>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1">
            <w:pPr>
              <w:ind w:left="90" w:right="-165" w:firstLine="0"/>
              <w:jc w:val="both"/>
              <w:rPr>
                <w:sz w:val="20"/>
                <w:szCs w:val="20"/>
              </w:rPr>
            </w:pPr>
            <w:r w:rsidDel="00000000" w:rsidR="00000000" w:rsidRPr="00000000">
              <w:rPr>
                <w:sz w:val="20"/>
                <w:szCs w:val="20"/>
                <w:rtl w:val="0"/>
              </w:rPr>
              <w:t xml:space="preserve">High-complexity Products</w:t>
            </w:r>
            <w:r w:rsidDel="00000000" w:rsidR="00000000" w:rsidRPr="00000000">
              <w:rPr>
                <w:rtl w:val="0"/>
              </w:rPr>
            </w:r>
          </w:p>
        </w:tc>
      </w:tr>
    </w:tbl>
    <w:p w:rsidR="00000000" w:rsidDel="00000000" w:rsidP="00000000" w:rsidRDefault="00000000" w:rsidRPr="00000000" w14:paraId="00000132">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b w:val="1"/>
          <w:bCs w:val="1"/>
        </w:rPr>
      </w:pPr>
      <w:r w:rsidDel="00000000" w:rsidR="00000000" w:rsidRPr="00000000">
        <w:rPr>
          <w:rtl w:val="0"/>
        </w:rPr>
      </w:r>
    </w:p>
    <w:p w:rsidR="00000000" w:rsidDel="00000000" w:rsidP="00000000" w:rsidRDefault="00000000" w:rsidRPr="00000000" w14:paraId="0000013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B">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w:t>
      </w:r>
      <m:oMath>
        <m:r>
          <w:rPr/>
          <m:t xml:space="preserve">p</m:t>
        </m:r>
      </m:oMath>
      <w:r w:rsidDel="00000000" w:rsidR="00000000" w:rsidRPr="00000000">
        <w:rPr>
          <w:rtl w:val="0"/>
        </w:rPr>
        <w:t xml:space="preserve"> that country </w:t>
      </w:r>
      <w:r w:rsidDel="00000000" w:rsidR="00000000" w:rsidRPr="00000000">
        <w:rPr>
          <w:i w:val="1"/>
          <w:iCs w:val="1"/>
          <w:rtl w:val="0"/>
        </w:rPr>
        <w:t xml:space="preserve">c</w:t>
      </w:r>
      <w:r w:rsidDel="00000000" w:rsidR="00000000" w:rsidRPr="00000000">
        <w:rPr>
          <w:rtl w:val="0"/>
        </w:rPr>
        <w:t xml:space="preserve"> is not exporting, i.e., MCP=0.”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MCP=1) has an opportunity gain of zero. An unreasonable investment in a certain product </w:t>
      </w:r>
      <m:oMath>
        <m:r>
          <w:rPr/>
          <m:t xml:space="preserve">p</m:t>
        </m:r>
      </m:oMath>
      <w:r w:rsidDel="00000000" w:rsidR="00000000" w:rsidRPr="00000000">
        <w:rPr>
          <w:rtl w:val="0"/>
        </w:rPr>
        <w:t xml:space="preserve"> would lead to a relative decrement in the export of more profitable products and therefore lead to a negative opportunity gain of product </w:t>
      </w:r>
      <w:r w:rsidDel="00000000" w:rsidR="00000000" w:rsidRPr="00000000">
        <w:rPr>
          <w:i w:val="1"/>
          <w:iCs w:val="1"/>
          <w:rtl w:val="0"/>
        </w:rPr>
        <w:t xml:space="preserve">p</w:t>
      </w:r>
      <w:r w:rsidDel="00000000" w:rsidR="00000000" w:rsidRPr="00000000">
        <w:rPr>
          <w:rtl w:val="0"/>
        </w:rPr>
        <w:t xml:space="preserve">.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C">
      <w:pPr>
        <w:jc w:val="both"/>
        <w:rPr/>
      </w:pPr>
      <w:r w:rsidDel="00000000" w:rsidR="00000000" w:rsidRPr="00000000">
        <w:rPr/>
        <w:drawing>
          <wp:inline distB="114300" distT="114300" distL="114300" distR="114300">
            <wp:extent cx="5731200" cy="1727200"/>
            <wp:effectExtent b="0" l="0" r="0" t="0"/>
            <wp:docPr id="28"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t xml:space="preserve">Table 5a. SDV of High ECI Countries (2013)</w:t>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drawing>
          <wp:inline distB="114300" distT="114300" distL="114300" distR="114300">
            <wp:extent cx="5731200" cy="1651000"/>
            <wp:effectExtent b="0" l="0" r="0" t="0"/>
            <wp:docPr id="8"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t xml:space="preserve">Table 5b. SDV of High ECI Countries (2018)</w:t>
      </w:r>
    </w:p>
    <w:p w:rsidR="00000000" w:rsidDel="00000000" w:rsidP="00000000" w:rsidRDefault="00000000" w:rsidRPr="00000000" w14:paraId="00000141">
      <w:pPr>
        <w:jc w:val="center"/>
        <w:rPr/>
      </w:pPr>
      <w:r w:rsidDel="00000000" w:rsidR="00000000" w:rsidRPr="00000000">
        <w:rPr>
          <w:rtl w:val="0"/>
        </w:rPr>
      </w:r>
    </w:p>
    <w:p w:rsidR="00000000" w:rsidDel="00000000" w:rsidP="00000000" w:rsidRDefault="00000000" w:rsidRPr="00000000" w14:paraId="00000142">
      <w:pPr>
        <w:pageBreakBefore w:val="0"/>
        <w:jc w:val="center"/>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drawing>
          <wp:inline distB="114300" distT="114300" distL="114300" distR="114300">
            <wp:extent cx="5731200" cy="2260600"/>
            <wp:effectExtent b="0" l="0" r="0" t="0"/>
            <wp:docPr id="1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t xml:space="preserve">Table 5c. SDV of Other </w:t>
      </w:r>
      <w:r w:rsidDel="00000000" w:rsidR="00000000" w:rsidRPr="00000000">
        <w:rPr>
          <w:sz w:val="22"/>
          <w:szCs w:val="22"/>
          <w:rtl w:val="0"/>
        </w:rPr>
        <w:t xml:space="preserve">Sample</w:t>
      </w:r>
      <w:r w:rsidDel="00000000" w:rsidR="00000000" w:rsidRPr="00000000">
        <w:rPr>
          <w:rtl w:val="0"/>
        </w:rPr>
        <w:t xml:space="preserve"> Countries (2013)</w:t>
      </w:r>
    </w:p>
    <w:p w:rsidR="00000000" w:rsidDel="00000000" w:rsidP="00000000" w:rsidRDefault="00000000" w:rsidRPr="00000000" w14:paraId="00000145">
      <w:pPr>
        <w:pageBreakBefore w:val="0"/>
        <w:jc w:val="left"/>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We define the ranking of opportunity gain for a country </w:t>
      </w:r>
      <w:r w:rsidDel="00000000" w:rsidR="00000000" w:rsidRPr="00000000">
        <w:rPr>
          <w:i w:val="1"/>
          <w:iCs w:val="1"/>
          <w:rtl w:val="0"/>
        </w:rPr>
        <w:t xml:space="preserve">c</w:t>
      </w:r>
      <w:r w:rsidDel="00000000" w:rsidR="00000000" w:rsidRPr="00000000">
        <w:rPr>
          <w:rtl w:val="0"/>
        </w:rPr>
        <w:t xml:space="preserve">, as the Suggested Development Vector (SDV) of </w:t>
      </w:r>
      <w:r w:rsidDel="00000000" w:rsidR="00000000" w:rsidRPr="00000000">
        <w:rPr>
          <w:i w:val="1"/>
          <w:iCs w:val="1"/>
          <w:rtl w:val="0"/>
        </w:rPr>
        <w:t xml:space="preserve">c</w:t>
      </w:r>
      <w:r w:rsidDel="00000000" w:rsidR="00000000" w:rsidRPr="00000000">
        <w:rPr>
          <w:rtl w:val="0"/>
        </w:rPr>
        <w:t xml:space="preserve">. Tables 5a-5d summarize how the SDV of Mexico compares with a selected group of comparable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Mexico shares the characteristics of leading countries, with a balanced economic structure that leans towards intermediate and high-level industries. </w:t>
      </w:r>
    </w:p>
    <w:p w:rsidR="00000000" w:rsidDel="00000000" w:rsidP="00000000" w:rsidRDefault="00000000" w:rsidRPr="00000000" w14:paraId="00000149">
      <w:pPr>
        <w:pageBreakBefore w:val="0"/>
        <w:jc w:val="both"/>
        <w:rPr/>
      </w:pPr>
      <w:r w:rsidDel="00000000" w:rsidR="00000000" w:rsidRPr="00000000">
        <w:rPr>
          <w:rtl w:val="0"/>
        </w:rPr>
      </w:r>
    </w:p>
    <w:p w:rsidR="00000000" w:rsidDel="00000000" w:rsidP="00000000" w:rsidRDefault="00000000" w:rsidRPr="00000000" w14:paraId="0000014A">
      <w:pPr>
        <w:pageBreakBefore w:val="0"/>
        <w:jc w:val="both"/>
        <w:rPr>
          <w:b w:val="0"/>
          <w:bCs w:val="0"/>
          <w:i w:val="1"/>
          <w:iCs w:val="1"/>
          <w:color w:val="444499"/>
          <w:sz w:val="20"/>
          <w:szCs w:val="20"/>
        </w:rPr>
      </w:pPr>
      <w:r w:rsidDel="00000000" w:rsidR="00000000" w:rsidRPr="00000000">
        <w:rPr/>
        <w:drawing>
          <wp:inline distB="114300" distT="114300" distL="114300" distR="114300">
            <wp:extent cx="5734050" cy="2273300"/>
            <wp:effectExtent b="0" l="0" r="0" t="0"/>
            <wp:docPr id="18"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center"/>
        <w:rPr/>
      </w:pPr>
      <w:r w:rsidDel="00000000" w:rsidR="00000000" w:rsidRPr="00000000">
        <w:rPr>
          <w:sz w:val="22"/>
          <w:szCs w:val="22"/>
          <w:rtl w:val="0"/>
        </w:rPr>
        <w:t xml:space="preserve">Table 5d. SDV of Other Sample Countries (2019)</w:t>
      </w: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4F">
      <w:pPr>
        <w:pageBreakBefore w:val="0"/>
        <w:jc w:val="both"/>
        <w:rPr/>
      </w:pPr>
      <w:r w:rsidDel="00000000" w:rsidR="00000000" w:rsidRPr="00000000">
        <w:rPr>
          <w:rtl w:val="0"/>
        </w:rPr>
      </w:r>
    </w:p>
    <w:p w:rsidR="00000000" w:rsidDel="00000000" w:rsidP="00000000" w:rsidRDefault="00000000" w:rsidRPr="00000000" w14:paraId="00000150">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2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center"/>
        <w:rPr/>
      </w:pPr>
      <w:r w:rsidDel="00000000" w:rsidR="00000000" w:rsidRPr="00000000">
        <w:rPr>
          <w:rtl w:val="0"/>
        </w:rPr>
      </w:r>
    </w:p>
    <w:p w:rsidR="00000000" w:rsidDel="00000000" w:rsidP="00000000" w:rsidRDefault="00000000" w:rsidRPr="00000000" w14:paraId="00000152">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53">
      <w:pPr>
        <w:pageBreakBefore w:val="0"/>
        <w:jc w:val="both"/>
        <w:rPr/>
      </w:pPr>
      <w:r w:rsidDel="00000000" w:rsidR="00000000" w:rsidRPr="00000000">
        <w:rPr>
          <w:rtl w:val="0"/>
        </w:rPr>
        <w:t xml:space="preserve"> </w:t>
      </w:r>
    </w:p>
    <w:p w:rsidR="00000000" w:rsidDel="00000000" w:rsidP="00000000" w:rsidRDefault="00000000" w:rsidRPr="00000000" w14:paraId="00000154">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55">
      <w:pPr>
        <w:pageBreakBefore w:val="0"/>
        <w:jc w:val="both"/>
        <w:rPr/>
      </w:pPr>
      <w:r w:rsidDel="00000000" w:rsidR="00000000" w:rsidRPr="00000000">
        <w:rPr>
          <w:rtl w:val="0"/>
        </w:rPr>
        <w:t xml:space="preserve"> </w:t>
      </w:r>
    </w:p>
    <w:p w:rsidR="00000000" w:rsidDel="00000000" w:rsidP="00000000" w:rsidRDefault="00000000" w:rsidRPr="00000000" w14:paraId="00000156">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57">
      <w:pPr>
        <w:pageBreakBefore w:val="0"/>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2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jc w:val="left"/>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59">
      <w:pPr>
        <w:pageBreakBefore w:val="0"/>
        <w:rPr/>
      </w:pPr>
      <w:r w:rsidDel="00000000" w:rsidR="00000000" w:rsidRPr="00000000">
        <w:rPr>
          <w:rtl w:val="0"/>
        </w:rPr>
        <w:t xml:space="preserve"> </w:t>
      </w:r>
    </w:p>
    <w:p w:rsidR="00000000" w:rsidDel="00000000" w:rsidP="00000000" w:rsidRDefault="00000000" w:rsidRPr="00000000" w14:paraId="0000015A">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5D">
      <w:pPr>
        <w:jc w:val="both"/>
        <w:rPr/>
      </w:pPr>
      <w:r w:rsidDel="00000000" w:rsidR="00000000" w:rsidRPr="00000000">
        <w:rPr>
          <w:rtl w:val="0"/>
        </w:rPr>
        <w:t xml:space="preserve"> </w:t>
      </w:r>
    </w:p>
    <w:p w:rsidR="00000000" w:rsidDel="00000000" w:rsidP="00000000" w:rsidRDefault="00000000" w:rsidRPr="00000000" w14:paraId="0000015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 process of the greedy algorithm. Even though sometimes an increase in the export by 15% or 20% does not seem reasonable to developed countries, it can also give a sense of how a country should develop in the long term. Eventually, the graph, in the end, is just for a numerical explanation for the pie charts.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pPr>
      <w:r w:rsidDel="00000000" w:rsidR="00000000" w:rsidRPr="00000000">
        <w:rPr>
          <w:rtl w:val="0"/>
        </w:rPr>
        <w:t xml:space="preserve">For the purpose of a clear explanation of the line charts, we label all the products in Table 6. Please refer to this table when trying to understand the investment trajectories in the line charts.</w:t>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4">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89">
      <w:pPr>
        <w:pageBreakBefore w:val="0"/>
        <w:jc w:val="center"/>
        <w:rPr/>
      </w:pPr>
      <w:r w:rsidDel="00000000" w:rsidR="00000000" w:rsidRPr="00000000">
        <w:rPr>
          <w:sz w:val="22"/>
          <w:szCs w:val="22"/>
          <w:rtl w:val="0"/>
        </w:rPr>
        <w:t xml:space="preserve">Table 6. Products Labeling</w:t>
      </w: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Mexico in 2013, 2018, and 2021. We can see that for different percentages of heuristic total export growth, the ECI of Mexico will have a different amount of increments. From the graphs, we see that Mexico already obtains some great increment in terms of ECI, but eventually, the ECIs are not so much different in the pre-pandemic years, after which it drops. This trend means that in terms of export, Mexico has already achieved a well-balanced stage. In 2013, in the case of 5 and 10 percent increments, precious stones is the only product that can boost the ECI optimally. For the case of 15 and 20 percent increments, the ECI does not change a lot, but there are still some tiny gains by increasing the export of Machinery and Chemicals. However, the additional investment in these industries offers a small amount of ECI gains. Therefore, under-budgeted constraints, the growth of the export of Precious Stones can optimize the ECI. A more detailed numerical representation of the portfolio is shown in Table 7a. </w:t>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Fonts w:ascii="Times" w:cs="Times" w:eastAsia="Times" w:hAnsi="Times"/>
          <w:b w:val="1"/>
          <w:bCs w:val="1"/>
          <w:sz w:val="28"/>
          <w:szCs w:val="28"/>
        </w:rPr>
        <w:drawing>
          <wp:inline distB="114300" distT="114300" distL="114300" distR="114300">
            <wp:extent cx="5731200" cy="1930400"/>
            <wp:effectExtent b="0" l="0" r="0" t="0"/>
            <wp:docPr id="1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1930400"/>
                    </a:xfrm>
                    <a:prstGeom prst="rect"/>
                    <a:ln/>
                  </pic:spPr>
                </pic:pic>
              </a:graphicData>
            </a:graphic>
          </wp:inline>
        </w:drawing>
      </w:r>
      <w:r w:rsidDel="00000000" w:rsidR="00000000" w:rsidRPr="00000000">
        <w:rPr>
          <w:rFonts w:ascii="Times" w:cs="Times" w:eastAsia="Times" w:hAnsi="Times"/>
          <w:b w:val="1"/>
          <w:bCs w:val="1"/>
          <w:sz w:val="28"/>
          <w:szCs w:val="28"/>
        </w:rPr>
        <w:drawing>
          <wp:inline distB="114300" distT="114300" distL="114300" distR="114300">
            <wp:extent cx="5731200" cy="1981200"/>
            <wp:effectExtent b="0" l="0" r="0" t="0"/>
            <wp:docPr id="15" name="image11.png"/>
            <a:graphic>
              <a:graphicData uri="http://schemas.openxmlformats.org/drawingml/2006/picture">
                <pic:pic>
                  <pic:nvPicPr>
                    <pic:cNvPr id="0" name="image11.png"/>
                    <pic:cNvPicPr preferRelativeResize="0"/>
                  </pic:nvPicPr>
                  <pic:blipFill>
                    <a:blip r:embed="rId21"/>
                    <a:srcRect b="0" l="997"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ageBreakBefore w:val="0"/>
        <w:jc w:val="center"/>
        <w:rPr>
          <w:sz w:val="22"/>
          <w:szCs w:val="22"/>
        </w:rPr>
      </w:pPr>
      <w:r w:rsidDel="00000000" w:rsidR="00000000" w:rsidRPr="00000000">
        <w:rPr>
          <w:sz w:val="22"/>
          <w:szCs w:val="22"/>
          <w:rtl w:val="0"/>
        </w:rPr>
        <w:t xml:space="preserve">Figure 4a. Greedy-Based ECI Improvement Results of Mexico with Different Budgets (2013)</w:t>
      </w:r>
    </w:p>
    <w:p w:rsidR="00000000" w:rsidDel="00000000" w:rsidP="00000000" w:rsidRDefault="00000000" w:rsidRPr="00000000" w14:paraId="0000018E">
      <w:pPr>
        <w:pageBreakBefore w:val="0"/>
        <w:jc w:val="center"/>
        <w:rPr>
          <w:sz w:val="22"/>
          <w:szCs w:val="22"/>
        </w:rPr>
      </w:pPr>
      <w:r w:rsidDel="00000000" w:rsidR="00000000" w:rsidRPr="00000000">
        <w:rPr>
          <w:rtl w:val="0"/>
        </w:rPr>
      </w:r>
    </w:p>
    <w:tbl>
      <w:tblPr>
        <w:tblStyle w:val="Table10"/>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8F">
            <w:pPr>
              <w:jc w:val="center"/>
              <w:rPr>
                <w:sz w:val="20"/>
                <w:szCs w:val="20"/>
              </w:rPr>
            </w:pPr>
            <w:r w:rsidDel="00000000" w:rsidR="00000000" w:rsidRPr="00000000">
              <w:rPr>
                <w:b w:val="1"/>
                <w:bCs w:val="1"/>
                <w:sz w:val="20"/>
                <w:szCs w:val="20"/>
                <w:rtl w:val="0"/>
              </w:rPr>
              <w:t xml:space="preserve">Mexico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5">
            <w:pPr>
              <w:jc w:val="center"/>
              <w:rPr>
                <w:sz w:val="20"/>
                <w:szCs w:val="20"/>
              </w:rPr>
            </w:pPr>
            <w:r w:rsidDel="00000000" w:rsidR="00000000" w:rsidRPr="00000000">
              <w:rPr>
                <w:b w:val="1"/>
                <w:bCs w:val="1"/>
                <w:sz w:val="20"/>
                <w:szCs w:val="20"/>
                <w:rtl w:val="0"/>
              </w:rPr>
              <w:t xml:space="preserve">2.754</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b w:val="1"/>
                <w:bCs w:val="1"/>
                <w:sz w:val="20"/>
                <w:szCs w:val="20"/>
                <w:rtl w:val="0"/>
              </w:rPr>
              <w:t xml:space="preserve">Heuristic Export Growth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B">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D">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Heuristic Export Growth (USD)</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3.00E+10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6.01E+10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1">
            <w:pPr>
              <w:widowControl w:val="0"/>
              <w:spacing w:line="276" w:lineRule="auto"/>
              <w:rPr>
                <w:sz w:val="18"/>
                <w:szCs w:val="18"/>
              </w:rPr>
            </w:pPr>
            <w:r w:rsidDel="00000000" w:rsidR="00000000" w:rsidRPr="00000000">
              <w:rPr>
                <w:sz w:val="18"/>
                <w:szCs w:val="18"/>
                <w:rtl w:val="0"/>
              </w:rPr>
              <w:t xml:space="preserve">9.01E+10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2">
            <w:pPr>
              <w:widowControl w:val="0"/>
              <w:spacing w:line="276" w:lineRule="auto"/>
              <w:rPr>
                <w:sz w:val="18"/>
                <w:szCs w:val="18"/>
              </w:rPr>
            </w:pPr>
            <w:r w:rsidDel="00000000" w:rsidR="00000000" w:rsidRPr="00000000">
              <w:rPr>
                <w:sz w:val="18"/>
                <w:szCs w:val="18"/>
                <w:rtl w:val="0"/>
              </w:rPr>
              <w:t xml:space="preserve">1.20E+11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6">
            <w:pPr>
              <w:widowControl w:val="0"/>
              <w:spacing w:line="276" w:lineRule="auto"/>
              <w:rPr>
                <w:sz w:val="18"/>
                <w:szCs w:val="18"/>
              </w:rPr>
            </w:pPr>
            <w:r w:rsidDel="00000000" w:rsidR="00000000" w:rsidRPr="00000000">
              <w:rPr>
                <w:sz w:val="18"/>
                <w:szCs w:val="18"/>
                <w:rtl w:val="0"/>
              </w:rPr>
              <w:t xml:space="preserve">4.92E+10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7">
            <w:pPr>
              <w:widowControl w:val="0"/>
              <w:spacing w:line="276" w:lineRule="auto"/>
              <w:rPr>
                <w:sz w:val="18"/>
                <w:szCs w:val="18"/>
              </w:rPr>
            </w:pPr>
            <w:r w:rsidDel="00000000" w:rsidR="00000000" w:rsidRPr="00000000">
              <w:rPr>
                <w:sz w:val="18"/>
                <w:szCs w:val="18"/>
                <w:rtl w:val="0"/>
              </w:rPr>
              <w:t xml:space="preserve">5.15E+10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5.46E+09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5.46E+09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B">
            <w:pPr>
              <w:widowControl w:val="0"/>
              <w:spacing w:line="276" w:lineRule="auto"/>
              <w:rPr>
                <w:sz w:val="18"/>
                <w:szCs w:val="18"/>
              </w:rPr>
            </w:pPr>
            <w:r w:rsidDel="00000000" w:rsidR="00000000" w:rsidRPr="00000000">
              <w:rPr>
                <w:sz w:val="18"/>
                <w:szCs w:val="18"/>
                <w:rtl w:val="0"/>
              </w:rPr>
              <w:t xml:space="preserve">8.19E+09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C">
            <w:pPr>
              <w:widowControl w:val="0"/>
              <w:spacing w:line="276" w:lineRule="auto"/>
              <w:rPr>
                <w:sz w:val="18"/>
                <w:szCs w:val="18"/>
              </w:rPr>
            </w:pPr>
            <w:r w:rsidDel="00000000" w:rsidR="00000000" w:rsidRPr="00000000">
              <w:rPr>
                <w:sz w:val="18"/>
                <w:szCs w:val="18"/>
                <w:rtl w:val="0"/>
              </w:rPr>
              <w:t xml:space="preserve">8.58E+09</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0">
            <w:pPr>
              <w:widowControl w:val="0"/>
              <w:spacing w:line="276" w:lineRule="auto"/>
              <w:rPr>
                <w:sz w:val="18"/>
                <w:szCs w:val="18"/>
              </w:rPr>
            </w:pPr>
            <w:r w:rsidDel="00000000" w:rsidR="00000000" w:rsidRPr="00000000">
              <w:rPr>
                <w:sz w:val="18"/>
                <w:szCs w:val="18"/>
                <w:rtl w:val="0"/>
              </w:rPr>
              <w:t xml:space="preserve">8.19E+09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1">
            <w:pPr>
              <w:widowControl w:val="0"/>
              <w:spacing w:line="276" w:lineRule="auto"/>
              <w:rPr>
                <w:sz w:val="18"/>
                <w:szCs w:val="18"/>
              </w:rPr>
            </w:pPr>
            <w:r w:rsidDel="00000000" w:rsidR="00000000" w:rsidRPr="00000000">
              <w:rPr>
                <w:sz w:val="18"/>
                <w:szCs w:val="18"/>
                <w:rtl w:val="0"/>
              </w:rPr>
              <w:t xml:space="preserve">8.58E+09</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2.46E+10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5.46E+10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5">
            <w:pPr>
              <w:widowControl w:val="0"/>
              <w:spacing w:line="276" w:lineRule="auto"/>
              <w:rPr>
                <w:sz w:val="18"/>
                <w:szCs w:val="18"/>
              </w:rPr>
            </w:pPr>
            <w:r w:rsidDel="00000000" w:rsidR="00000000" w:rsidRPr="00000000">
              <w:rPr>
                <w:sz w:val="18"/>
                <w:szCs w:val="18"/>
                <w:rtl w:val="0"/>
              </w:rPr>
              <w:t xml:space="preserve">2.46E+10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6">
            <w:pPr>
              <w:widowControl w:val="0"/>
              <w:spacing w:line="276" w:lineRule="auto"/>
              <w:rPr>
                <w:sz w:val="18"/>
                <w:szCs w:val="18"/>
              </w:rPr>
            </w:pPr>
            <w:r w:rsidDel="00000000" w:rsidR="00000000" w:rsidRPr="00000000">
              <w:rPr>
                <w:sz w:val="18"/>
                <w:szCs w:val="18"/>
                <w:rtl w:val="0"/>
              </w:rPr>
              <w:t xml:space="preserve">5.15E+10</w:t>
            </w:r>
          </w:p>
        </w:tc>
      </w:tr>
      <w:tr>
        <w:trPr>
          <w:cantSplit w:val="0"/>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B7">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B8">
            <w:pPr>
              <w:widowControl w:val="0"/>
              <w:spacing w:line="276" w:lineRule="auto"/>
              <w:rPr>
                <w:b w:val="1"/>
                <w:bCs w:val="1"/>
                <w:sz w:val="20"/>
                <w:szCs w:val="20"/>
              </w:rPr>
            </w:pPr>
            <w:r w:rsidDel="00000000" w:rsidR="00000000" w:rsidRPr="00000000">
              <w:rPr>
                <w:b w:val="1"/>
                <w:bCs w:val="1"/>
                <w:sz w:val="20"/>
                <w:szCs w:val="20"/>
                <w:rtl w:val="0"/>
              </w:rPr>
              <w:t xml:space="preserve"> 4.035</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B9">
            <w:pPr>
              <w:widowControl w:val="0"/>
              <w:spacing w:line="276" w:lineRule="auto"/>
              <w:rPr>
                <w:b w:val="1"/>
                <w:bCs w:val="1"/>
                <w:sz w:val="20"/>
                <w:szCs w:val="20"/>
              </w:rPr>
            </w:pPr>
            <w:r w:rsidDel="00000000" w:rsidR="00000000" w:rsidRPr="00000000">
              <w:rPr>
                <w:b w:val="1"/>
                <w:bCs w:val="1"/>
                <w:sz w:val="20"/>
                <w:szCs w:val="20"/>
                <w:rtl w:val="0"/>
              </w:rPr>
              <w:t xml:space="preserve">  4.035</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BA">
            <w:pPr>
              <w:widowControl w:val="0"/>
              <w:spacing w:line="276" w:lineRule="auto"/>
              <w:rPr>
                <w:b w:val="1"/>
                <w:bCs w:val="1"/>
                <w:sz w:val="20"/>
                <w:szCs w:val="20"/>
              </w:rPr>
            </w:pPr>
            <w:r w:rsidDel="00000000" w:rsidR="00000000" w:rsidRPr="00000000">
              <w:rPr>
                <w:b w:val="1"/>
                <w:bCs w:val="1"/>
                <w:sz w:val="20"/>
                <w:szCs w:val="20"/>
                <w:rtl w:val="0"/>
              </w:rPr>
              <w:t xml:space="preserve">4.044</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BB">
            <w:pPr>
              <w:widowControl w:val="0"/>
              <w:spacing w:line="276" w:lineRule="auto"/>
              <w:rPr>
                <w:b w:val="1"/>
                <w:bCs w:val="1"/>
                <w:sz w:val="20"/>
                <w:szCs w:val="20"/>
              </w:rPr>
            </w:pPr>
            <w:r w:rsidDel="00000000" w:rsidR="00000000" w:rsidRPr="00000000">
              <w:rPr>
                <w:b w:val="1"/>
                <w:bCs w:val="1"/>
                <w:sz w:val="20"/>
                <w:szCs w:val="20"/>
                <w:rtl w:val="0"/>
              </w:rPr>
              <w:t xml:space="preserve">4.044</w:t>
            </w:r>
          </w:p>
        </w:tc>
      </w:tr>
    </w:tbl>
    <w:p w:rsidR="00000000" w:rsidDel="00000000" w:rsidP="00000000" w:rsidRDefault="00000000" w:rsidRPr="00000000" w14:paraId="000001BC">
      <w:pPr>
        <w:jc w:val="center"/>
        <w:rPr/>
      </w:pPr>
      <w:r w:rsidDel="00000000" w:rsidR="00000000" w:rsidRPr="00000000">
        <w:rPr>
          <w:sz w:val="22"/>
          <w:szCs w:val="22"/>
          <w:rtl w:val="0"/>
        </w:rPr>
        <w:t xml:space="preserve">Table 7a. Portfolio of Mexico (2013)</w:t>
      </w:r>
      <w:r w:rsidDel="00000000" w:rsidR="00000000" w:rsidRPr="00000000">
        <w:rPr>
          <w:rtl w:val="0"/>
        </w:rPr>
      </w:r>
    </w:p>
    <w:p w:rsidR="00000000" w:rsidDel="00000000" w:rsidP="00000000" w:rsidRDefault="00000000" w:rsidRPr="00000000" w14:paraId="000001BD">
      <w:pPr>
        <w:jc w:val="left"/>
        <w:rPr/>
      </w:pPr>
      <w:r w:rsidDel="00000000" w:rsidR="00000000" w:rsidRPr="00000000">
        <w:rPr>
          <w:rtl w:val="0"/>
        </w:rPr>
        <w:t xml:space="preserve">For further suggestions on Mexico’s development in the future, we also offer the optimization result of Mexico based on export data in 2018. Below is the economic panel for Mexico in 2018. We can see that for different percentages of heuristic total export growth, the ECI growth pattern of Mexico is tiny for a 5 percent export growth budget but relatively large for 10 percent or more. For the case of 5, some fundamental products stimulate only a small amount of ECI increment, including daily instruments, chemicals, etc. For the case of 10, 15, and 20 percent growth, their ECIs are not so much different, meaning that the economic complexity structure is pretty well-rounded. However, the products that caused the growth are different. These products are Machinery and Construction, High-complexity Products, and Transportation, respectively for 10, 15, and 20 growth situations. Therefore, for optimal future strategy, Mexico should select one of these three industries to prioritize and then develop Chemicals and Chemical Manufacturing. A more detailed numerical representation of the portfolio is shown in Table 7b. </w:t>
      </w:r>
    </w:p>
    <w:p w:rsidR="00000000" w:rsidDel="00000000" w:rsidP="00000000" w:rsidRDefault="00000000" w:rsidRPr="00000000" w14:paraId="000001BE">
      <w:pPr>
        <w:pageBreakBefore w:val="0"/>
        <w:jc w:val="both"/>
        <w:rPr/>
      </w:pPr>
      <w:r w:rsidDel="00000000" w:rsidR="00000000" w:rsidRPr="00000000">
        <w:rPr>
          <w:rtl w:val="0"/>
        </w:rPr>
      </w:r>
    </w:p>
    <w:p w:rsidR="00000000" w:rsidDel="00000000" w:rsidP="00000000" w:rsidRDefault="00000000" w:rsidRPr="00000000" w14:paraId="000001BF">
      <w:pPr>
        <w:pageBreakBefore w:val="0"/>
        <w:jc w:val="both"/>
        <w:rPr/>
      </w:pPr>
      <w:r w:rsidDel="00000000" w:rsidR="00000000" w:rsidRPr="00000000">
        <w:rPr>
          <w:rFonts w:ascii="Times" w:cs="Times" w:eastAsia="Times" w:hAnsi="Times"/>
          <w:b w:val="1"/>
          <w:bCs w:val="1"/>
          <w:sz w:val="28"/>
          <w:szCs w:val="28"/>
        </w:rPr>
        <w:drawing>
          <wp:inline distB="114300" distT="114300" distL="114300" distR="114300">
            <wp:extent cx="5731200" cy="2019300"/>
            <wp:effectExtent b="0" l="0" r="0" t="0"/>
            <wp:docPr id="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019300"/>
                    </a:xfrm>
                    <a:prstGeom prst="rect"/>
                    <a:ln/>
                  </pic:spPr>
                </pic:pic>
              </a:graphicData>
            </a:graphic>
          </wp:inline>
        </w:drawing>
      </w:r>
      <w:r w:rsidDel="00000000" w:rsidR="00000000" w:rsidRPr="00000000">
        <w:rPr>
          <w:rFonts w:ascii="Times" w:cs="Times" w:eastAsia="Times" w:hAnsi="Times"/>
          <w:b w:val="1"/>
          <w:bCs w:val="1"/>
          <w:sz w:val="28"/>
          <w:szCs w:val="28"/>
        </w:rPr>
        <w:drawing>
          <wp:inline distB="114300" distT="114300" distL="114300" distR="114300">
            <wp:extent cx="5731200" cy="2108200"/>
            <wp:effectExtent b="0" l="0" r="0" t="0"/>
            <wp:docPr id="2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sz w:val="22"/>
          <w:szCs w:val="22"/>
        </w:rPr>
      </w:pPr>
      <w:r w:rsidDel="00000000" w:rsidR="00000000" w:rsidRPr="00000000">
        <w:rPr>
          <w:sz w:val="22"/>
          <w:szCs w:val="22"/>
          <w:rtl w:val="0"/>
        </w:rPr>
        <w:t xml:space="preserve">Figure 4b. Greedy-Based ECI Improvement Results of Mexico with Different Budgets (2018)</w:t>
      </w:r>
    </w:p>
    <w:p w:rsidR="00000000" w:rsidDel="00000000" w:rsidP="00000000" w:rsidRDefault="00000000" w:rsidRPr="00000000" w14:paraId="000001C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C2">
      <w:pPr>
        <w:jc w:val="left"/>
        <w:rPr>
          <w:sz w:val="8"/>
          <w:szCs w:val="8"/>
        </w:rPr>
      </w:pPr>
      <w:r w:rsidDel="00000000" w:rsidR="00000000" w:rsidRPr="00000000">
        <w:rPr>
          <w:rtl w:val="0"/>
        </w:rPr>
      </w:r>
    </w:p>
    <w:tbl>
      <w:tblPr>
        <w:tblStyle w:val="Table11"/>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C3">
            <w:pPr>
              <w:jc w:val="center"/>
              <w:rPr>
                <w:sz w:val="20"/>
                <w:szCs w:val="20"/>
              </w:rPr>
            </w:pPr>
            <w:r w:rsidDel="00000000" w:rsidR="00000000" w:rsidRPr="00000000">
              <w:rPr>
                <w:b w:val="1"/>
                <w:bCs w:val="1"/>
                <w:sz w:val="20"/>
                <w:szCs w:val="20"/>
                <w:rtl w:val="0"/>
              </w:rPr>
              <w:t xml:space="preserve">Mexico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9">
            <w:pPr>
              <w:jc w:val="center"/>
              <w:rPr>
                <w:sz w:val="20"/>
                <w:szCs w:val="20"/>
              </w:rPr>
            </w:pPr>
            <w:r w:rsidDel="00000000" w:rsidR="00000000" w:rsidRPr="00000000">
              <w:rPr>
                <w:b w:val="1"/>
                <w:bCs w:val="1"/>
                <w:sz w:val="20"/>
                <w:szCs w:val="20"/>
                <w:rtl w:val="0"/>
              </w:rPr>
              <w:t xml:space="preserve">2.53</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Heuristic Export Growth (USD)</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3">
            <w:pPr>
              <w:widowControl w:val="0"/>
              <w:spacing w:line="276" w:lineRule="auto"/>
              <w:rPr>
                <w:sz w:val="18"/>
                <w:szCs w:val="18"/>
              </w:rPr>
            </w:pPr>
            <w:r w:rsidDel="00000000" w:rsidR="00000000" w:rsidRPr="00000000">
              <w:rPr>
                <w:sz w:val="18"/>
                <w:szCs w:val="18"/>
                <w:rtl w:val="0"/>
              </w:rPr>
              <w:t xml:space="preserve">3.62E+10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7.23E+10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1.01E+11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1.45E+11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8">
            <w:pPr>
              <w:widowControl w:val="0"/>
              <w:spacing w:line="276" w:lineRule="auto"/>
              <w:rPr>
                <w:sz w:val="18"/>
                <w:szCs w:val="18"/>
              </w:rPr>
            </w:pPr>
            <w:r w:rsidDel="00000000" w:rsidR="00000000" w:rsidRPr="00000000">
              <w:rPr>
                <w:sz w:val="18"/>
                <w:szCs w:val="18"/>
                <w:rtl w:val="0"/>
              </w:rPr>
              <w:t xml:space="preserve">9.86E+09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1.31E+10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9.86E+09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1.31E+10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 Manufacturing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D">
            <w:pPr>
              <w:widowControl w:val="0"/>
              <w:spacing w:line="276" w:lineRule="auto"/>
              <w:rPr>
                <w:sz w:val="18"/>
                <w:szCs w:val="18"/>
              </w:rPr>
            </w:pPr>
            <w:r w:rsidDel="00000000" w:rsidR="00000000" w:rsidRPr="00000000">
              <w:rPr>
                <w:sz w:val="18"/>
                <w:szCs w:val="18"/>
                <w:rtl w:val="0"/>
              </w:rPr>
              <w:t xml:space="preserve">3.29E+09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9.86E+09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1.31E+10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2">
            <w:pPr>
              <w:widowControl w:val="0"/>
              <w:spacing w:line="276" w:lineRule="auto"/>
              <w:rPr>
                <w:sz w:val="18"/>
                <w:szCs w:val="18"/>
              </w:rPr>
            </w:pPr>
            <w:r w:rsidDel="00000000" w:rsidR="00000000" w:rsidRPr="00000000">
              <w:rPr>
                <w:sz w:val="18"/>
                <w:szCs w:val="18"/>
                <w:rtl w:val="0"/>
              </w:rPr>
              <w:t xml:space="preserve">3.29E+09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6.57E+09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7">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5.26E+10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3.94E+10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C">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7.89E+10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Daily Instruments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1">
            <w:pPr>
              <w:widowControl w:val="0"/>
              <w:spacing w:line="276" w:lineRule="auto"/>
              <w:rPr>
                <w:sz w:val="18"/>
                <w:szCs w:val="18"/>
              </w:rPr>
            </w:pPr>
            <w:r w:rsidDel="00000000" w:rsidR="00000000" w:rsidRPr="00000000">
              <w:rPr>
                <w:sz w:val="18"/>
                <w:szCs w:val="18"/>
                <w:rtl w:val="0"/>
              </w:rPr>
              <w:t xml:space="preserve">1.97E+10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6">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8.87E+10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0.00E+00</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B">
            <w:pPr>
              <w:widowControl w:val="0"/>
              <w:spacing w:line="276" w:lineRule="auto"/>
              <w:rPr>
                <w:b w:val="1"/>
                <w:bCs w:val="1"/>
                <w:sz w:val="18"/>
                <w:szCs w:val="18"/>
              </w:rPr>
            </w:pPr>
            <w:r w:rsidDel="00000000" w:rsidR="00000000" w:rsidRPr="00000000">
              <w:rPr>
                <w:b w:val="1"/>
                <w:bCs w:val="1"/>
                <w:sz w:val="18"/>
                <w:szCs w:val="18"/>
                <w:rtl w:val="0"/>
              </w:rPr>
              <w:t xml:space="preserve">2.55</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 3.40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3.41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3.41</w:t>
            </w:r>
          </w:p>
        </w:tc>
      </w:tr>
    </w:tbl>
    <w:p w:rsidR="00000000" w:rsidDel="00000000" w:rsidP="00000000" w:rsidRDefault="00000000" w:rsidRPr="00000000" w14:paraId="000001FF">
      <w:pPr>
        <w:pageBreakBefore w:val="0"/>
        <w:jc w:val="center"/>
        <w:rPr>
          <w:sz w:val="22"/>
          <w:szCs w:val="22"/>
        </w:rPr>
      </w:pPr>
      <w:r w:rsidDel="00000000" w:rsidR="00000000" w:rsidRPr="00000000">
        <w:rPr>
          <w:sz w:val="22"/>
          <w:szCs w:val="22"/>
          <w:rtl w:val="0"/>
        </w:rPr>
        <w:t xml:space="preserve">Table 7b. Portfolio of Mexico (2018)</w:t>
      </w:r>
    </w:p>
    <w:p w:rsidR="00000000" w:rsidDel="00000000" w:rsidP="00000000" w:rsidRDefault="00000000" w:rsidRPr="00000000" w14:paraId="00000200">
      <w:pPr>
        <w:pageBreakBefore w:val="0"/>
        <w:jc w:val="center"/>
        <w:rPr>
          <w:sz w:val="22"/>
          <w:szCs w:val="22"/>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T</w:t>
      </w:r>
      <w:r w:rsidDel="00000000" w:rsidR="00000000" w:rsidRPr="00000000">
        <w:rPr>
          <w:rtl w:val="0"/>
        </w:rPr>
        <w:t xml:space="preserve">o comp</w:t>
      </w:r>
      <w:r w:rsidDel="00000000" w:rsidR="00000000" w:rsidRPr="00000000">
        <w:rPr>
          <w:rtl w:val="0"/>
        </w:rPr>
        <w:t xml:space="preserve">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Textiles, followed by Weapons, and Animals and By-Products. A 10 and 15 percent growth both emphasize Precious Stones, followed by Textiles for 10 percent and Vegetables, Fruits, and Plants for 15 percent. A 20 percent growth would require an emphasis on the Textile industry again, followed by Precious Stones. These strategies go in line with the suggested trajectories based on ECI. A slight boost in ECI comes from the export growths at different levels, which differs significantly from the portfolios in 2013 and 2018 with the industries in focus such as Daily Instruments, and Machinery and Construction, with the exception of Vegetables, Fruits, and Plants in 2013. A more detailed numerical representation of the portfolio for Mexico is shown in Table 7c.</w:t>
      </w:r>
    </w:p>
    <w:p w:rsidR="00000000" w:rsidDel="00000000" w:rsidP="00000000" w:rsidRDefault="00000000" w:rsidRPr="00000000" w14:paraId="00000202">
      <w:pPr>
        <w:jc w:val="left"/>
        <w:rPr>
          <w:sz w:val="22"/>
          <w:szCs w:val="22"/>
        </w:rPr>
      </w:pPr>
      <w:r w:rsidDel="00000000" w:rsidR="00000000" w:rsidRPr="00000000">
        <w:rPr>
          <w:sz w:val="22"/>
          <w:szCs w:val="22"/>
        </w:rPr>
        <w:drawing>
          <wp:inline distB="114300" distT="114300" distL="114300" distR="114300">
            <wp:extent cx="5734050" cy="1962150"/>
            <wp:effectExtent b="0" l="0" r="0" t="0"/>
            <wp:docPr id="3" name="image9.png"/>
            <a:graphic>
              <a:graphicData uri="http://schemas.openxmlformats.org/drawingml/2006/picture">
                <pic:pic>
                  <pic:nvPicPr>
                    <pic:cNvPr id="0" name="image9.png"/>
                    <pic:cNvPicPr preferRelativeResize="0"/>
                  </pic:nvPicPr>
                  <pic:blipFill>
                    <a:blip r:embed="rId24"/>
                    <a:srcRect b="27243" l="0" r="0" t="4319"/>
                    <a:stretch>
                      <a:fillRect/>
                    </a:stretch>
                  </pic:blipFill>
                  <pic:spPr>
                    <a:xfrm>
                      <a:off x="0" y="0"/>
                      <a:ext cx="5734050" cy="1962150"/>
                    </a:xfrm>
                    <a:prstGeom prst="rect"/>
                    <a:ln/>
                  </pic:spPr>
                </pic:pic>
              </a:graphicData>
            </a:graphic>
          </wp:inline>
        </w:drawing>
      </w:r>
      <w:r w:rsidDel="00000000" w:rsidR="00000000" w:rsidRPr="00000000">
        <w:rPr>
          <w:sz w:val="22"/>
          <w:szCs w:val="22"/>
        </w:rPr>
        <w:drawing>
          <wp:inline distB="114300" distT="114300" distL="114300" distR="114300">
            <wp:extent cx="5734050" cy="1866900"/>
            <wp:effectExtent b="0" l="0" r="0" t="0"/>
            <wp:docPr id="9" name="image16.png"/>
            <a:graphic>
              <a:graphicData uri="http://schemas.openxmlformats.org/drawingml/2006/picture">
                <pic:pic>
                  <pic:nvPicPr>
                    <pic:cNvPr id="0" name="image16.png"/>
                    <pic:cNvPicPr preferRelativeResize="0"/>
                  </pic:nvPicPr>
                  <pic:blipFill>
                    <a:blip r:embed="rId25"/>
                    <a:srcRect b="13656" l="0" r="0" t="0"/>
                    <a:stretch>
                      <a:fillRect/>
                    </a:stretch>
                  </pic:blipFill>
                  <pic:spPr>
                    <a:xfrm>
                      <a:off x="0" y="0"/>
                      <a:ext cx="5734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sz w:val="22"/>
          <w:szCs w:val="22"/>
        </w:rPr>
      </w:pPr>
      <w:r w:rsidDel="00000000" w:rsidR="00000000" w:rsidRPr="00000000">
        <w:rPr>
          <w:sz w:val="22"/>
          <w:szCs w:val="22"/>
          <w:rtl w:val="0"/>
        </w:rPr>
        <w:t xml:space="preserve">Figure 4c. Greedy-Based ECI Improvement Results of Mexico with Different Budgets (2021)</w:t>
      </w:r>
    </w:p>
    <w:tbl>
      <w:tblPr>
        <w:tblStyle w:val="Table12"/>
        <w:tblW w:w="9555.0" w:type="dxa"/>
        <w:jc w:val="left"/>
        <w:tblInd w:w="-270.0" w:type="dxa"/>
        <w:tblLayout w:type="fixed"/>
        <w:tblLook w:val="0600"/>
      </w:tblPr>
      <w:tblGrid>
        <w:gridCol w:w="2610"/>
        <w:gridCol w:w="1365"/>
        <w:gridCol w:w="1770"/>
        <w:gridCol w:w="1770"/>
        <w:gridCol w:w="2040"/>
        <w:tblGridChange w:id="0">
          <w:tblGrid>
            <w:gridCol w:w="2610"/>
            <w:gridCol w:w="1365"/>
            <w:gridCol w:w="1770"/>
            <w:gridCol w:w="1770"/>
            <w:gridCol w:w="204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bottom"/>
          </w:tcPr>
          <w:p w:rsidR="00000000" w:rsidDel="00000000" w:rsidP="00000000" w:rsidRDefault="00000000" w:rsidRPr="00000000" w14:paraId="00000204">
            <w:pPr>
              <w:jc w:val="center"/>
              <w:rPr>
                <w:sz w:val="22"/>
                <w:szCs w:val="22"/>
              </w:rPr>
            </w:pPr>
            <w:r w:rsidDel="00000000" w:rsidR="00000000" w:rsidRPr="00000000">
              <w:rPr>
                <w:b w:val="1"/>
                <w:bCs w:val="1"/>
                <w:sz w:val="20"/>
                <w:szCs w:val="20"/>
                <w:rtl w:val="0"/>
              </w:rPr>
              <w:t xml:space="preserve">Mexico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0A">
            <w:pPr>
              <w:jc w:val="center"/>
              <w:rPr>
                <w:sz w:val="22"/>
                <w:szCs w:val="22"/>
              </w:rPr>
            </w:pPr>
            <w:r w:rsidDel="00000000" w:rsidR="00000000" w:rsidRPr="00000000">
              <w:rPr>
                <w:b w:val="1"/>
                <w:bCs w:val="1"/>
                <w:sz w:val="20"/>
                <w:szCs w:val="20"/>
                <w:rtl w:val="0"/>
              </w:rPr>
              <w:t xml:space="preserve">-1.69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bottom"/>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0F">
            <w:pPr>
              <w:ind w:left="360" w:firstLine="0"/>
              <w:rPr>
                <w:sz w:val="22"/>
                <w:szCs w:val="22"/>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0">
            <w:pPr>
              <w:ind w:left="360" w:firstLine="0"/>
              <w:rPr>
                <w:sz w:val="22"/>
                <w:szCs w:val="22"/>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1">
            <w:pPr>
              <w:ind w:left="360" w:firstLine="0"/>
              <w:rPr>
                <w:sz w:val="22"/>
                <w:szCs w:val="22"/>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2">
            <w:pPr>
              <w:ind w:left="360" w:firstLine="0"/>
              <w:rPr>
                <w:sz w:val="22"/>
                <w:szCs w:val="22"/>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3">
            <w:pPr>
              <w:jc w:val="left"/>
              <w:rPr>
                <w:sz w:val="22"/>
                <w:szCs w:val="22"/>
              </w:rPr>
            </w:pPr>
            <w:r w:rsidDel="00000000" w:rsidR="00000000" w:rsidRPr="00000000">
              <w:rPr>
                <w:sz w:val="20"/>
                <w:szCs w:val="20"/>
                <w:rtl w:val="0"/>
              </w:rPr>
              <w:t xml:space="preserve">Animals and By-products</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7.29E+09</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1.12E+10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2.14E+10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1.61E+10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bottom"/>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Vegetables, Fruits and Plants</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2.23E+09</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3.22E+10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1.61E+10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Food and Preparations</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8.93E+09</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1.61E+10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1.61E+10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Chemicals</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2.23E+09</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5.36E+09</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Chemical Manufacturing</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5.36E+09</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Textile</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3.10E+10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1.56E+10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2.14E+10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6.97E+10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Transportation</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1.82E+09</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2.23E+09</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5.36E+09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bottom"/>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Weapons</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1.46E+10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Precious Stones</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2.23E+10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5.89E+10</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2.68E+10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bottom"/>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0"/>
                <w:szCs w:val="20"/>
                <w:rtl w:val="0"/>
              </w:rPr>
              <w:t xml:space="preserve">Services and Utilities</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2.23E+09</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5.36E+09</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bottom"/>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2"/>
                <w:szCs w:val="22"/>
              </w:rPr>
            </w:pPr>
            <w:r w:rsidDel="00000000" w:rsidR="00000000" w:rsidRPr="00000000">
              <w:rPr>
                <w:sz w:val="20"/>
                <w:szCs w:val="20"/>
                <w:rtl w:val="0"/>
              </w:rPr>
              <w:t xml:space="preserve">5.36E+09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b w:val="1"/>
                <w:bCs w:val="1"/>
                <w:sz w:val="20"/>
                <w:szCs w:val="20"/>
                <w:rtl w:val="0"/>
              </w:rPr>
              <w:t xml:space="preserve">Increased ECI</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2"/>
                <w:szCs w:val="22"/>
              </w:rPr>
            </w:pPr>
            <w:r w:rsidDel="00000000" w:rsidR="00000000" w:rsidRPr="00000000">
              <w:rPr>
                <w:b w:val="1"/>
                <w:bCs w:val="1"/>
                <w:sz w:val="20"/>
                <w:szCs w:val="20"/>
                <w:rtl w:val="0"/>
              </w:rPr>
              <w:t xml:space="preserve">-0.97</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2"/>
                <w:szCs w:val="22"/>
              </w:rPr>
            </w:pPr>
            <w:r w:rsidDel="00000000" w:rsidR="00000000" w:rsidRPr="00000000">
              <w:rPr>
                <w:b w:val="1"/>
                <w:bCs w:val="1"/>
                <w:sz w:val="20"/>
                <w:szCs w:val="20"/>
                <w:rtl w:val="0"/>
              </w:rPr>
              <w:t xml:space="preserve">-0.18</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2"/>
                <w:szCs w:val="22"/>
              </w:rPr>
            </w:pPr>
            <w:r w:rsidDel="00000000" w:rsidR="00000000" w:rsidRPr="00000000">
              <w:rPr>
                <w:b w:val="1"/>
                <w:bCs w:val="1"/>
                <w:sz w:val="20"/>
                <w:szCs w:val="20"/>
                <w:rtl w:val="0"/>
              </w:rPr>
              <w:t xml:space="preserve">0.87</w:t>
            </w:r>
            <w:r w:rsidDel="00000000" w:rsidR="00000000" w:rsidRPr="00000000">
              <w:rPr>
                <w:rtl w:val="0"/>
              </w:rPr>
            </w:r>
          </w:p>
        </w:tc>
        <w:tc>
          <w:tcPr>
            <w:tcBorders>
              <w:left w:color="000000" w:space="0" w:sz="0" w:val="nil"/>
              <w:bottom w:color="000000" w:space="0" w:sz="0" w:val="nil"/>
            </w:tcBorders>
            <w:shd w:fill="ededed" w:val="clear"/>
            <w:tcMar>
              <w:top w:w="-267.84" w:type="dxa"/>
              <w:left w:w="-267.84" w:type="dxa"/>
              <w:bottom w:w="-267.84" w:type="dxa"/>
              <w:right w:w="-267.84" w:type="dxa"/>
            </w:tcMar>
            <w:vAlign w:val="bottom"/>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sz w:val="22"/>
                <w:szCs w:val="22"/>
              </w:rPr>
            </w:pPr>
            <w:r w:rsidDel="00000000" w:rsidR="00000000" w:rsidRPr="00000000">
              <w:rPr>
                <w:b w:val="1"/>
                <w:bCs w:val="1"/>
                <w:sz w:val="20"/>
                <w:szCs w:val="20"/>
                <w:rtl w:val="0"/>
              </w:rPr>
              <w:t xml:space="preserve">0.79</w:t>
            </w:r>
            <w:r w:rsidDel="00000000" w:rsidR="00000000" w:rsidRPr="00000000">
              <w:rPr>
                <w:rtl w:val="0"/>
              </w:rPr>
            </w:r>
          </w:p>
        </w:tc>
      </w:tr>
    </w:tbl>
    <w:p w:rsidR="00000000" w:rsidDel="00000000" w:rsidP="00000000" w:rsidRDefault="00000000" w:rsidRPr="00000000" w14:paraId="0000024A">
      <w:pPr>
        <w:jc w:val="center"/>
        <w:rPr>
          <w:sz w:val="22"/>
          <w:szCs w:val="22"/>
        </w:rPr>
      </w:pPr>
      <w:r w:rsidDel="00000000" w:rsidR="00000000" w:rsidRPr="00000000">
        <w:rPr>
          <w:sz w:val="22"/>
          <w:szCs w:val="22"/>
          <w:rtl w:val="0"/>
        </w:rPr>
        <w:t xml:space="preserve">Table 7c. Portfolio of Mexico</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24B">
      <w:pPr>
        <w:jc w:val="left"/>
        <w:rPr>
          <w:sz w:val="22"/>
          <w:szCs w:val="22"/>
        </w:rPr>
      </w:pPr>
      <w:r w:rsidDel="00000000" w:rsidR="00000000" w:rsidRPr="00000000">
        <w:rPr>
          <w:rtl w:val="0"/>
        </w:rPr>
      </w:r>
    </w:p>
    <w:p w:rsidR="00000000" w:rsidDel="00000000" w:rsidP="00000000" w:rsidRDefault="00000000" w:rsidRPr="00000000" w14:paraId="0000024C">
      <w:pPr>
        <w:jc w:val="center"/>
        <w:rPr>
          <w:sz w:val="22"/>
          <w:szCs w:val="22"/>
        </w:rPr>
      </w:pPr>
      <w:r w:rsidDel="00000000" w:rsidR="00000000" w:rsidRPr="00000000">
        <w:rPr>
          <w:rtl w:val="0"/>
        </w:rPr>
      </w:r>
    </w:p>
    <w:p w:rsidR="00000000" w:rsidDel="00000000" w:rsidP="00000000" w:rsidRDefault="00000000" w:rsidRPr="00000000" w14:paraId="0000024D">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4E">
      <w:pPr>
        <w:pageBreakBefore w:val="0"/>
        <w:spacing w:after="240" w:before="240" w:line="276" w:lineRule="auto"/>
        <w:rPr/>
      </w:pPr>
      <w:r w:rsidDel="00000000" w:rsidR="00000000" w:rsidRPr="00000000">
        <w:rPr>
          <w:rtl w:val="0"/>
        </w:rPr>
        <w:t xml:space="preserve">In the following section our broad aim is to understand how sensitive Mexico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24F">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250">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51">
      <w:pPr>
        <w:jc w:val="both"/>
        <w:rPr>
          <w:b w:val="1"/>
          <w:bCs w:val="1"/>
        </w:rPr>
      </w:pPr>
      <w:r w:rsidDel="00000000" w:rsidR="00000000" w:rsidRPr="00000000">
        <w:rPr>
          <w:b w:val="1"/>
          <w:bCs w:val="1"/>
        </w:rPr>
        <w:drawing>
          <wp:inline distB="114300" distT="114300" distL="114300" distR="114300">
            <wp:extent cx="5310188" cy="2519630"/>
            <wp:effectExtent b="0" l="0" r="0" t="0"/>
            <wp:docPr id="13"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53">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w:t>
      </w:r>
      <w:r w:rsidDel="00000000" w:rsidR="00000000" w:rsidRPr="00000000">
        <w:rPr>
          <w:rtl w:val="0"/>
        </w:rPr>
        <w:t xml:space="preserve"> Incremental ECI Sensitivity,</w:t>
      </w:r>
      <w:r w:rsidDel="00000000" w:rsidR="00000000" w:rsidRPr="00000000">
        <w:rPr>
          <w:rtl w:val="0"/>
        </w:rPr>
        <w:t xml:space="preserve"> shows positive shocking in which export numbers are shocked upwards per industry. The X-axis is in terms of percentage shock per current dollar value of export. The Y-axis is the recalculated ECI level post-shocking. The second chart,</w:t>
      </w:r>
      <w:r w:rsidDel="00000000" w:rsidR="00000000" w:rsidRPr="00000000">
        <w:rPr>
          <w:rtl w:val="0"/>
        </w:rPr>
        <w:t xml:space="preserve"> Decremental ECI Sensitivity,</w:t>
      </w:r>
      <w:r w:rsidDel="00000000" w:rsidR="00000000" w:rsidRPr="00000000">
        <w:rPr>
          <w:rtl w:val="0"/>
        </w:rPr>
        <w:t xml:space="preserve"> follows the same format except the X-axis represents negative shock. In other words, exports for each industry are decremented, and the ECI is a</w:t>
      </w:r>
      <w:r w:rsidDel="00000000" w:rsidR="00000000" w:rsidRPr="00000000">
        <w:rPr>
          <w:rtl w:val="0"/>
        </w:rPr>
        <w:t xml:space="preserve">ccordingly recomputed.</w:t>
      </w:r>
      <w:r w:rsidDel="00000000" w:rsidR="00000000" w:rsidRPr="00000000">
        <w:rPr>
          <w:rtl w:val="0"/>
        </w:rPr>
      </w:r>
    </w:p>
    <w:p w:rsidR="00000000" w:rsidDel="00000000" w:rsidP="00000000" w:rsidRDefault="00000000" w:rsidRPr="00000000" w14:paraId="0000025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5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t>
      </w:r>
      <w:r w:rsidDel="00000000" w:rsidR="00000000" w:rsidRPr="00000000">
        <w:rPr>
          <w:rtl w:val="0"/>
        </w:rPr>
        <w:t xml:space="preserve">We will be using specifically High Complexity Products and Food and Preparations as our base industries.</w:t>
      </w:r>
      <w:r w:rsidDel="00000000" w:rsidR="00000000" w:rsidRPr="00000000">
        <w:rPr>
          <w:rtl w:val="0"/>
        </w:rPr>
        <w:t xml:space="preserve"> We will be increasing or decreasing the absolute export level in both of these industries and observing the effects on the SDV. </w:t>
      </w:r>
    </w:p>
    <w:p w:rsidR="00000000" w:rsidDel="00000000" w:rsidP="00000000" w:rsidRDefault="00000000" w:rsidRPr="00000000" w14:paraId="0000025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257">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58">
      <w:pPr>
        <w:pageBreakBefore w:val="0"/>
        <w:spacing w:line="276" w:lineRule="auto"/>
        <w:rPr/>
      </w:pPr>
      <w:r w:rsidDel="00000000" w:rsidR="00000000" w:rsidRPr="00000000">
        <w:rPr>
          <w:rtl w:val="0"/>
        </w:rPr>
      </w:r>
    </w:p>
    <w:p w:rsidR="00000000" w:rsidDel="00000000" w:rsidP="00000000" w:rsidRDefault="00000000" w:rsidRPr="00000000" w14:paraId="00000259">
      <w:pPr>
        <w:pageBreakBefore w:val="0"/>
        <w:jc w:val="both"/>
        <w:rPr/>
      </w:pPr>
      <w:r w:rsidDel="00000000" w:rsidR="00000000" w:rsidRPr="00000000">
        <w:rPr/>
        <w:drawing>
          <wp:inline distB="114300" distT="114300" distL="114300" distR="114300">
            <wp:extent cx="5734050" cy="1739900"/>
            <wp:effectExtent b="0" l="0" r="0" t="0"/>
            <wp:docPr id="4"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5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25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25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5E">
      <w:pPr>
        <w:pageBreakBefore w:val="0"/>
        <w:spacing w:line="276" w:lineRule="auto"/>
        <w:rPr/>
      </w:pPr>
      <w:r w:rsidDel="00000000" w:rsidR="00000000" w:rsidRPr="00000000">
        <w:rPr>
          <w:rtl w:val="0"/>
        </w:rPr>
      </w:r>
    </w:p>
    <w:tbl>
      <w:tblPr>
        <w:tblStyle w:val="Table13"/>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E">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F">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3">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7">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8">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A">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AB">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2A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AD">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A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AF">
      <w:pPr>
        <w:pageBreakBefore w:val="0"/>
        <w:jc w:val="both"/>
        <w:rPr/>
      </w:pPr>
      <w:r w:rsidDel="00000000" w:rsidR="00000000" w:rsidRPr="00000000">
        <w:rPr>
          <w:rtl w:val="0"/>
        </w:rPr>
        <w:t xml:space="preserve">We examine Mexico’s ECI Decremental and Incremental Sensitivity Charts for 2021. An increase in High-Complexity Products and Food Preparations will lead to the highest change in ECI, overlapping with the increased export growth analysis and demonstrating the shift toward the need to develop more high-level industries. The strong sensitivity effect of manipulating the Raw Manufacturing category which was present in 2018 and 2013 is no longer present in the 2021 analysis. For the negative shock cases, Vegetables, Fruits, and Plants stand out as the industry that, if decreased, will lead to big improvements in ECI become most impactful, a similar trend across the data from the three years. The rest of the industries do not appear to have the same level of sensitivity.</w:t>
      </w:r>
    </w:p>
    <w:p w:rsidR="00000000" w:rsidDel="00000000" w:rsidP="00000000" w:rsidRDefault="00000000" w:rsidRPr="00000000" w14:paraId="000002B0">
      <w:pPr>
        <w:pageBreakBefore w:val="0"/>
        <w:jc w:val="both"/>
        <w:rPr/>
      </w:pPr>
      <w:r w:rsidDel="00000000" w:rsidR="00000000" w:rsidRPr="00000000">
        <w:rPr/>
        <w:drawing>
          <wp:inline distB="114300" distT="114300" distL="114300" distR="114300">
            <wp:extent cx="5731200" cy="2298700"/>
            <wp:effectExtent b="0" l="0" r="0" t="0"/>
            <wp:docPr id="3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Figure 6a. Incremental ECI Sensitivity for Mexico (2021)</w:t>
      </w:r>
    </w:p>
    <w:p w:rsidR="00000000" w:rsidDel="00000000" w:rsidP="00000000" w:rsidRDefault="00000000" w:rsidRPr="00000000" w14:paraId="000002B3">
      <w:pPr>
        <w:jc w:val="both"/>
        <w:rPr>
          <w:sz w:val="22"/>
          <w:szCs w:val="22"/>
        </w:rPr>
      </w:pPr>
      <w:r w:rsidDel="00000000" w:rsidR="00000000" w:rsidRPr="00000000">
        <w:rPr>
          <w:b w:val="1"/>
          <w:bCs w:val="1"/>
        </w:rPr>
        <w:drawing>
          <wp:inline distB="114300" distT="114300" distL="114300" distR="114300">
            <wp:extent cx="5731200" cy="2032000"/>
            <wp:effectExtent b="0" l="0" r="0" t="0"/>
            <wp:docPr id="1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pPr>
      <w:r w:rsidDel="00000000" w:rsidR="00000000" w:rsidRPr="00000000">
        <w:rPr>
          <w:sz w:val="22"/>
          <w:szCs w:val="22"/>
          <w:rtl w:val="0"/>
        </w:rPr>
        <w:t xml:space="preserve">Figure 6b. Decremental ECI Sensitivity for Mexico (2021)</w:t>
      </w: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Below is Mexico’s 2018 ECI Sensitivity Charts. Firstly in the positive chart, we notice immediately that High Complexity Products, Transportation and Machinery give fairly significant increases in ECI with only a 15-50% increase net export value. Services and Utilities, as well as Daily Instrument also lead to larger ECI levels however over 100% increase in exports are needed in order to experience the ECI expansion. All other industries tend to not greatly affect the ECI level making it fairly clear which industries to pursue. </w:t>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Next we consider Mexico’s 2018 Negative Shock chart. We can see that Mexico is fairly sensitive to the three industries listed above as expected from a country that relies on these industries to bolster its ECI level. Interestingly, even small decreases in export of Vegetables, Fruits and Plants can lead to vast increases in ECI suggesting that this industry is not worthwhile for the Mexican economy in the ECI context.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Pr>
        <w:drawing>
          <wp:inline distB="114300" distT="114300" distL="114300" distR="114300">
            <wp:extent cx="5423847" cy="2747963"/>
            <wp:effectExtent b="0" l="0" r="0" t="0"/>
            <wp:docPr id="6"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423847"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center"/>
        <w:rPr>
          <w:b w:val="0"/>
          <w:bCs w:val="0"/>
          <w:i w:val="1"/>
          <w:iCs w:val="1"/>
          <w:color w:val="444499"/>
          <w:sz w:val="18"/>
          <w:szCs w:val="18"/>
        </w:rPr>
      </w:pPr>
      <w:r w:rsidDel="00000000" w:rsidR="00000000" w:rsidRPr="00000000">
        <w:rPr>
          <w:sz w:val="22"/>
          <w:szCs w:val="22"/>
          <w:rtl w:val="0"/>
        </w:rPr>
        <w:t xml:space="preserve">Figure 7a. Incremental ECI Sensitivity for Mexico (2018)</w:t>
      </w:r>
      <w:r w:rsidDel="00000000" w:rsidR="00000000" w:rsidRPr="00000000">
        <w:rPr>
          <w:rtl w:val="0"/>
        </w:rPr>
      </w:r>
    </w:p>
    <w:p w:rsidR="00000000" w:rsidDel="00000000" w:rsidP="00000000" w:rsidRDefault="00000000" w:rsidRPr="00000000" w14:paraId="000002BB">
      <w:pPr>
        <w:pageBreakBefore w:val="0"/>
        <w:jc w:val="both"/>
        <w:rPr>
          <w:b w:val="1"/>
          <w:bCs w:val="1"/>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Pr>
        <w:drawing>
          <wp:inline distB="114300" distT="114300" distL="114300" distR="114300">
            <wp:extent cx="5367338" cy="2710416"/>
            <wp:effectExtent b="0" l="0" r="0" t="0"/>
            <wp:docPr id="33"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5367338" cy="2710416"/>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b w:val="0"/>
          <w:bCs w:val="0"/>
          <w:i w:val="1"/>
          <w:iCs w:val="1"/>
          <w:color w:val="444499"/>
          <w:sz w:val="20"/>
          <w:szCs w:val="20"/>
        </w:rPr>
      </w:pPr>
      <w:r w:rsidDel="00000000" w:rsidR="00000000" w:rsidRPr="00000000">
        <w:rPr>
          <w:sz w:val="22"/>
          <w:szCs w:val="22"/>
          <w:rtl w:val="0"/>
        </w:rPr>
        <w:t xml:space="preserve">Figure 7b. Decremental ECI Sensitivity for Mexico (2018)</w:t>
      </w:r>
      <w:r w:rsidDel="00000000" w:rsidR="00000000" w:rsidRPr="00000000">
        <w:rPr>
          <w:rtl w:val="0"/>
        </w:rPr>
      </w:r>
    </w:p>
    <w:p w:rsidR="00000000" w:rsidDel="00000000" w:rsidP="00000000" w:rsidRDefault="00000000" w:rsidRPr="00000000" w14:paraId="000002BE">
      <w:pPr>
        <w:pageBreakBefore w:val="0"/>
        <w:jc w:val="center"/>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R</w:t>
      </w:r>
      <w:r w:rsidDel="00000000" w:rsidR="00000000" w:rsidRPr="00000000">
        <w:rPr>
          <w:rtl w:val="0"/>
        </w:rPr>
        <w:t xml:space="preserve">aw Manufacturing, Weapons, Chemical Manufacturing, and Services and Utilities lead to an uptrend in ECI. However, we see that in 2018 Mexico seems to be highly sensitive to increases in Energy Drilling and Mining. </w:t>
      </w: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In the 2013 negative shocking case, we see that again Mexico is very sensitive to drawbacks in Energy.  Again we see that Mexico is highly insensitive to drawdowns in the majority of its industries. However, unlike the 2018 case, we see quite a bit of sensitivity to Metals. </w:t>
      </w:r>
    </w:p>
    <w:p w:rsidR="00000000" w:rsidDel="00000000" w:rsidP="00000000" w:rsidRDefault="00000000" w:rsidRPr="00000000" w14:paraId="000002C2">
      <w:pPr>
        <w:jc w:val="both"/>
        <w:rPr>
          <w:b w:val="1"/>
          <w:bCs w:val="1"/>
        </w:rPr>
      </w:pPr>
      <w:r w:rsidDel="00000000" w:rsidR="00000000" w:rsidRPr="00000000">
        <w:rPr>
          <w:b w:val="1"/>
          <w:bCs w:val="1"/>
        </w:rPr>
        <w:drawing>
          <wp:inline distB="114300" distT="114300" distL="114300" distR="114300">
            <wp:extent cx="5548313" cy="2847644"/>
            <wp:effectExtent b="0" l="0" r="0" t="0"/>
            <wp:docPr id="30" name="image30.jpg"/>
            <a:graphic>
              <a:graphicData uri="http://schemas.openxmlformats.org/drawingml/2006/picture">
                <pic:pic>
                  <pic:nvPicPr>
                    <pic:cNvPr id="0" name="image30.jpg"/>
                    <pic:cNvPicPr preferRelativeResize="0"/>
                  </pic:nvPicPr>
                  <pic:blipFill>
                    <a:blip r:embed="rId32"/>
                    <a:srcRect b="0" l="0" r="0" t="0"/>
                    <a:stretch>
                      <a:fillRect/>
                    </a:stretch>
                  </pic:blipFill>
                  <pic:spPr>
                    <a:xfrm>
                      <a:off x="0" y="0"/>
                      <a:ext cx="5548313" cy="2847644"/>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jc w:val="center"/>
        <w:rPr/>
      </w:pPr>
      <w:r w:rsidDel="00000000" w:rsidR="00000000" w:rsidRPr="00000000">
        <w:rPr>
          <w:sz w:val="22"/>
          <w:szCs w:val="22"/>
          <w:rtl w:val="0"/>
        </w:rPr>
        <w:t xml:space="preserve">Figure 8a. Incremental ECI Sensitivity for Mexico (2013)</w:t>
      </w:r>
      <w:r w:rsidDel="00000000" w:rsidR="00000000" w:rsidRPr="00000000">
        <w:rPr>
          <w:rtl w:val="0"/>
        </w:rPr>
      </w:r>
    </w:p>
    <w:p w:rsidR="00000000" w:rsidDel="00000000" w:rsidP="00000000" w:rsidRDefault="00000000" w:rsidRPr="00000000" w14:paraId="000002C4">
      <w:pPr>
        <w:pageBreakBefore w:val="0"/>
        <w:jc w:val="center"/>
        <w:rPr/>
      </w:pPr>
      <w:r w:rsidDel="00000000" w:rsidR="00000000" w:rsidRPr="00000000">
        <w:rPr>
          <w:rtl w:val="0"/>
        </w:rPr>
      </w:r>
    </w:p>
    <w:p w:rsidR="00000000" w:rsidDel="00000000" w:rsidP="00000000" w:rsidRDefault="00000000" w:rsidRPr="00000000" w14:paraId="000002C5">
      <w:pPr>
        <w:jc w:val="both"/>
        <w:rPr>
          <w:b w:val="1"/>
          <w:bCs w:val="1"/>
        </w:rPr>
      </w:pPr>
      <w:r w:rsidDel="00000000" w:rsidR="00000000" w:rsidRPr="00000000">
        <w:rPr>
          <w:b w:val="1"/>
          <w:bCs w:val="1"/>
        </w:rPr>
        <w:drawing>
          <wp:inline distB="114300" distT="114300" distL="114300" distR="114300">
            <wp:extent cx="5434013" cy="2888512"/>
            <wp:effectExtent b="0" l="0" r="0" t="0"/>
            <wp:docPr id="23"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5434013" cy="2888512"/>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pPr>
      <w:r w:rsidDel="00000000" w:rsidR="00000000" w:rsidRPr="00000000">
        <w:rPr>
          <w:sz w:val="22"/>
          <w:szCs w:val="22"/>
          <w:rtl w:val="0"/>
        </w:rPr>
        <w:t xml:space="preserve">Figure 8b. Decremental ECI Sensitivity for Mexico (2013)</w:t>
      </w:r>
      <w:r w:rsidDel="00000000" w:rsidR="00000000" w:rsidRPr="00000000">
        <w:rPr>
          <w:rtl w:val="0"/>
        </w:rPr>
      </w:r>
    </w:p>
    <w:p w:rsidR="00000000" w:rsidDel="00000000" w:rsidP="00000000" w:rsidRDefault="00000000" w:rsidRPr="00000000" w14:paraId="000002C7">
      <w:pPr>
        <w:pageBreakBefore w:val="0"/>
        <w:jc w:val="both"/>
        <w:rPr>
          <w:b w:val="1"/>
          <w:bCs w:val="1"/>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Below we see the SDV sensitivity charts for High Complexity Products (Tables 11 and 12). We see that everything held at current levels results in an SDV that contains 13 positive opportunity gain industries. Increases in the export of  High Complexity Products leads to the conversion of many positive opportunity gain industries into negative opportunity fain industries since it would be more beneficial to continue to focus on High Complexity Products and industries related to High Complexity Products.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Considering the Negative SDV sensitivity chart we observe that as exports of High Complexity Products decrease the SDV is not very affected. This is because many other industries already begin with a positive opportunity gain and so the export level of High Complexity products does not significantly affect their potential benefits.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jc w:val="center"/>
        <w:rPr>
          <w:b w:val="1"/>
          <w:bCs w:val="1"/>
        </w:rPr>
      </w:pPr>
      <w:r w:rsidDel="00000000" w:rsidR="00000000" w:rsidRPr="00000000">
        <w:rPr>
          <w:b w:val="1"/>
          <w:bCs w:val="1"/>
        </w:rPr>
        <w:drawing>
          <wp:inline distB="114300" distT="114300" distL="114300" distR="114300">
            <wp:extent cx="5009010" cy="2605088"/>
            <wp:effectExtent b="0" l="0" r="0" t="0"/>
            <wp:docPr id="5" name="image17.jpg"/>
            <a:graphic>
              <a:graphicData uri="http://schemas.openxmlformats.org/drawingml/2006/picture">
                <pic:pic>
                  <pic:nvPicPr>
                    <pic:cNvPr id="0" name="image17.jpg"/>
                    <pic:cNvPicPr preferRelativeResize="0"/>
                  </pic:nvPicPr>
                  <pic:blipFill>
                    <a:blip r:embed="rId34"/>
                    <a:srcRect b="0" l="0" r="0" t="0"/>
                    <a:stretch>
                      <a:fillRect/>
                    </a:stretch>
                  </pic:blipFill>
                  <pic:spPr>
                    <a:xfrm>
                      <a:off x="0" y="0"/>
                      <a:ext cx="500901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ind w:left="720" w:firstLine="0"/>
        <w:jc w:val="both"/>
        <w:rPr/>
      </w:pPr>
      <w:r w:rsidDel="00000000" w:rsidR="00000000" w:rsidRPr="00000000">
        <w:rPr>
          <w:sz w:val="22"/>
          <w:szCs w:val="22"/>
          <w:rtl w:val="0"/>
        </w:rPr>
        <w:t xml:space="preserve">Table 11a.</w:t>
      </w:r>
      <w:r w:rsidDel="00000000" w:rsidR="00000000" w:rsidRPr="00000000">
        <w:rPr>
          <w:sz w:val="22"/>
          <w:szCs w:val="22"/>
          <w:rtl w:val="0"/>
        </w:rPr>
        <w:t xml:space="preserve"> </w:t>
      </w:r>
      <w:r w:rsidDel="00000000" w:rsidR="00000000" w:rsidRPr="00000000">
        <w:rPr>
          <w:sz w:val="22"/>
          <w:szCs w:val="22"/>
          <w:rtl w:val="0"/>
        </w:rPr>
        <w:t xml:space="preserve">Mexico’s Incremental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w:t>
      </w:r>
      <w:r w:rsidDel="00000000" w:rsidR="00000000" w:rsidRPr="00000000">
        <w:rPr>
          <w:rtl w:val="0"/>
        </w:rPr>
      </w:r>
    </w:p>
    <w:p w:rsidR="00000000" w:rsidDel="00000000" w:rsidP="00000000" w:rsidRDefault="00000000" w:rsidRPr="00000000" w14:paraId="000002CE">
      <w:pPr>
        <w:jc w:val="left"/>
        <w:rPr>
          <w:b w:val="1"/>
          <w:bCs w:val="1"/>
        </w:rPr>
      </w:pPr>
      <w:r w:rsidDel="00000000" w:rsidR="00000000" w:rsidRPr="00000000">
        <w:rPr>
          <w:rtl w:val="0"/>
        </w:rPr>
      </w:r>
    </w:p>
    <w:p w:rsidR="00000000" w:rsidDel="00000000" w:rsidP="00000000" w:rsidRDefault="00000000" w:rsidRPr="00000000" w14:paraId="000002CF">
      <w:pPr>
        <w:jc w:val="center"/>
        <w:rPr>
          <w:b w:val="1"/>
          <w:bCs w:val="1"/>
        </w:rPr>
      </w:pPr>
      <w:r w:rsidDel="00000000" w:rsidR="00000000" w:rsidRPr="00000000">
        <w:rPr>
          <w:b w:val="1"/>
          <w:bCs w:val="1"/>
        </w:rPr>
        <w:drawing>
          <wp:inline distB="114300" distT="114300" distL="114300" distR="114300">
            <wp:extent cx="4891088" cy="2510542"/>
            <wp:effectExtent b="0" l="0" r="0" t="0"/>
            <wp:docPr id="21" name="image18.jpg"/>
            <a:graphic>
              <a:graphicData uri="http://schemas.openxmlformats.org/drawingml/2006/picture">
                <pic:pic>
                  <pic:nvPicPr>
                    <pic:cNvPr id="0" name="image18.jpg"/>
                    <pic:cNvPicPr preferRelativeResize="0"/>
                  </pic:nvPicPr>
                  <pic:blipFill>
                    <a:blip r:embed="rId35"/>
                    <a:srcRect b="0" l="0" r="0" t="0"/>
                    <a:stretch>
                      <a:fillRect/>
                    </a:stretch>
                  </pic:blipFill>
                  <pic:spPr>
                    <a:xfrm>
                      <a:off x="0" y="0"/>
                      <a:ext cx="4891088" cy="2510542"/>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ind w:left="720" w:firstLine="0"/>
        <w:jc w:val="both"/>
        <w:rPr>
          <w:sz w:val="22"/>
          <w:szCs w:val="22"/>
        </w:rPr>
      </w:pPr>
      <w:r w:rsidDel="00000000" w:rsidR="00000000" w:rsidRPr="00000000">
        <w:rPr>
          <w:sz w:val="22"/>
          <w:szCs w:val="22"/>
          <w:rtl w:val="0"/>
        </w:rPr>
        <w:t xml:space="preserve">Table 11b.</w:t>
      </w:r>
      <w:r w:rsidDel="00000000" w:rsidR="00000000" w:rsidRPr="00000000">
        <w:rPr>
          <w:sz w:val="22"/>
          <w:szCs w:val="22"/>
          <w:rtl w:val="0"/>
        </w:rPr>
        <w:t xml:space="preserve"> </w:t>
      </w:r>
      <w:r w:rsidDel="00000000" w:rsidR="00000000" w:rsidRPr="00000000">
        <w:rPr>
          <w:sz w:val="22"/>
          <w:szCs w:val="22"/>
          <w:rtl w:val="0"/>
        </w:rPr>
        <w:t xml:space="preserve">Mexico’s Decremental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w:t>
      </w:r>
    </w:p>
    <w:p w:rsidR="00000000" w:rsidDel="00000000" w:rsidP="00000000" w:rsidRDefault="00000000" w:rsidRPr="00000000" w14:paraId="000002D1">
      <w:pPr>
        <w:ind w:left="720" w:firstLine="0"/>
        <w:jc w:val="both"/>
        <w:rPr>
          <w:sz w:val="22"/>
          <w:szCs w:val="22"/>
        </w:rPr>
      </w:pPr>
      <w:r w:rsidDel="00000000" w:rsidR="00000000" w:rsidRPr="00000000">
        <w:rPr>
          <w:rtl w:val="0"/>
        </w:rPr>
      </w:r>
    </w:p>
    <w:p w:rsidR="00000000" w:rsidDel="00000000" w:rsidP="00000000" w:rsidRDefault="00000000" w:rsidRPr="00000000" w14:paraId="000002D2">
      <w:pPr>
        <w:rPr>
          <w:sz w:val="22"/>
          <w:szCs w:val="22"/>
        </w:rPr>
      </w:pPr>
      <w:r w:rsidDel="00000000" w:rsidR="00000000" w:rsidRPr="00000000">
        <w:rPr>
          <w:rtl w:val="0"/>
        </w:rPr>
        <w:t xml:space="preserve">Below we see the SDV sensitivity charts for Food and Preparations. As expected for a fairly developed country, Mexico is not very sensitive to both the positive shocking and negative shocking cases for Food and Preparations. The country's SDV is largely unaffected by this particular industry. We note again that 2018 data is more relevant for the analysis as the country has not been affected by the change of policies due to COVID. </w:t>
      </w:r>
      <w:r w:rsidDel="00000000" w:rsidR="00000000" w:rsidRPr="00000000">
        <w:rPr>
          <w:rtl w:val="0"/>
        </w:rPr>
      </w:r>
    </w:p>
    <w:p w:rsidR="00000000" w:rsidDel="00000000" w:rsidP="00000000" w:rsidRDefault="00000000" w:rsidRPr="00000000" w14:paraId="000002D3">
      <w:pPr>
        <w:jc w:val="center"/>
        <w:rPr>
          <w:b w:val="1"/>
          <w:bCs w:val="1"/>
        </w:rPr>
      </w:pPr>
      <w:r w:rsidDel="00000000" w:rsidR="00000000" w:rsidRPr="00000000">
        <w:rPr>
          <w:b w:val="1"/>
          <w:bCs w:val="1"/>
        </w:rPr>
        <w:drawing>
          <wp:inline distB="114300" distT="114300" distL="114300" distR="114300">
            <wp:extent cx="2641848" cy="2614613"/>
            <wp:effectExtent b="0" l="0" r="0" t="0"/>
            <wp:docPr id="31" name="image26.jpg"/>
            <a:graphic>
              <a:graphicData uri="http://schemas.openxmlformats.org/drawingml/2006/picture">
                <pic:pic>
                  <pic:nvPicPr>
                    <pic:cNvPr id="0" name="image26.jpg"/>
                    <pic:cNvPicPr preferRelativeResize="0"/>
                  </pic:nvPicPr>
                  <pic:blipFill>
                    <a:blip r:embed="rId36"/>
                    <a:srcRect b="0" l="0" r="0" t="0"/>
                    <a:stretch>
                      <a:fillRect/>
                    </a:stretch>
                  </pic:blipFill>
                  <pic:spPr>
                    <a:xfrm>
                      <a:off x="0" y="0"/>
                      <a:ext cx="2641848" cy="2614613"/>
                    </a:xfrm>
                    <a:prstGeom prst="rect"/>
                    <a:ln/>
                  </pic:spPr>
                </pic:pic>
              </a:graphicData>
            </a:graphic>
          </wp:inline>
        </w:drawing>
      </w:r>
      <w:r w:rsidDel="00000000" w:rsidR="00000000" w:rsidRPr="00000000">
        <w:rPr>
          <w:b w:val="1"/>
          <w:bCs w:val="1"/>
        </w:rPr>
        <w:drawing>
          <wp:inline distB="114300" distT="114300" distL="114300" distR="114300">
            <wp:extent cx="2614613" cy="2614613"/>
            <wp:effectExtent b="0" l="0" r="0" t="0"/>
            <wp:docPr id="11" name="image7.jpg"/>
            <a:graphic>
              <a:graphicData uri="http://schemas.openxmlformats.org/drawingml/2006/picture">
                <pic:pic>
                  <pic:nvPicPr>
                    <pic:cNvPr id="0" name="image7.jpg"/>
                    <pic:cNvPicPr preferRelativeResize="0"/>
                  </pic:nvPicPr>
                  <pic:blipFill>
                    <a:blip r:embed="rId37"/>
                    <a:srcRect b="0" l="0" r="0" t="0"/>
                    <a:stretch>
                      <a:fillRect/>
                    </a:stretch>
                  </pic:blipFill>
                  <pic:spPr>
                    <a:xfrm>
                      <a:off x="0" y="0"/>
                      <a:ext cx="2614613"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Mexico’s Incremental and Decremental </w:t>
      </w:r>
      <w:r w:rsidDel="00000000" w:rsidR="00000000" w:rsidRPr="00000000">
        <w:rPr>
          <w:sz w:val="22"/>
          <w:szCs w:val="22"/>
          <w:rtl w:val="0"/>
        </w:rPr>
        <w:t xml:space="preserve">SDV Sensitivit</w:t>
      </w:r>
      <w:r w:rsidDel="00000000" w:rsidR="00000000" w:rsidRPr="00000000">
        <w:rPr>
          <w:sz w:val="22"/>
          <w:szCs w:val="22"/>
          <w:rtl w:val="0"/>
        </w:rPr>
        <w:t xml:space="preserve">ies for Food and Preparations (2018)</w:t>
      </w:r>
      <w:r w:rsidDel="00000000" w:rsidR="00000000" w:rsidRPr="00000000">
        <w:rPr>
          <w:rtl w:val="0"/>
        </w:rPr>
      </w:r>
    </w:p>
    <w:p w:rsidR="00000000" w:rsidDel="00000000" w:rsidP="00000000" w:rsidRDefault="00000000" w:rsidRPr="00000000" w14:paraId="000002D5">
      <w:pPr>
        <w:pageBreakBefore w:val="0"/>
        <w:jc w:val="both"/>
        <w:rPr/>
      </w:pPr>
      <w:r w:rsidDel="00000000" w:rsidR="00000000" w:rsidRPr="00000000">
        <w:rPr>
          <w:rtl w:val="0"/>
        </w:rPr>
      </w:r>
    </w:p>
    <w:p w:rsidR="00000000" w:rsidDel="00000000" w:rsidP="00000000" w:rsidRDefault="00000000" w:rsidRPr="00000000" w14:paraId="000002D6">
      <w:pPr>
        <w:pageBreakBefore w:val="0"/>
        <w:jc w:val="both"/>
        <w:rPr/>
      </w:pPr>
      <w:r w:rsidDel="00000000" w:rsidR="00000000" w:rsidRPr="00000000">
        <w:rPr>
          <w:rtl w:val="0"/>
        </w:rPr>
      </w:r>
    </w:p>
    <w:p w:rsidR="00000000" w:rsidDel="00000000" w:rsidP="00000000" w:rsidRDefault="00000000" w:rsidRPr="00000000" w14:paraId="000002D7">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D8">
      <w:pPr>
        <w:pageBreakBefore w:val="0"/>
        <w:jc w:val="both"/>
        <w:rPr>
          <w:b w:val="1"/>
          <w:bCs w:val="1"/>
        </w:rPr>
      </w:pPr>
      <w:r w:rsidDel="00000000" w:rsidR="00000000" w:rsidRPr="00000000">
        <w:rPr>
          <w:rtl w:val="0"/>
        </w:rPr>
      </w:r>
    </w:p>
    <w:p w:rsidR="00000000" w:rsidDel="00000000" w:rsidP="00000000" w:rsidRDefault="00000000" w:rsidRPr="00000000" w14:paraId="000002D9">
      <w:pPr>
        <w:pageBreakBefore w:val="0"/>
        <w:jc w:val="both"/>
        <w:rPr>
          <w:b w:val="1"/>
          <w:bCs w:val="1"/>
          <w:sz w:val="28"/>
          <w:szCs w:val="28"/>
        </w:rPr>
      </w:pPr>
      <w:r w:rsidDel="00000000" w:rsidR="00000000" w:rsidRPr="00000000">
        <w:rPr>
          <w:rtl w:val="0"/>
        </w:rPr>
        <w:t xml:space="preserve">Decreasing export of each industry in Mexico’s current production space by 60% respectively, we derive the contingency strategies shown below.  </w:t>
      </w:r>
      <w:r w:rsidDel="00000000" w:rsidR="00000000" w:rsidRPr="00000000">
        <w:rPr>
          <w:rtl w:val="0"/>
        </w:rPr>
      </w:r>
    </w:p>
    <w:p w:rsidR="00000000" w:rsidDel="00000000" w:rsidP="00000000" w:rsidRDefault="00000000" w:rsidRPr="00000000" w14:paraId="000002DA">
      <w:pPr>
        <w:jc w:val="center"/>
        <w:rPr>
          <w:sz w:val="22"/>
          <w:szCs w:val="22"/>
        </w:rPr>
      </w:pPr>
      <w:r w:rsidDel="00000000" w:rsidR="00000000" w:rsidRPr="00000000">
        <w:rPr>
          <w:rtl w:val="0"/>
        </w:rPr>
      </w:r>
    </w:p>
    <w:tbl>
      <w:tblPr>
        <w:tblStyle w:val="Table14"/>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B">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C">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D">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E">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F">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2">
            <w:pPr>
              <w:widowControl w:val="0"/>
              <w:spacing w:line="276" w:lineRule="auto"/>
              <w:ind w:left="0" w:firstLine="0"/>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3">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4">
            <w:pPr>
              <w:widowControl w:val="0"/>
              <w:spacing w:line="276" w:lineRule="auto"/>
              <w:ind w:left="0" w:firstLine="0"/>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7">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B">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F">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3">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7">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B">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F">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3">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7">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B">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C">
            <w:pPr>
              <w:widowControl w:val="0"/>
              <w:spacing w:line="276" w:lineRule="auto"/>
              <w:ind w:left="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F">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1">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2">
            <w:pPr>
              <w:widowControl w:val="0"/>
              <w:spacing w:line="276" w:lineRule="auto"/>
              <w:ind w:left="0" w:firstLine="0"/>
              <w:rPr>
                <w:sz w:val="20"/>
                <w:szCs w:val="20"/>
              </w:rPr>
            </w:pPr>
            <w:r w:rsidDel="00000000" w:rsidR="00000000" w:rsidRPr="00000000">
              <w:rPr>
                <w:sz w:val="20"/>
                <w:szCs w:val="20"/>
                <w:rtl w:val="0"/>
              </w:rPr>
              <w:t xml:space="preserve">Food and Preparations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3">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7">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B">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F">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0">
            <w:pPr>
              <w:widowControl w:val="0"/>
              <w:spacing w:line="276" w:lineRule="auto"/>
              <w:ind w:left="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2">
            <w:pPr>
              <w:widowControl w:val="0"/>
              <w:spacing w:line="276" w:lineRule="auto"/>
              <w:ind w:left="0" w:firstLine="0"/>
              <w:rPr>
                <w:sz w:val="20"/>
                <w:szCs w:val="20"/>
              </w:rPr>
            </w:pPr>
            <w:r w:rsidDel="00000000" w:rsidR="00000000" w:rsidRPr="00000000">
              <w:rPr>
                <w:sz w:val="20"/>
                <w:szCs w:val="20"/>
                <w:rtl w:val="0"/>
              </w:rPr>
              <w:t xml:space="preserve">HDaily Instruments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3">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5">
            <w:pPr>
              <w:widowControl w:val="0"/>
              <w:spacing w:line="276" w:lineRule="auto"/>
              <w:ind w:left="0" w:firstLine="0"/>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327">
      <w:pPr>
        <w:jc w:val="center"/>
        <w:rPr>
          <w:sz w:val="22"/>
          <w:szCs w:val="22"/>
        </w:rPr>
      </w:pPr>
      <w:r w:rsidDel="00000000" w:rsidR="00000000" w:rsidRPr="00000000">
        <w:rPr>
          <w:sz w:val="22"/>
          <w:szCs w:val="22"/>
          <w:rtl w:val="0"/>
        </w:rPr>
        <w:t xml:space="preserve">Table 13a. Mexico’s Contingency Strategy (2013)</w:t>
      </w:r>
    </w:p>
    <w:p w:rsidR="00000000" w:rsidDel="00000000" w:rsidP="00000000" w:rsidRDefault="00000000" w:rsidRPr="00000000" w14:paraId="00000328">
      <w:pPr>
        <w:jc w:val="left"/>
        <w:rPr>
          <w:sz w:val="22"/>
          <w:szCs w:val="22"/>
        </w:rPr>
      </w:pPr>
      <w:r w:rsidDel="00000000" w:rsidR="00000000" w:rsidRPr="00000000">
        <w:rPr>
          <w:rtl w:val="0"/>
        </w:rPr>
      </w:r>
    </w:p>
    <w:p w:rsidR="00000000" w:rsidDel="00000000" w:rsidP="00000000" w:rsidRDefault="00000000" w:rsidRPr="00000000" w14:paraId="00000329">
      <w:pPr>
        <w:jc w:val="center"/>
        <w:rPr>
          <w:sz w:val="22"/>
          <w:szCs w:val="22"/>
        </w:rPr>
      </w:pPr>
      <w:r w:rsidDel="00000000" w:rsidR="00000000" w:rsidRPr="00000000">
        <w:rPr>
          <w:rtl w:val="0"/>
        </w:rPr>
      </w:r>
    </w:p>
    <w:tbl>
      <w:tblPr>
        <w:tblStyle w:val="Table15"/>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2A">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2B">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2C">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2D">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E">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Food and Preparations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2">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6">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9">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A">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E">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2">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6">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8">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A">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4D">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E">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1">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2">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6">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8">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9">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A">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C">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5D">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E">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0">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1">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2">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4">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5">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6">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8">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A">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C">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D">
            <w:pPr>
              <w:widowControl w:val="0"/>
              <w:spacing w:line="276" w:lineRule="auto"/>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Metals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1">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color w:val="212121"/>
                <w:sz w:val="20"/>
                <w:szCs w:val="20"/>
                <w:rtl w:val="0"/>
              </w:rPr>
              <w:t xml:space="preserve">Metals</w:t>
            </w:r>
            <w:r w:rsidDel="00000000" w:rsidR="00000000" w:rsidRPr="00000000">
              <w:rPr>
                <w:rtl w:val="0"/>
              </w:rPr>
            </w:r>
          </w:p>
        </w:tc>
      </w:tr>
    </w:tbl>
    <w:p w:rsidR="00000000" w:rsidDel="00000000" w:rsidP="00000000" w:rsidRDefault="00000000" w:rsidRPr="00000000" w14:paraId="00000376">
      <w:pPr>
        <w:pageBreakBefore w:val="0"/>
        <w:jc w:val="center"/>
        <w:rPr>
          <w:sz w:val="22"/>
          <w:szCs w:val="22"/>
        </w:rPr>
      </w:pPr>
      <w:r w:rsidDel="00000000" w:rsidR="00000000" w:rsidRPr="00000000">
        <w:rPr>
          <w:sz w:val="22"/>
          <w:szCs w:val="22"/>
          <w:rtl w:val="0"/>
        </w:rPr>
        <w:t xml:space="preserve">Table 13b. Mexico’s Contingency Strategy (2018)</w:t>
      </w:r>
    </w:p>
    <w:p w:rsidR="00000000" w:rsidDel="00000000" w:rsidP="00000000" w:rsidRDefault="00000000" w:rsidRPr="00000000" w14:paraId="00000377">
      <w:pPr>
        <w:jc w:val="left"/>
        <w:rPr/>
      </w:pPr>
      <w:r w:rsidDel="00000000" w:rsidR="00000000" w:rsidRPr="00000000">
        <w:rPr>
          <w:rtl w:val="0"/>
        </w:rPr>
      </w:r>
    </w:p>
    <w:p w:rsidR="00000000" w:rsidDel="00000000" w:rsidP="00000000" w:rsidRDefault="00000000" w:rsidRPr="00000000" w14:paraId="00000378">
      <w:pPr>
        <w:pageBreakBefore w:val="0"/>
        <w:jc w:val="center"/>
        <w:rPr>
          <w:sz w:val="28"/>
          <w:szCs w:val="28"/>
        </w:rPr>
      </w:pPr>
      <w:r w:rsidDel="00000000" w:rsidR="00000000" w:rsidRPr="00000000">
        <w:rPr>
          <w:rtl w:val="0"/>
        </w:rPr>
      </w:r>
    </w:p>
    <w:p w:rsidR="00000000" w:rsidDel="00000000" w:rsidP="00000000" w:rsidRDefault="00000000" w:rsidRPr="00000000" w14:paraId="00000379">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37B">
      <w:pPr>
        <w:pageBreakBefore w:val="0"/>
        <w:jc w:val="both"/>
        <w:rPr>
          <w:b w:val="1"/>
          <w:bCs w:val="1"/>
        </w:rPr>
      </w:pPr>
      <w:r w:rsidDel="00000000" w:rsidR="00000000" w:rsidRPr="00000000">
        <w:rPr>
          <w:rtl w:val="0"/>
        </w:rPr>
      </w:r>
    </w:p>
    <w:p w:rsidR="00000000" w:rsidDel="00000000" w:rsidP="00000000" w:rsidRDefault="00000000" w:rsidRPr="00000000" w14:paraId="0000037C">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37D">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37E">
      <w:pPr>
        <w:pageBreakBefore w:val="0"/>
        <w:jc w:val="both"/>
        <w:rPr/>
      </w:pPr>
      <w:r w:rsidDel="00000000" w:rsidR="00000000" w:rsidRPr="00000000">
        <w:rPr>
          <w:rtl w:val="0"/>
        </w:rPr>
      </w:r>
    </w:p>
    <w:p w:rsidR="00000000" w:rsidDel="00000000" w:rsidP="00000000" w:rsidRDefault="00000000" w:rsidRPr="00000000" w14:paraId="0000037F">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380">
      <w:pPr>
        <w:pageBreakBefore w:val="0"/>
        <w:jc w:val="both"/>
        <w:rPr/>
      </w:pPr>
      <w:r w:rsidDel="00000000" w:rsidR="00000000" w:rsidRPr="00000000">
        <w:rPr>
          <w:rtl w:val="0"/>
        </w:rPr>
      </w:r>
    </w:p>
    <w:tbl>
      <w:tblPr>
        <w:tblStyle w:val="Table1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381">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83">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84">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85">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86">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87">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88">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389">
      <w:pPr>
        <w:pageBreakBefore w:val="0"/>
        <w:jc w:val="left"/>
        <w:rPr/>
      </w:pPr>
      <w:r w:rsidDel="00000000" w:rsidR="00000000" w:rsidRPr="00000000">
        <w:rPr>
          <w:rtl w:val="0"/>
        </w:rPr>
      </w:r>
    </w:p>
    <w:p w:rsidR="00000000" w:rsidDel="00000000" w:rsidP="00000000" w:rsidRDefault="00000000" w:rsidRPr="00000000" w14:paraId="0000038A">
      <w:pPr>
        <w:pageBreakBefore w:val="0"/>
        <w:jc w:val="center"/>
        <w:rPr>
          <w:sz w:val="22"/>
          <w:szCs w:val="22"/>
        </w:rPr>
      </w:pPr>
      <w:r w:rsidDel="00000000" w:rsidR="00000000" w:rsidRPr="00000000">
        <w:rPr>
          <w:sz w:val="22"/>
          <w:szCs w:val="22"/>
          <w:rtl w:val="0"/>
        </w:rPr>
        <w:t xml:space="preserve">Figure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wp:posOffset>
            </wp:positionH>
            <wp:positionV relativeFrom="paragraph">
              <wp:posOffset>38100</wp:posOffset>
            </wp:positionV>
            <wp:extent cx="4608576" cy="3057440"/>
            <wp:effectExtent b="0" l="0" r="0" t="0"/>
            <wp:wrapTopAndBottom distB="0" distT="0"/>
            <wp:docPr id="3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4608576" cy="3057440"/>
                    </a:xfrm>
                    <a:prstGeom prst="rect"/>
                    <a:ln/>
                  </pic:spPr>
                </pic:pic>
              </a:graphicData>
            </a:graphic>
          </wp:anchor>
        </w:drawing>
      </w:r>
    </w:p>
    <w:p w:rsidR="00000000" w:rsidDel="00000000" w:rsidP="00000000" w:rsidRDefault="00000000" w:rsidRPr="00000000" w14:paraId="0000038B">
      <w:pPr>
        <w:pageBreakBefore w:val="0"/>
        <w:jc w:val="both"/>
        <w:rPr/>
      </w:pPr>
      <w:r w:rsidDel="00000000" w:rsidR="00000000" w:rsidRPr="00000000">
        <w:rPr>
          <w:rtl w:val="0"/>
        </w:rPr>
      </w:r>
    </w:p>
    <w:p w:rsidR="00000000" w:rsidDel="00000000" w:rsidP="00000000" w:rsidRDefault="00000000" w:rsidRPr="00000000" w14:paraId="0000038C">
      <w:pPr>
        <w:pageBreakBefore w:val="0"/>
        <w:jc w:val="both"/>
        <w:rPr>
          <w:b w:val="1"/>
          <w:bCs w:val="1"/>
        </w:rPr>
      </w:pPr>
      <w:r w:rsidDel="00000000" w:rsidR="00000000" w:rsidRPr="00000000">
        <w:rPr>
          <w:b w:val="1"/>
          <w:bCs w:val="1"/>
          <w:rtl w:val="0"/>
        </w:rPr>
        <w:t xml:space="preserve">5.2 SOI of Mexico and Its Implications</w:t>
      </w:r>
    </w:p>
    <w:p w:rsidR="00000000" w:rsidDel="00000000" w:rsidP="00000000" w:rsidRDefault="00000000" w:rsidRPr="00000000" w14:paraId="0000038D">
      <w:pPr>
        <w:jc w:val="both"/>
        <w:rPr/>
      </w:pPr>
      <w:r w:rsidDel="00000000" w:rsidR="00000000" w:rsidRPr="00000000">
        <w:rPr>
          <w:rtl w:val="0"/>
        </w:rPr>
        <w:t xml:space="preserve">Mexico, for instance, stands out among the countries in terms of structural optimality. As the regression in Figure 7 suggests (the red curve represents export increase and the blue curve stands for opportunity gain of the corresponding industry), Mexico demonstrates a high level of correlation with the suggested developmental path, having an adjusted R-square of around -6.1%. Mexico ranks 103</w:t>
      </w:r>
      <w:r w:rsidDel="00000000" w:rsidR="00000000" w:rsidRPr="00000000">
        <w:rPr>
          <w:vertAlign w:val="superscript"/>
          <w:rtl w:val="0"/>
        </w:rPr>
        <w:t xml:space="preserve">rd</w:t>
      </w:r>
      <w:r w:rsidDel="00000000" w:rsidR="00000000" w:rsidRPr="00000000">
        <w:rPr>
          <w:rtl w:val="0"/>
        </w:rPr>
        <w:t xml:space="preserve"> place among all countries in terms of SOI and has a 5-year GDP growth rate of 21.3% from 2013 to 2018. This is in direct contrast to developed economies such as the United States, where there is a moderate SOI of around 15.7% and a corresponding annual growth rate of 22.1% similar to that of Mexico. Despite such a difference in SOI, Mexico seems to be growing at the same rate as the USA. As has been expressed, this is likely due to other political and economic factors not covered by the SOI index. It can be said that, Mexico’s growth rate would have likely been higher had it followed a more optimal development strategy. For example, larger investment in High Complexity Products would be a positive factor.</w:t>
      </w:r>
    </w:p>
    <w:p w:rsidR="00000000" w:rsidDel="00000000" w:rsidP="00000000" w:rsidRDefault="00000000" w:rsidRPr="00000000" w14:paraId="0000038E">
      <w:pPr>
        <w:pageBreakBefore w:val="0"/>
        <w:jc w:val="both"/>
        <w:rPr/>
      </w:pPr>
      <w:r w:rsidDel="00000000" w:rsidR="00000000" w:rsidRPr="00000000">
        <w:rPr>
          <w:rtl w:val="0"/>
        </w:rPr>
      </w:r>
    </w:p>
    <w:p w:rsidR="00000000" w:rsidDel="00000000" w:rsidP="00000000" w:rsidRDefault="00000000" w:rsidRPr="00000000" w14:paraId="0000038F">
      <w:pPr>
        <w:jc w:val="center"/>
        <w:rPr/>
      </w:pPr>
      <w:r w:rsidDel="00000000" w:rsidR="00000000" w:rsidRPr="00000000">
        <w:rPr/>
        <w:drawing>
          <wp:inline distB="114300" distT="114300" distL="114300" distR="114300">
            <wp:extent cx="5731200" cy="2298700"/>
            <wp:effectExtent b="0" l="0" r="0" t="0"/>
            <wp:docPr id="35"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center"/>
        <w:rPr>
          <w:sz w:val="22"/>
          <w:szCs w:val="22"/>
        </w:rPr>
      </w:pPr>
      <w:r w:rsidDel="00000000" w:rsidR="00000000" w:rsidRPr="00000000">
        <w:rPr>
          <w:sz w:val="22"/>
          <w:szCs w:val="22"/>
          <w:rtl w:val="0"/>
        </w:rPr>
        <w:t xml:space="preserve">Figure 10a. SOI of Mexico (2009-2014)</w:t>
      </w:r>
    </w:p>
    <w:p w:rsidR="00000000" w:rsidDel="00000000" w:rsidP="00000000" w:rsidRDefault="00000000" w:rsidRPr="00000000" w14:paraId="00000391">
      <w:pPr>
        <w:jc w:val="center"/>
        <w:rPr>
          <w:sz w:val="22"/>
          <w:szCs w:val="22"/>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For the 2019-2021 years, </w:t>
      </w:r>
      <w:r w:rsidDel="00000000" w:rsidR="00000000" w:rsidRPr="00000000">
        <w:rPr>
          <w:rtl w:val="0"/>
        </w:rPr>
        <w:t xml:space="preserve">Mexico has a strong presence in the Weapons industry, which also presents a good opportunity for further investment. It also could consider Energy Drilling and Mining and  Precious Metals to improve its growth. Mexico has seen a growth in GDP over those three years of 1.86%, with an average annual growth of 1.53%, compared to 0.5% for the average yearly growth for the five years prior. While Mexico saw an increase in GDP growth compared to 2013-2018, its post-pandemic recovery is notably slower than other compatible economies’. Mexico also ranked in the fourth quartile </w:t>
      </w:r>
      <w:r w:rsidDel="00000000" w:rsidR="00000000" w:rsidRPr="00000000">
        <w:rPr>
          <w:rtl w:val="0"/>
        </w:rPr>
        <w:t xml:space="preserve">among all countries in terms of SOI</w:t>
      </w: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Significantly higher than before, its adjusted R-squared value of 0.088 still indicates a low correlation between GDP growth and the implemented development path. Progress is slow on a global scale during this period, but Mexico demonstrates a greater ability to adjust to negative economic shocks by improving SOI and increasing GDP growth than it did between 2013 and 2018.</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jc w:val="center"/>
        <w:rPr/>
      </w:pPr>
      <w:r w:rsidDel="00000000" w:rsidR="00000000" w:rsidRPr="00000000">
        <w:rPr/>
        <w:drawing>
          <wp:inline distB="114300" distT="114300" distL="114300" distR="114300">
            <wp:extent cx="5731200" cy="2298700"/>
            <wp:effectExtent b="0" l="0" r="0" t="0"/>
            <wp:docPr id="29"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sz w:val="22"/>
          <w:szCs w:val="22"/>
        </w:rPr>
      </w:pPr>
      <w:r w:rsidDel="00000000" w:rsidR="00000000" w:rsidRPr="00000000">
        <w:rPr>
          <w:sz w:val="22"/>
          <w:szCs w:val="22"/>
          <w:rtl w:val="0"/>
        </w:rPr>
        <w:t xml:space="preserve">Figure 10b. SOI of Mexico (2019-2021)</w:t>
      </w:r>
    </w:p>
    <w:p w:rsidR="00000000" w:rsidDel="00000000" w:rsidP="00000000" w:rsidRDefault="00000000" w:rsidRPr="00000000" w14:paraId="00000399">
      <w:pPr>
        <w:pageBreakBefore w:val="0"/>
        <w:jc w:val="both"/>
        <w:rPr>
          <w:b w:val="1"/>
          <w:bCs w:val="1"/>
        </w:rPr>
      </w:pPr>
      <w:r w:rsidDel="00000000" w:rsidR="00000000" w:rsidRPr="00000000">
        <w:rPr>
          <w:rtl w:val="0"/>
        </w:rPr>
      </w:r>
    </w:p>
    <w:p w:rsidR="00000000" w:rsidDel="00000000" w:rsidP="00000000" w:rsidRDefault="00000000" w:rsidRPr="00000000" w14:paraId="0000039A">
      <w:pPr>
        <w:pageBreakBefore w:val="0"/>
        <w:jc w:val="both"/>
        <w:rPr>
          <w:b w:val="1"/>
          <w:bCs w:val="1"/>
        </w:rPr>
      </w:pPr>
      <w:r w:rsidDel="00000000" w:rsidR="00000000" w:rsidRPr="00000000">
        <w:rPr>
          <w:rtl w:val="0"/>
        </w:rPr>
      </w:r>
    </w:p>
    <w:p w:rsidR="00000000" w:rsidDel="00000000" w:rsidP="00000000" w:rsidRDefault="00000000" w:rsidRPr="00000000" w14:paraId="0000039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39D">
      <w:pPr>
        <w:pageBreakBefore w:val="0"/>
        <w:jc w:val="both"/>
        <w:rPr/>
      </w:pPr>
      <w:r w:rsidDel="00000000" w:rsidR="00000000" w:rsidRPr="00000000">
        <w:rPr>
          <w:rtl w:val="0"/>
        </w:rPr>
      </w:r>
    </w:p>
    <w:p w:rsidR="00000000" w:rsidDel="00000000" w:rsidP="00000000" w:rsidRDefault="00000000" w:rsidRPr="00000000" w14:paraId="0000039E">
      <w:pPr>
        <w:pageBreakBefore w:val="0"/>
        <w:jc w:val="both"/>
        <w:rPr/>
      </w:pPr>
      <w:r w:rsidDel="00000000" w:rsidR="00000000" w:rsidRPr="00000000">
        <w:rPr>
          <w:rtl w:val="0"/>
        </w:rPr>
        <w:t xml:space="preserve">In conclusion, Mexico has demonstrated a low level of economic growth in terms of annual GDP increase during the period from 2013 to 2018, concurrent with stability in economic complexity as compared with other emerging economies in the world. For 2019-2021, the growth in GDP has increased while its ECI decreased, a trend that varied a lot among its comparable countries or some of the leading economies in the world.</w:t>
      </w:r>
    </w:p>
    <w:p w:rsidR="00000000" w:rsidDel="00000000" w:rsidP="00000000" w:rsidRDefault="00000000" w:rsidRPr="00000000" w14:paraId="0000039F">
      <w:pPr>
        <w:pageBreakBefore w:val="0"/>
        <w:jc w:val="both"/>
        <w:rPr/>
      </w:pPr>
      <w:r w:rsidDel="00000000" w:rsidR="00000000" w:rsidRPr="00000000">
        <w:rPr>
          <w:rtl w:val="0"/>
        </w:rPr>
      </w:r>
    </w:p>
    <w:p w:rsidR="00000000" w:rsidDel="00000000" w:rsidP="00000000" w:rsidRDefault="00000000" w:rsidRPr="00000000" w14:paraId="000003A0">
      <w:pPr>
        <w:pageBreakBefore w:val="0"/>
        <w:jc w:val="both"/>
        <w:rPr/>
      </w:pPr>
      <w:r w:rsidDel="00000000" w:rsidR="00000000" w:rsidRPr="00000000">
        <w:rPr>
          <w:rtl w:val="0"/>
        </w:rPr>
        <w:t xml:space="preserve">The progress during the first period, we believe, can be partially explained through the analysis of the economic and product complexity structure of Mexico on the industry group level. The product classification system we adopt allows us to measure the realized industry development for various industry groups and to observe that Mexico invested heavily in developing basic industry groups such as Transportation and Services and Utilities in 2018, while its emerging peers and developed economies around the globe have adopted much more complex growth paths that can be potentially too aggressive and poorly-suited. It shifted its focus toward more complex industries in 2021.</w:t>
      </w:r>
    </w:p>
    <w:p w:rsidR="00000000" w:rsidDel="00000000" w:rsidP="00000000" w:rsidRDefault="00000000" w:rsidRPr="00000000" w14:paraId="000003A1">
      <w:pPr>
        <w:pageBreakBefore w:val="0"/>
        <w:jc w:val="both"/>
        <w:rPr/>
      </w:pPr>
      <w:r w:rsidDel="00000000" w:rsidR="00000000" w:rsidRPr="00000000">
        <w:rPr>
          <w:rtl w:val="0"/>
        </w:rPr>
      </w:r>
    </w:p>
    <w:p w:rsidR="00000000" w:rsidDel="00000000" w:rsidP="00000000" w:rsidRDefault="00000000" w:rsidRPr="00000000" w14:paraId="000003A2">
      <w:pPr>
        <w:pageBreakBefore w:val="0"/>
        <w:jc w:val="both"/>
        <w:rPr/>
      </w:pPr>
      <w:r w:rsidDel="00000000" w:rsidR="00000000" w:rsidRPr="00000000">
        <w:rPr>
          <w:rtl w:val="0"/>
        </w:rPr>
        <w:t xml:space="preserve">Based on our analysis of the opportunity gain and sensitivity analysis of major industry groups for 2013-2018, Mexico can further its gains by prioritizing Daily Instruments and Chemicals. We further note that Mexico has a well-matched development strategy that indicates a particularly high level of structural optimality on the complexity level, having an adjusted R-square of merely -6.1%, compared to 8.8% in 2021. Since a significant positive correlation exists between five-year GDP growth and the structural optimality index of an economy as we define and calculate, Mexico indeed has a nearly optimal growth experience as compared with fast-growing economies both on a regional and global scales and has the potential to further its economic gains through industrial structure optimization as suggested in the paper.</w:t>
      </w:r>
    </w:p>
    <w:p w:rsidR="00000000" w:rsidDel="00000000" w:rsidP="00000000" w:rsidRDefault="00000000" w:rsidRPr="00000000" w14:paraId="000003A3">
      <w:pPr>
        <w:pageBreakBefore w:val="0"/>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t xml:space="preserve">During the second examined period from 2019 to 2021, Mexico performed much stronger than before and compared to other </w:t>
      </w:r>
      <w:r w:rsidDel="00000000" w:rsidR="00000000" w:rsidRPr="00000000">
        <w:rPr>
          <w:rtl w:val="0"/>
        </w:rPr>
        <w:t xml:space="preserve">countries, particularly Germany.</w:t>
      </w:r>
      <w:r w:rsidDel="00000000" w:rsidR="00000000" w:rsidRPr="00000000">
        <w:rPr>
          <w:rtl w:val="0"/>
        </w:rPr>
        <w:t xml:space="preserve"> We also note that Mexico has changed its investment strategy in the sectors identified earlier, still l</w:t>
      </w:r>
      <w:r w:rsidDel="00000000" w:rsidR="00000000" w:rsidRPr="00000000">
        <w:rPr>
          <w:rtl w:val="0"/>
        </w:rPr>
        <w:t xml:space="preserve">eaving some room for strategic improvement</w:t>
      </w:r>
      <w:r w:rsidDel="00000000" w:rsidR="00000000" w:rsidRPr="00000000">
        <w:rPr>
          <w:rtl w:val="0"/>
        </w:rPr>
        <w:t xml:space="preserve"> in Energy Drilling and Precious, Metals, and Chemicals</w:t>
      </w:r>
      <w:r w:rsidDel="00000000" w:rsidR="00000000" w:rsidRPr="00000000">
        <w:rPr>
          <w:rtl w:val="0"/>
        </w:rPr>
        <w:t xml:space="preserve"> industries, for instance.</w:t>
      </w:r>
      <w:r w:rsidDel="00000000" w:rsidR="00000000" w:rsidRPr="00000000">
        <w:rPr>
          <w:rtl w:val="0"/>
        </w:rPr>
        <w:t xml:space="preserve"> It did invest in industries that contributed significantly to its advancements, such as Weapons. The ECI suggests that greater growth could have been achieved through increased export growth in the Textile and Precious Stones industries while being most sensitive to the impact of High-Complexity Products. With the revised focus, Mexico has further potential to advance its economic growth to improve its position among other countries to continue its post-pandemic recovery.</w:t>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pageBreakBefore w:val="0"/>
        <w:jc w:val="both"/>
        <w:rPr/>
      </w:pPr>
      <w:r w:rsidDel="00000000" w:rsidR="00000000" w:rsidRPr="00000000">
        <w:rPr>
          <w:rtl w:val="0"/>
        </w:rPr>
      </w:r>
    </w:p>
    <w:p w:rsidR="00000000" w:rsidDel="00000000" w:rsidP="00000000" w:rsidRDefault="00000000" w:rsidRPr="00000000" w14:paraId="000003A7">
      <w:pPr>
        <w:pageBreakBefore w:val="0"/>
        <w:jc w:val="both"/>
        <w:rPr/>
      </w:pPr>
      <w:r w:rsidDel="00000000" w:rsidR="00000000" w:rsidRPr="00000000">
        <w:rPr>
          <w:rtl w:val="0"/>
        </w:rPr>
      </w:r>
    </w:p>
    <w:p w:rsidR="00000000" w:rsidDel="00000000" w:rsidP="00000000" w:rsidRDefault="00000000" w:rsidRPr="00000000" w14:paraId="000003A8">
      <w:pPr>
        <w:pageBreakBefore w:val="0"/>
        <w:jc w:val="both"/>
        <w:rPr/>
      </w:pPr>
      <w:r w:rsidDel="00000000" w:rsidR="00000000" w:rsidRPr="00000000">
        <w:rPr>
          <w:rtl w:val="0"/>
        </w:rPr>
      </w:r>
    </w:p>
    <w:p w:rsidR="00000000" w:rsidDel="00000000" w:rsidP="00000000" w:rsidRDefault="00000000" w:rsidRPr="00000000" w14:paraId="000003A9">
      <w:pPr>
        <w:pageBreakBefore w:val="0"/>
        <w:jc w:val="both"/>
        <w:rPr/>
      </w:pPr>
      <w:r w:rsidDel="00000000" w:rsidR="00000000" w:rsidRPr="00000000">
        <w:rPr>
          <w:rtl w:val="0"/>
        </w:rPr>
      </w:r>
    </w:p>
    <w:p w:rsidR="00000000" w:rsidDel="00000000" w:rsidP="00000000" w:rsidRDefault="00000000" w:rsidRPr="00000000" w14:paraId="000003AA">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A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A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3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3A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3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3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B6">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B8">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BA">
      <w:pPr>
        <w:pageBreakBefore w:val="0"/>
        <w:jc w:val="both"/>
        <w:rPr>
          <w:color w:val="000000"/>
          <w:highlight w:val="white"/>
        </w:rPr>
      </w:pPr>
      <w:r w:rsidDel="00000000" w:rsidR="00000000" w:rsidRPr="00000000">
        <w:rPr>
          <w:rtl w:val="0"/>
        </w:rPr>
      </w:r>
    </w:p>
    <w:p w:rsidR="00000000" w:rsidDel="00000000" w:rsidP="00000000" w:rsidRDefault="00000000" w:rsidRPr="00000000" w14:paraId="000003B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BC">
      <w:pPr>
        <w:pageBreakBefore w:val="0"/>
        <w:jc w:val="both"/>
        <w:rPr/>
      </w:pPr>
      <w:r w:rsidDel="00000000" w:rsidR="00000000" w:rsidRPr="00000000">
        <w:rPr>
          <w:rtl w:val="0"/>
        </w:rPr>
      </w:r>
    </w:p>
    <w:sectPr>
      <w:headerReference r:id="rId41" w:type="default"/>
      <w:footerReference r:id="rId42" w:type="default"/>
      <w:footerReference r:id="rId43" w:type="first"/>
      <w:footerReference r:id="rId44"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25.png"/><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20.png"/><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footer" Target="footer3.xml"/><Relationship Id="rId24" Type="http://schemas.openxmlformats.org/officeDocument/2006/relationships/image" Target="media/image9.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jpg"/><Relationship Id="rId25" Type="http://schemas.openxmlformats.org/officeDocument/2006/relationships/image" Target="media/image16.png"/><Relationship Id="rId28" Type="http://schemas.openxmlformats.org/officeDocument/2006/relationships/image" Target="media/image29.pn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3.png"/><Relationship Id="rId7" Type="http://schemas.openxmlformats.org/officeDocument/2006/relationships/image" Target="media/image33.png"/><Relationship Id="rId8" Type="http://schemas.openxmlformats.org/officeDocument/2006/relationships/image" Target="media/image23.png"/><Relationship Id="rId31" Type="http://schemas.openxmlformats.org/officeDocument/2006/relationships/image" Target="media/image24.jpg"/><Relationship Id="rId30" Type="http://schemas.openxmlformats.org/officeDocument/2006/relationships/image" Target="media/image12.jpg"/><Relationship Id="rId11" Type="http://schemas.openxmlformats.org/officeDocument/2006/relationships/image" Target="media/image14.png"/><Relationship Id="rId33" Type="http://schemas.openxmlformats.org/officeDocument/2006/relationships/image" Target="media/image21.jpg"/><Relationship Id="rId10" Type="http://schemas.openxmlformats.org/officeDocument/2006/relationships/image" Target="media/image35.png"/><Relationship Id="rId32" Type="http://schemas.openxmlformats.org/officeDocument/2006/relationships/image" Target="media/image30.jpg"/><Relationship Id="rId13" Type="http://schemas.openxmlformats.org/officeDocument/2006/relationships/image" Target="media/image22.png"/><Relationship Id="rId35" Type="http://schemas.openxmlformats.org/officeDocument/2006/relationships/image" Target="media/image18.jpg"/><Relationship Id="rId12" Type="http://schemas.openxmlformats.org/officeDocument/2006/relationships/image" Target="media/image28.png"/><Relationship Id="rId34" Type="http://schemas.openxmlformats.org/officeDocument/2006/relationships/image" Target="media/image17.jpg"/><Relationship Id="rId15" Type="http://schemas.openxmlformats.org/officeDocument/2006/relationships/image" Target="media/image6.jpg"/><Relationship Id="rId37" Type="http://schemas.openxmlformats.org/officeDocument/2006/relationships/image" Target="media/image7.jpg"/><Relationship Id="rId14" Type="http://schemas.openxmlformats.org/officeDocument/2006/relationships/image" Target="media/image34.jpg"/><Relationship Id="rId36" Type="http://schemas.openxmlformats.org/officeDocument/2006/relationships/image" Target="media/image26.jpg"/><Relationship Id="rId17" Type="http://schemas.openxmlformats.org/officeDocument/2006/relationships/image" Target="media/image5.jpg"/><Relationship Id="rId39" Type="http://schemas.openxmlformats.org/officeDocument/2006/relationships/image" Target="media/image32.png"/><Relationship Id="rId16" Type="http://schemas.openxmlformats.org/officeDocument/2006/relationships/image" Target="media/image3.jpg"/><Relationship Id="rId38"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