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3" name="image9.png"/>
            <a:graphic>
              <a:graphicData uri="http://schemas.openxmlformats.org/drawingml/2006/picture">
                <pic:pic>
                  <pic:nvPicPr>
                    <pic:cNvPr descr="horizontal line" id="0" name="image9.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5" name="image29.png"/>
            <a:graphic>
              <a:graphicData uri="http://schemas.openxmlformats.org/drawingml/2006/picture">
                <pic:pic>
                  <pic:nvPicPr>
                    <pic:cNvPr id="0" name="image2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Myanmar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Alex Chung, Kelly Mi, Margarita Demkina, Javier Arevalo </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Myanmar</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Myanmar went through during the period from 2013 to 2018. Specifically, we dive into the topic through a macroeconomic overview of Myanmar from the perspective of Gross Domestic Product (GDP) and Economic Complexity Index (ECI), which reflect countries’ production capability and production structure, respectively. We find that during the period of our interest, Myanmar demonstrated a moderate level of economic growth with an average annual GDP growth rate of 7.09%, concurrent with a decrease in economic complexity as compared with other major developed economies. Average annual GDP growth decreased to to negative 0.89% and ECI index increased significantly during the period between 2019 to 2021. The increase in economic complexity was in opposite trend with the decline of economic complexity of other major developed countries.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Myanmar on the industry group level. The product classification system we adopt allows us to measure the realized industry development for various industry groups and to observe that Myanmar</w:t>
      </w:r>
      <w:r w:rsidDel="00000000" w:rsidR="00000000" w:rsidRPr="00000000">
        <w:rPr>
          <w:rtl w:val="0"/>
        </w:rPr>
        <w:t xml:space="preserve"> consistently relied on developing the Metals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Myanmar can further its gains by prioritizing Textiles, Wood Products, or Daily Instruments. We further note that Myanmar has a slightly mismatched development strategy that indicates a moderate (compared to other developed countries) level of structural optimality on the complexity level, having an adjusted R-square of around </w:t>
      </w:r>
      <w:r w:rsidDel="00000000" w:rsidR="00000000" w:rsidRPr="00000000">
        <w:rPr>
          <w:rtl w:val="0"/>
        </w:rPr>
        <w:t xml:space="preserve">7.51%.</w:t>
      </w:r>
      <w:r w:rsidDel="00000000" w:rsidR="00000000" w:rsidRPr="00000000">
        <w:rPr>
          <w:rtl w:val="0"/>
        </w:rPr>
        <w:t xml:space="preserve"> Since a significant positive correlation exists between five-year GDP growth and the structural optimality index of an economy as we define and calculate, Myanmar, however, still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Myanmar went through during the period from 2013 to 2018, and the impact of COVID-19 on its economic development as observed in 2021. Specifically, we dive into the topic through a macroeconomic overview of Myanmar from the perspective of Gross Domestic Product (GDP) and Economic Complexity Index (ECI), which reflect countries’ production capability and production structure, respectively. We then analyze the industrial framework and changes of Myanmar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Myanmar,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Myanmar and three of its peer countries (Kuwait, Kazakhstan, Oman) from 2013-2018. Similar to most of the other countries, Myanmar generally displayed relatively steady positive growth over all years. Additionally, Myanmar’s average annual growth rate of 7.09% over the five-year period is at the top of its peers, which are 1.54%, 3.91%, and 3.88% for Kuwait, Kazakhstan, and Oman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773325" cy="2556654"/>
            <wp:effectExtent b="0" l="0" r="0" t="0"/>
            <wp:docPr id="2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773325" cy="255665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 (2013-2018)</w:t>
      </w:r>
    </w:p>
    <w:p w:rsidR="00000000" w:rsidDel="00000000" w:rsidP="00000000" w:rsidRDefault="00000000" w:rsidRPr="00000000" w14:paraId="0000001D">
      <w:pPr>
        <w:pageBreakBefore w:val="0"/>
        <w:jc w:val="left"/>
        <w:rPr/>
      </w:pPr>
      <w:r w:rsidDel="00000000" w:rsidR="00000000" w:rsidRPr="00000000">
        <w:rPr>
          <w:rtl w:val="0"/>
        </w:rPr>
      </w:r>
    </w:p>
    <w:p w:rsidR="00000000" w:rsidDel="00000000" w:rsidP="00000000" w:rsidRDefault="00000000" w:rsidRPr="00000000" w14:paraId="0000001E">
      <w:pPr>
        <w:pageBreakBefore w:val="0"/>
        <w:jc w:val="left"/>
        <w:rPr/>
      </w:pPr>
      <w:r w:rsidDel="00000000" w:rsidR="00000000" w:rsidRPr="00000000">
        <w:rPr>
          <w:rtl w:val="0"/>
        </w:rPr>
        <w:t xml:space="preserve">Figure 2 illustrates the time series GDP results in 2019-2021. Unlike the rest of its peer countries, Myanmar was the only country which displayed negative growth over the period, since its GDP decreased to a negative annual growth rate of 0.89%. All of its peer countries experiences a positive annual growth rate for the period (16.23% for Kuwait, 1.9% for Kazakhstan, and 0.03% for Oman). The peer countries also experienced an initial decrease in GDP due to the economic implications of COVID-19 and then a upward growth signaling a recovering of the </w:t>
      </w:r>
      <w:r w:rsidDel="00000000" w:rsidR="00000000" w:rsidRPr="00000000">
        <w:rPr>
          <w:rtl w:val="0"/>
        </w:rPr>
        <w:t xml:space="preserve">countries</w:t>
      </w:r>
      <w:r w:rsidDel="00000000" w:rsidR="00000000" w:rsidRPr="00000000">
        <w:rPr>
          <w:rtl w:val="0"/>
        </w:rPr>
        <w:t xml:space="preserve"> economies from the pandemic. For Myanmar, however, it was the opposite case. The GDP initially increased during the pandemic and later decreased below pre pandemic levels in 2021. This suggests that how Myanmar dealt with the pandemic caused COVID 19 to have a different impact on its economy than the rest of its peer countries.</w:t>
      </w:r>
    </w:p>
    <w:p w:rsidR="00000000" w:rsidDel="00000000" w:rsidP="00000000" w:rsidRDefault="00000000" w:rsidRPr="00000000" w14:paraId="0000001F">
      <w:pPr>
        <w:pageBreakBefore w:val="0"/>
        <w:jc w:val="left"/>
        <w:rPr/>
      </w:pPr>
      <w:r w:rsidDel="00000000" w:rsidR="00000000" w:rsidRPr="00000000">
        <w:rPr>
          <w:rtl w:val="0"/>
        </w:rPr>
      </w:r>
    </w:p>
    <w:p w:rsidR="00000000" w:rsidDel="00000000" w:rsidP="00000000" w:rsidRDefault="00000000" w:rsidRPr="00000000" w14:paraId="00000020">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114300</wp:posOffset>
            </wp:positionV>
            <wp:extent cx="3803287" cy="2538413"/>
            <wp:effectExtent b="0" l="0" r="0" t="0"/>
            <wp:wrapSquare wrapText="bothSides" distB="114300" distT="114300" distL="114300" distR="114300"/>
            <wp:docPr id="19"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3803287" cy="2538413"/>
                    </a:xfrm>
                    <a:prstGeom prst="rect"/>
                    <a:ln/>
                  </pic:spPr>
                </pic:pic>
              </a:graphicData>
            </a:graphic>
          </wp:anchor>
        </w:drawing>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rtl w:val="0"/>
        </w:rPr>
      </w:r>
    </w:p>
    <w:p w:rsidR="00000000" w:rsidDel="00000000" w:rsidP="00000000" w:rsidRDefault="00000000" w:rsidRPr="00000000" w14:paraId="00000024">
      <w:pPr>
        <w:pageBreakBefore w:val="0"/>
        <w:jc w:val="both"/>
        <w:rPr>
          <w:b w:val="1"/>
          <w:bCs w:val="1"/>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rtl w:val="0"/>
        </w:rPr>
      </w:r>
    </w:p>
    <w:p w:rsidR="00000000" w:rsidDel="00000000" w:rsidP="00000000" w:rsidRDefault="00000000" w:rsidRPr="00000000" w14:paraId="00000026">
      <w:pPr>
        <w:pageBreakBefore w:val="0"/>
        <w:jc w:val="both"/>
        <w:rPr>
          <w:b w:val="1"/>
          <w:bCs w:val="1"/>
        </w:rPr>
      </w:pPr>
      <w:r w:rsidDel="00000000" w:rsidR="00000000" w:rsidRPr="00000000">
        <w:rPr>
          <w:rtl w:val="0"/>
        </w:rPr>
      </w:r>
    </w:p>
    <w:p w:rsidR="00000000" w:rsidDel="00000000" w:rsidP="00000000" w:rsidRDefault="00000000" w:rsidRPr="00000000" w14:paraId="00000027">
      <w:pPr>
        <w:pageBreakBefore w:val="0"/>
        <w:jc w:val="both"/>
        <w:rPr>
          <w:b w:val="1"/>
          <w:bCs w:val="1"/>
        </w:rPr>
      </w:pPr>
      <w:r w:rsidDel="00000000" w:rsidR="00000000" w:rsidRPr="00000000">
        <w:rPr>
          <w:rtl w:val="0"/>
        </w:rPr>
      </w:r>
    </w:p>
    <w:p w:rsidR="00000000" w:rsidDel="00000000" w:rsidP="00000000" w:rsidRDefault="00000000" w:rsidRPr="00000000" w14:paraId="00000028">
      <w:pPr>
        <w:pageBreakBefore w:val="0"/>
        <w:jc w:val="both"/>
        <w:rPr>
          <w:b w:val="1"/>
          <w:bCs w:val="1"/>
        </w:rPr>
      </w:pPr>
      <w:r w:rsidDel="00000000" w:rsidR="00000000" w:rsidRPr="00000000">
        <w:rPr>
          <w:rtl w:val="0"/>
        </w:rPr>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b w:val="1"/>
          <w:bCs w:val="1"/>
        </w:rPr>
      </w:pP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center"/>
        <w:rPr/>
      </w:pPr>
      <w:r w:rsidDel="00000000" w:rsidR="00000000" w:rsidRPr="00000000">
        <w:rPr>
          <w:rtl w:val="0"/>
        </w:rPr>
        <w:t xml:space="preserve">Figure 2: GDP Comparison Among Leading Economies (2019-2021)</w:t>
      </w:r>
    </w:p>
    <w:p w:rsidR="00000000" w:rsidDel="00000000" w:rsidP="00000000" w:rsidRDefault="00000000" w:rsidRPr="00000000" w14:paraId="00000031">
      <w:pPr>
        <w:pageBreakBefore w:val="0"/>
        <w:jc w:val="both"/>
        <w:rPr>
          <w:b w:val="1"/>
          <w:bCs w:val="1"/>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3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Myanmar. As illustrated in Figure 3 below, Myanmar (-64.32% ECI change) exhibited a decrease in terms of its production capability from 2013 to 2018, which is similar to Kazakhstan (-118.18%) and Oman (-440.13%), but different from Kuwait (70.41%). Ultimately, Myanmar is in the middle of the peer country set, as it displays the highest GDP growth rate and average ECI change across the period of 2013-2018.</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center"/>
        <w:rPr/>
      </w:pPr>
      <w:r w:rsidDel="00000000" w:rsidR="00000000" w:rsidRPr="00000000">
        <w:rPr>
          <w:rtl w:val="0"/>
        </w:rPr>
      </w:r>
    </w:p>
    <w:p w:rsidR="00000000" w:rsidDel="00000000" w:rsidP="00000000" w:rsidRDefault="00000000" w:rsidRPr="00000000" w14:paraId="00000037">
      <w:pPr>
        <w:pageBreakBefore w:val="0"/>
        <w:jc w:val="center"/>
        <w:rPr/>
      </w:pPr>
      <w:r w:rsidDel="00000000" w:rsidR="00000000" w:rsidRPr="00000000">
        <w:rPr/>
        <w:drawing>
          <wp:inline distB="114300" distT="114300" distL="114300" distR="114300">
            <wp:extent cx="3751874" cy="2528888"/>
            <wp:effectExtent b="0" l="0" r="0" t="0"/>
            <wp:docPr id="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751874"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jc w:val="center"/>
        <w:rPr/>
      </w:pPr>
      <w:r w:rsidDel="00000000" w:rsidR="00000000" w:rsidRPr="00000000">
        <w:rPr>
          <w:rtl w:val="0"/>
        </w:rPr>
        <w:t xml:space="preserve">       Figure 3: ECI Comparison (2013-2018)</w:t>
      </w:r>
    </w:p>
    <w:p w:rsidR="00000000" w:rsidDel="00000000" w:rsidP="00000000" w:rsidRDefault="00000000" w:rsidRPr="00000000" w14:paraId="00000039">
      <w:pPr>
        <w:pageBreakBefore w:val="0"/>
        <w:jc w:val="center"/>
        <w:rPr/>
      </w:pPr>
      <w:r w:rsidDel="00000000" w:rsidR="00000000" w:rsidRPr="00000000">
        <w:rPr>
          <w:rtl w:val="0"/>
        </w:rPr>
      </w:r>
    </w:p>
    <w:p w:rsidR="00000000" w:rsidDel="00000000" w:rsidP="00000000" w:rsidRDefault="00000000" w:rsidRPr="00000000" w14:paraId="0000003A">
      <w:pPr>
        <w:pageBreakBefore w:val="0"/>
        <w:jc w:val="center"/>
        <w:rPr/>
      </w:pPr>
      <w:r w:rsidDel="00000000" w:rsidR="00000000" w:rsidRPr="00000000">
        <w:rPr>
          <w:rtl w:val="0"/>
        </w:rPr>
      </w:r>
    </w:p>
    <w:p w:rsidR="00000000" w:rsidDel="00000000" w:rsidP="00000000" w:rsidRDefault="00000000" w:rsidRPr="00000000" w14:paraId="0000003B">
      <w:pPr>
        <w:pageBreakBefore w:val="0"/>
        <w:jc w:val="left"/>
        <w:rPr/>
      </w:pPr>
      <w:r w:rsidDel="00000000" w:rsidR="00000000" w:rsidRPr="00000000">
        <w:rPr>
          <w:rtl w:val="0"/>
        </w:rPr>
        <w:t xml:space="preserve">However, as shown in Figure 4, Myanmar was also the exception among its peer countries in terms of its ECI index. During the period between 2019 and 2020, all of its peer countries experienced a decrease in ECI index while Myanmar was the only country to exhibit an increase in its ECI index. During the years 2020 to 2021 it can be seen that Myanmar had a significant increase in ECI when compared to its peer country Oman. Note that no data was available for ECI index for Kuwait and Kazakhstan for the 2021 year. </w:t>
      </w:r>
    </w:p>
    <w:p w:rsidR="00000000" w:rsidDel="00000000" w:rsidP="00000000" w:rsidRDefault="00000000" w:rsidRPr="00000000" w14:paraId="0000003C">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190500</wp:posOffset>
            </wp:positionV>
            <wp:extent cx="3386138" cy="2208982"/>
            <wp:effectExtent b="0" l="0" r="0" t="0"/>
            <wp:wrapSquare wrapText="bothSides" distB="114300" distT="114300" distL="114300" distR="114300"/>
            <wp:docPr id="25"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386138" cy="2208982"/>
                    </a:xfrm>
                    <a:prstGeom prst="rect"/>
                    <a:ln/>
                  </pic:spPr>
                </pic:pic>
              </a:graphicData>
            </a:graphic>
          </wp:anchor>
        </w:drawing>
      </w:r>
    </w:p>
    <w:p w:rsidR="00000000" w:rsidDel="00000000" w:rsidP="00000000" w:rsidRDefault="00000000" w:rsidRPr="00000000" w14:paraId="0000003D">
      <w:pPr>
        <w:pageBreakBefore w:val="0"/>
        <w:jc w:val="left"/>
        <w:rPr/>
      </w:pPr>
      <w:r w:rsidDel="00000000" w:rsidR="00000000" w:rsidRPr="00000000">
        <w:rPr>
          <w:rtl w:val="0"/>
        </w:rPr>
      </w:r>
    </w:p>
    <w:p w:rsidR="00000000" w:rsidDel="00000000" w:rsidP="00000000" w:rsidRDefault="00000000" w:rsidRPr="00000000" w14:paraId="0000003E">
      <w:pPr>
        <w:pageBreakBefore w:val="0"/>
        <w:jc w:val="left"/>
        <w:rPr/>
      </w:pPr>
      <w:r w:rsidDel="00000000" w:rsidR="00000000" w:rsidRPr="00000000">
        <w:rPr>
          <w:rtl w:val="0"/>
        </w:rPr>
      </w:r>
    </w:p>
    <w:p w:rsidR="00000000" w:rsidDel="00000000" w:rsidP="00000000" w:rsidRDefault="00000000" w:rsidRPr="00000000" w14:paraId="0000003F">
      <w:pPr>
        <w:pageBreakBefore w:val="0"/>
        <w:jc w:val="left"/>
        <w:rPr/>
      </w:pPr>
      <w:r w:rsidDel="00000000" w:rsidR="00000000" w:rsidRPr="00000000">
        <w:rPr>
          <w:rtl w:val="0"/>
        </w:rPr>
      </w:r>
    </w:p>
    <w:p w:rsidR="00000000" w:rsidDel="00000000" w:rsidP="00000000" w:rsidRDefault="00000000" w:rsidRPr="00000000" w14:paraId="00000040">
      <w:pPr>
        <w:pageBreakBefore w:val="0"/>
        <w:jc w:val="left"/>
        <w:rPr/>
      </w:pPr>
      <w:r w:rsidDel="00000000" w:rsidR="00000000" w:rsidRPr="00000000">
        <w:rPr>
          <w:rtl w:val="0"/>
        </w:rPr>
      </w:r>
    </w:p>
    <w:p w:rsidR="00000000" w:rsidDel="00000000" w:rsidP="00000000" w:rsidRDefault="00000000" w:rsidRPr="00000000" w14:paraId="00000041">
      <w:pPr>
        <w:pageBreakBefore w:val="0"/>
        <w:jc w:val="left"/>
        <w:rPr/>
      </w:pPr>
      <w:r w:rsidDel="00000000" w:rsidR="00000000" w:rsidRPr="00000000">
        <w:rPr>
          <w:rtl w:val="0"/>
        </w:rPr>
      </w:r>
    </w:p>
    <w:p w:rsidR="00000000" w:rsidDel="00000000" w:rsidP="00000000" w:rsidRDefault="00000000" w:rsidRPr="00000000" w14:paraId="00000042">
      <w:pPr>
        <w:pageBreakBefore w:val="0"/>
        <w:jc w:val="left"/>
        <w:rPr/>
      </w:pPr>
      <w:r w:rsidDel="00000000" w:rsidR="00000000" w:rsidRPr="00000000">
        <w:rPr>
          <w:rtl w:val="0"/>
        </w:rPr>
      </w:r>
    </w:p>
    <w:p w:rsidR="00000000" w:rsidDel="00000000" w:rsidP="00000000" w:rsidRDefault="00000000" w:rsidRPr="00000000" w14:paraId="00000043">
      <w:pPr>
        <w:pageBreakBefore w:val="0"/>
        <w:jc w:val="left"/>
        <w:rPr/>
      </w:pPr>
      <w:r w:rsidDel="00000000" w:rsidR="00000000" w:rsidRPr="00000000">
        <w:rPr>
          <w:rtl w:val="0"/>
        </w:rPr>
      </w:r>
    </w:p>
    <w:p w:rsidR="00000000" w:rsidDel="00000000" w:rsidP="00000000" w:rsidRDefault="00000000" w:rsidRPr="00000000" w14:paraId="00000044">
      <w:pPr>
        <w:pageBreakBefore w:val="0"/>
        <w:jc w:val="left"/>
        <w:rPr/>
      </w:pPr>
      <w:r w:rsidDel="00000000" w:rsidR="00000000" w:rsidRPr="00000000">
        <w:rPr>
          <w:rtl w:val="0"/>
        </w:rPr>
      </w:r>
    </w:p>
    <w:p w:rsidR="00000000" w:rsidDel="00000000" w:rsidP="00000000" w:rsidRDefault="00000000" w:rsidRPr="00000000" w14:paraId="00000045">
      <w:pPr>
        <w:pageBreakBefore w:val="0"/>
        <w:jc w:val="left"/>
        <w:rPr/>
      </w:pPr>
      <w:r w:rsidDel="00000000" w:rsidR="00000000" w:rsidRPr="00000000">
        <w:rPr>
          <w:rtl w:val="0"/>
        </w:rPr>
      </w:r>
    </w:p>
    <w:p w:rsidR="00000000" w:rsidDel="00000000" w:rsidP="00000000" w:rsidRDefault="00000000" w:rsidRPr="00000000" w14:paraId="00000046">
      <w:pPr>
        <w:pageBreakBefore w:val="0"/>
        <w:jc w:val="left"/>
        <w:rPr/>
      </w:pPr>
      <w:r w:rsidDel="00000000" w:rsidR="00000000" w:rsidRPr="00000000">
        <w:rPr>
          <w:rtl w:val="0"/>
        </w:rPr>
      </w:r>
    </w:p>
    <w:p w:rsidR="00000000" w:rsidDel="00000000" w:rsidP="00000000" w:rsidRDefault="00000000" w:rsidRPr="00000000" w14:paraId="00000047">
      <w:pPr>
        <w:pageBreakBefore w:val="0"/>
        <w:jc w:val="left"/>
        <w:rPr/>
      </w:pPr>
      <w:r w:rsidDel="00000000" w:rsidR="00000000" w:rsidRPr="00000000">
        <w:rPr>
          <w:rtl w:val="0"/>
        </w:rPr>
      </w:r>
    </w:p>
    <w:p w:rsidR="00000000" w:rsidDel="00000000" w:rsidP="00000000" w:rsidRDefault="00000000" w:rsidRPr="00000000" w14:paraId="00000048">
      <w:pPr>
        <w:pageBreakBefore w:val="0"/>
        <w:jc w:val="left"/>
        <w:rPr/>
      </w:pPr>
      <w:r w:rsidDel="00000000" w:rsidR="00000000" w:rsidRPr="00000000">
        <w:rPr>
          <w:rtl w:val="0"/>
        </w:rPr>
      </w:r>
    </w:p>
    <w:p w:rsidR="00000000" w:rsidDel="00000000" w:rsidP="00000000" w:rsidRDefault="00000000" w:rsidRPr="00000000" w14:paraId="00000049">
      <w:pPr>
        <w:pageBreakBefore w:val="0"/>
        <w:jc w:val="left"/>
        <w:rPr/>
      </w:pPr>
      <w:r w:rsidDel="00000000" w:rsidR="00000000" w:rsidRPr="00000000">
        <w:rPr>
          <w:rtl w:val="0"/>
        </w:rPr>
      </w:r>
    </w:p>
    <w:p w:rsidR="00000000" w:rsidDel="00000000" w:rsidP="00000000" w:rsidRDefault="00000000" w:rsidRPr="00000000" w14:paraId="0000004A">
      <w:pPr>
        <w:pageBreakBefore w:val="0"/>
        <w:jc w:val="left"/>
        <w:rPr/>
      </w:pPr>
      <w:r w:rsidDel="00000000" w:rsidR="00000000" w:rsidRPr="00000000">
        <w:rPr>
          <w:rtl w:val="0"/>
        </w:rPr>
      </w:r>
    </w:p>
    <w:p w:rsidR="00000000" w:rsidDel="00000000" w:rsidP="00000000" w:rsidRDefault="00000000" w:rsidRPr="00000000" w14:paraId="0000004B">
      <w:pPr>
        <w:pageBreakBefore w:val="0"/>
        <w:jc w:val="center"/>
        <w:rPr/>
      </w:pPr>
      <w:r w:rsidDel="00000000" w:rsidR="00000000" w:rsidRPr="00000000">
        <w:rPr>
          <w:rtl w:val="0"/>
        </w:rPr>
        <w:t xml:space="preserve">Figure 4: ECI Comparison (2019-2021)</w:t>
      </w:r>
    </w:p>
    <w:p w:rsidR="00000000" w:rsidDel="00000000" w:rsidP="00000000" w:rsidRDefault="00000000" w:rsidRPr="00000000" w14:paraId="0000004C">
      <w:pPr>
        <w:pageBreakBefore w:val="0"/>
        <w:jc w:val="left"/>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Figure 5 offers a further comparison of GDP Growth and ECI over the time span from 2013 to 2018 for Myanmar. The increase in GDP during the period from 2013 to 2018 is accompanied by a sharp decline in ECI. The results show that the economic growth experienced by Myanmar during the period from 2013 to 2018 is not very consistent with the predictions by ECI and Myanmar did not effectively make strides to develop a competitive product space that helps to accumulate complicated knowledge and technology. In order to provide a more concrete answer to why this has happened, we will dive into an analysis of Myanmar’s production structure and its product space designs in the next few chapters. </w:t>
      </w:r>
    </w:p>
    <w:p w:rsidR="00000000" w:rsidDel="00000000" w:rsidP="00000000" w:rsidRDefault="00000000" w:rsidRPr="00000000" w14:paraId="0000004E">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161925</wp:posOffset>
            </wp:positionV>
            <wp:extent cx="3390900" cy="2095702"/>
            <wp:effectExtent b="0" l="0" r="0" t="0"/>
            <wp:wrapSquare wrapText="bothSides" distB="114300" distT="114300" distL="114300" distR="114300"/>
            <wp:docPr id="2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390900" cy="2095702"/>
                    </a:xfrm>
                    <a:prstGeom prst="rect"/>
                    <a:ln/>
                  </pic:spPr>
                </pic:pic>
              </a:graphicData>
            </a:graphic>
          </wp:anchor>
        </w:drawing>
      </w:r>
    </w:p>
    <w:p w:rsidR="00000000" w:rsidDel="00000000" w:rsidP="00000000" w:rsidRDefault="00000000" w:rsidRPr="00000000" w14:paraId="0000004F">
      <w:pPr>
        <w:pageBreakBefore w:val="0"/>
        <w:jc w:val="left"/>
        <w:rPr/>
      </w:pPr>
      <w:r w:rsidDel="00000000" w:rsidR="00000000" w:rsidRPr="00000000">
        <w:rPr>
          <w:rtl w:val="0"/>
        </w:rPr>
      </w:r>
    </w:p>
    <w:p w:rsidR="00000000" w:rsidDel="00000000" w:rsidP="00000000" w:rsidRDefault="00000000" w:rsidRPr="00000000" w14:paraId="00000050">
      <w:pPr>
        <w:pageBreakBefore w:val="0"/>
        <w:jc w:val="left"/>
        <w:rPr/>
      </w:pPr>
      <w:r w:rsidDel="00000000" w:rsidR="00000000" w:rsidRPr="00000000">
        <w:rPr>
          <w:rtl w:val="0"/>
        </w:rPr>
      </w:r>
    </w:p>
    <w:p w:rsidR="00000000" w:rsidDel="00000000" w:rsidP="00000000" w:rsidRDefault="00000000" w:rsidRPr="00000000" w14:paraId="00000051">
      <w:pPr>
        <w:pageBreakBefore w:val="0"/>
        <w:jc w:val="left"/>
        <w:rPr/>
      </w:pPr>
      <w:r w:rsidDel="00000000" w:rsidR="00000000" w:rsidRPr="00000000">
        <w:rPr>
          <w:rtl w:val="0"/>
        </w:rPr>
      </w:r>
    </w:p>
    <w:p w:rsidR="00000000" w:rsidDel="00000000" w:rsidP="00000000" w:rsidRDefault="00000000" w:rsidRPr="00000000" w14:paraId="00000052">
      <w:pPr>
        <w:pageBreakBefore w:val="0"/>
        <w:jc w:val="left"/>
        <w:rPr/>
      </w:pPr>
      <w:r w:rsidDel="00000000" w:rsidR="00000000" w:rsidRPr="00000000">
        <w:rPr>
          <w:rtl w:val="0"/>
        </w:rPr>
      </w:r>
    </w:p>
    <w:p w:rsidR="00000000" w:rsidDel="00000000" w:rsidP="00000000" w:rsidRDefault="00000000" w:rsidRPr="00000000" w14:paraId="00000053">
      <w:pPr>
        <w:pageBreakBefore w:val="0"/>
        <w:jc w:val="left"/>
        <w:rPr/>
      </w:pPr>
      <w:r w:rsidDel="00000000" w:rsidR="00000000" w:rsidRPr="00000000">
        <w:rPr>
          <w:rtl w:val="0"/>
        </w:rPr>
      </w:r>
    </w:p>
    <w:p w:rsidR="00000000" w:rsidDel="00000000" w:rsidP="00000000" w:rsidRDefault="00000000" w:rsidRPr="00000000" w14:paraId="00000054">
      <w:pPr>
        <w:pageBreakBefore w:val="0"/>
        <w:jc w:val="left"/>
        <w:rPr/>
      </w:pPr>
      <w:r w:rsidDel="00000000" w:rsidR="00000000" w:rsidRPr="00000000">
        <w:rPr>
          <w:rtl w:val="0"/>
        </w:rPr>
      </w:r>
    </w:p>
    <w:p w:rsidR="00000000" w:rsidDel="00000000" w:rsidP="00000000" w:rsidRDefault="00000000" w:rsidRPr="00000000" w14:paraId="00000055">
      <w:pPr>
        <w:pageBreakBefore w:val="0"/>
        <w:jc w:val="left"/>
        <w:rPr/>
      </w:pPr>
      <w:r w:rsidDel="00000000" w:rsidR="00000000" w:rsidRPr="00000000">
        <w:rPr>
          <w:rtl w:val="0"/>
        </w:rPr>
      </w:r>
    </w:p>
    <w:p w:rsidR="00000000" w:rsidDel="00000000" w:rsidP="00000000" w:rsidRDefault="00000000" w:rsidRPr="00000000" w14:paraId="00000056">
      <w:pPr>
        <w:pageBreakBefore w:val="0"/>
        <w:jc w:val="left"/>
        <w:rPr/>
      </w:pPr>
      <w:r w:rsidDel="00000000" w:rsidR="00000000" w:rsidRPr="00000000">
        <w:rPr>
          <w:rtl w:val="0"/>
        </w:rPr>
        <w:t xml:space="preserve">              </w:t>
      </w:r>
    </w:p>
    <w:p w:rsidR="00000000" w:rsidDel="00000000" w:rsidP="00000000" w:rsidRDefault="00000000" w:rsidRPr="00000000" w14:paraId="00000057">
      <w:pPr>
        <w:pageBreakBefore w:val="0"/>
        <w:jc w:val="center"/>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       </w:t>
      </w:r>
    </w:p>
    <w:p w:rsidR="00000000" w:rsidDel="00000000" w:rsidP="00000000" w:rsidRDefault="00000000" w:rsidRPr="00000000" w14:paraId="00000059">
      <w:pPr>
        <w:pageBreakBefore w:val="0"/>
        <w:jc w:val="center"/>
        <w:rPr/>
      </w:pPr>
      <w:r w:rsidDel="00000000" w:rsidR="00000000" w:rsidRPr="00000000">
        <w:rPr>
          <w:rtl w:val="0"/>
        </w:rPr>
        <w:t xml:space="preserve">    </w:t>
      </w:r>
    </w:p>
    <w:p w:rsidR="00000000" w:rsidDel="00000000" w:rsidP="00000000" w:rsidRDefault="00000000" w:rsidRPr="00000000" w14:paraId="0000005A">
      <w:pPr>
        <w:pageBreakBefore w:val="0"/>
        <w:jc w:val="center"/>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 Figure 5: GDP Growth and ECI (2013-2018) </w:t>
      </w:r>
    </w:p>
    <w:p w:rsidR="00000000" w:rsidDel="00000000" w:rsidP="00000000" w:rsidRDefault="00000000" w:rsidRPr="00000000" w14:paraId="0000005D">
      <w:pPr>
        <w:pageBreakBefore w:val="0"/>
        <w:jc w:val="left"/>
        <w:rPr/>
      </w:pPr>
      <w:r w:rsidDel="00000000" w:rsidR="00000000" w:rsidRPr="00000000">
        <w:rPr>
          <w:rtl w:val="0"/>
        </w:rPr>
        <w:t xml:space="preserve">Figure 6 compares GDP Growth and ECI between 2019 and 2021 for Myanmar. As seen in the graph, ECI sustained a positive growth over the period while GDP experienced a growth until 2020 followed by a sharp decrease. This suggests that even though during the pandemic, most countries prioritized low complexity industries for basic needs and essential products, Myanmar did not and rather increased its economic complexity.  Consequently, Myanmar’s GDP suffered a great decrease due to the increase in economic complexity during this 2020 to 2021 period. </w:t>
      </w:r>
    </w:p>
    <w:p w:rsidR="00000000" w:rsidDel="00000000" w:rsidP="00000000" w:rsidRDefault="00000000" w:rsidRPr="00000000" w14:paraId="0000005E">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200025</wp:posOffset>
            </wp:positionV>
            <wp:extent cx="4462449" cy="2690813"/>
            <wp:effectExtent b="0" l="0" r="0" t="0"/>
            <wp:wrapSquare wrapText="bothSides" distB="114300" distT="114300" distL="114300" distR="114300"/>
            <wp:docPr id="3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4462449" cy="2690813"/>
                    </a:xfrm>
                    <a:prstGeom prst="rect"/>
                    <a:ln/>
                  </pic:spPr>
                </pic:pic>
              </a:graphicData>
            </a:graphic>
          </wp:anchor>
        </w:drawing>
      </w:r>
    </w:p>
    <w:p w:rsidR="00000000" w:rsidDel="00000000" w:rsidP="00000000" w:rsidRDefault="00000000" w:rsidRPr="00000000" w14:paraId="0000005F">
      <w:pPr>
        <w:pageBreakBefore w:val="0"/>
        <w:jc w:val="left"/>
        <w:rPr/>
      </w:pPr>
      <w:r w:rsidDel="00000000" w:rsidR="00000000" w:rsidRPr="00000000">
        <w:rPr>
          <w:rtl w:val="0"/>
        </w:rPr>
      </w:r>
    </w:p>
    <w:p w:rsidR="00000000" w:rsidDel="00000000" w:rsidP="00000000" w:rsidRDefault="00000000" w:rsidRPr="00000000" w14:paraId="00000060">
      <w:pPr>
        <w:pageBreakBefore w:val="0"/>
        <w:jc w:val="left"/>
        <w:rPr/>
      </w:pPr>
      <w:r w:rsidDel="00000000" w:rsidR="00000000" w:rsidRPr="00000000">
        <w:rPr>
          <w:rtl w:val="0"/>
        </w:rPr>
      </w:r>
    </w:p>
    <w:p w:rsidR="00000000" w:rsidDel="00000000" w:rsidP="00000000" w:rsidRDefault="00000000" w:rsidRPr="00000000" w14:paraId="00000061">
      <w:pPr>
        <w:pageBreakBefore w:val="0"/>
        <w:jc w:val="left"/>
        <w:rPr/>
      </w:pPr>
      <w:r w:rsidDel="00000000" w:rsidR="00000000" w:rsidRPr="00000000">
        <w:rPr>
          <w:rtl w:val="0"/>
        </w:rPr>
      </w:r>
    </w:p>
    <w:p w:rsidR="00000000" w:rsidDel="00000000" w:rsidP="00000000" w:rsidRDefault="00000000" w:rsidRPr="00000000" w14:paraId="00000062">
      <w:pPr>
        <w:pageBreakBefore w:val="0"/>
        <w:jc w:val="left"/>
        <w:rPr/>
      </w:pPr>
      <w:r w:rsidDel="00000000" w:rsidR="00000000" w:rsidRPr="00000000">
        <w:rPr>
          <w:rtl w:val="0"/>
        </w:rPr>
      </w:r>
    </w:p>
    <w:p w:rsidR="00000000" w:rsidDel="00000000" w:rsidP="00000000" w:rsidRDefault="00000000" w:rsidRPr="00000000" w14:paraId="00000063">
      <w:pPr>
        <w:pageBreakBefore w:val="0"/>
        <w:jc w:val="left"/>
        <w:rPr/>
      </w:pPr>
      <w:r w:rsidDel="00000000" w:rsidR="00000000" w:rsidRPr="00000000">
        <w:rPr>
          <w:rtl w:val="0"/>
        </w:rPr>
      </w:r>
    </w:p>
    <w:p w:rsidR="00000000" w:rsidDel="00000000" w:rsidP="00000000" w:rsidRDefault="00000000" w:rsidRPr="00000000" w14:paraId="00000064">
      <w:pPr>
        <w:pageBreakBefore w:val="0"/>
        <w:jc w:val="left"/>
        <w:rPr/>
      </w:pPr>
      <w:r w:rsidDel="00000000" w:rsidR="00000000" w:rsidRPr="00000000">
        <w:rPr>
          <w:rtl w:val="0"/>
        </w:rPr>
      </w:r>
    </w:p>
    <w:p w:rsidR="00000000" w:rsidDel="00000000" w:rsidP="00000000" w:rsidRDefault="00000000" w:rsidRPr="00000000" w14:paraId="00000065">
      <w:pPr>
        <w:pageBreakBefore w:val="0"/>
        <w:jc w:val="left"/>
        <w:rPr/>
      </w:pPr>
      <w:r w:rsidDel="00000000" w:rsidR="00000000" w:rsidRPr="00000000">
        <w:rPr>
          <w:rtl w:val="0"/>
        </w:rPr>
      </w:r>
    </w:p>
    <w:p w:rsidR="00000000" w:rsidDel="00000000" w:rsidP="00000000" w:rsidRDefault="00000000" w:rsidRPr="00000000" w14:paraId="00000066">
      <w:pPr>
        <w:pageBreakBefore w:val="0"/>
        <w:jc w:val="left"/>
        <w:rPr/>
      </w:pPr>
      <w:r w:rsidDel="00000000" w:rsidR="00000000" w:rsidRPr="00000000">
        <w:rPr>
          <w:rtl w:val="0"/>
        </w:rPr>
      </w:r>
    </w:p>
    <w:p w:rsidR="00000000" w:rsidDel="00000000" w:rsidP="00000000" w:rsidRDefault="00000000" w:rsidRPr="00000000" w14:paraId="00000067">
      <w:pPr>
        <w:pageBreakBefore w:val="0"/>
        <w:jc w:val="left"/>
        <w:rPr/>
      </w:pPr>
      <w:r w:rsidDel="00000000" w:rsidR="00000000" w:rsidRPr="00000000">
        <w:rPr>
          <w:rtl w:val="0"/>
        </w:rPr>
      </w:r>
    </w:p>
    <w:p w:rsidR="00000000" w:rsidDel="00000000" w:rsidP="00000000" w:rsidRDefault="00000000" w:rsidRPr="00000000" w14:paraId="00000068">
      <w:pPr>
        <w:pageBreakBefore w:val="0"/>
        <w:jc w:val="left"/>
        <w:rPr/>
      </w:pPr>
      <w:r w:rsidDel="00000000" w:rsidR="00000000" w:rsidRPr="00000000">
        <w:rPr>
          <w:rtl w:val="0"/>
        </w:rPr>
      </w:r>
    </w:p>
    <w:p w:rsidR="00000000" w:rsidDel="00000000" w:rsidP="00000000" w:rsidRDefault="00000000" w:rsidRPr="00000000" w14:paraId="00000069">
      <w:pPr>
        <w:pageBreakBefore w:val="0"/>
        <w:jc w:val="left"/>
        <w:rPr/>
      </w:pPr>
      <w:r w:rsidDel="00000000" w:rsidR="00000000" w:rsidRPr="00000000">
        <w:rPr>
          <w:rtl w:val="0"/>
        </w:rPr>
      </w:r>
    </w:p>
    <w:p w:rsidR="00000000" w:rsidDel="00000000" w:rsidP="00000000" w:rsidRDefault="00000000" w:rsidRPr="00000000" w14:paraId="0000006A">
      <w:pPr>
        <w:pageBreakBefore w:val="0"/>
        <w:jc w:val="left"/>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both"/>
        <w:rPr>
          <w:b w:val="1"/>
          <w:bCs w:val="1"/>
        </w:rPr>
      </w:pPr>
      <w:r w:rsidDel="00000000" w:rsidR="00000000" w:rsidRPr="00000000">
        <w:rPr>
          <w:rtl w:val="0"/>
        </w:rPr>
      </w:r>
    </w:p>
    <w:p w:rsidR="00000000" w:rsidDel="00000000" w:rsidP="00000000" w:rsidRDefault="00000000" w:rsidRPr="00000000" w14:paraId="0000006D">
      <w:pPr>
        <w:pageBreakBefore w:val="0"/>
        <w:jc w:val="both"/>
        <w:rPr>
          <w:b w:val="1"/>
          <w:bCs w:val="1"/>
        </w:rPr>
      </w:pPr>
      <w:r w:rsidDel="00000000" w:rsidR="00000000" w:rsidRPr="00000000">
        <w:rPr>
          <w:rtl w:val="0"/>
        </w:rPr>
      </w:r>
    </w:p>
    <w:p w:rsidR="00000000" w:rsidDel="00000000" w:rsidP="00000000" w:rsidRDefault="00000000" w:rsidRPr="00000000" w14:paraId="0000006E">
      <w:pPr>
        <w:pageBreakBefore w:val="0"/>
        <w:jc w:val="center"/>
        <w:rPr>
          <w:b w:val="1"/>
          <w:bCs w:val="1"/>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rtl w:val="0"/>
        </w:rPr>
        <w:t xml:space="preserve">Figure 6: GDP and ECI (2019-2021)</w:t>
      </w:r>
    </w:p>
    <w:p w:rsidR="00000000" w:rsidDel="00000000" w:rsidP="00000000" w:rsidRDefault="00000000" w:rsidRPr="00000000" w14:paraId="00000070">
      <w:pPr>
        <w:pageBreakBefore w:val="0"/>
        <w:jc w:val="both"/>
        <w:rPr>
          <w:b w:val="1"/>
          <w:bCs w:val="1"/>
        </w:rPr>
      </w:pPr>
      <w:r w:rsidDel="00000000" w:rsidR="00000000" w:rsidRPr="00000000">
        <w:rPr>
          <w:rtl w:val="0"/>
        </w:rPr>
      </w:r>
    </w:p>
    <w:p w:rsidR="00000000" w:rsidDel="00000000" w:rsidP="00000000" w:rsidRDefault="00000000" w:rsidRPr="00000000" w14:paraId="00000071">
      <w:pPr>
        <w:pageBreakBefore w:val="0"/>
        <w:jc w:val="both"/>
        <w:rPr>
          <w:b w:val="1"/>
          <w:bCs w:val="1"/>
        </w:rPr>
      </w:pPr>
      <w:r w:rsidDel="00000000" w:rsidR="00000000" w:rsidRPr="00000000">
        <w:rPr>
          <w:rtl w:val="0"/>
        </w:rPr>
      </w:r>
    </w:p>
    <w:p w:rsidR="00000000" w:rsidDel="00000000" w:rsidP="00000000" w:rsidRDefault="00000000" w:rsidRPr="00000000" w14:paraId="00000072">
      <w:pPr>
        <w:pageBreakBefore w:val="0"/>
        <w:jc w:val="both"/>
        <w:rPr>
          <w:b w:val="1"/>
          <w:bCs w:val="1"/>
        </w:rPr>
      </w:pPr>
      <w:r w:rsidDel="00000000" w:rsidR="00000000" w:rsidRPr="00000000">
        <w:rPr>
          <w:rtl w:val="0"/>
        </w:rPr>
      </w:r>
    </w:p>
    <w:p w:rsidR="00000000" w:rsidDel="00000000" w:rsidP="00000000" w:rsidRDefault="00000000" w:rsidRPr="00000000" w14:paraId="00000073">
      <w:pPr>
        <w:pageBreakBefore w:val="0"/>
        <w:jc w:val="both"/>
        <w:rPr>
          <w:b w:val="1"/>
          <w:bCs w:val="1"/>
        </w:rPr>
      </w:pPr>
      <w:r w:rsidDel="00000000" w:rsidR="00000000" w:rsidRPr="00000000">
        <w:rPr>
          <w:rtl w:val="0"/>
        </w:rPr>
      </w:r>
    </w:p>
    <w:p w:rsidR="00000000" w:rsidDel="00000000" w:rsidP="00000000" w:rsidRDefault="00000000" w:rsidRPr="00000000" w14:paraId="00000074">
      <w:pPr>
        <w:pageBreakBefore w:val="0"/>
        <w:jc w:val="both"/>
        <w:rPr>
          <w:b w:val="1"/>
          <w:bCs w:val="1"/>
        </w:rPr>
      </w:pPr>
      <w:r w:rsidDel="00000000" w:rsidR="00000000" w:rsidRPr="00000000">
        <w:rPr>
          <w:rtl w:val="0"/>
        </w:rPr>
      </w:r>
    </w:p>
    <w:p w:rsidR="00000000" w:rsidDel="00000000" w:rsidP="00000000" w:rsidRDefault="00000000" w:rsidRPr="00000000" w14:paraId="0000007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7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7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7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79">
      <w:pPr>
        <w:pageBreakBefore w:val="0"/>
        <w:jc w:val="both"/>
        <w:rPr/>
      </w:pPr>
      <w:r w:rsidDel="00000000" w:rsidR="00000000" w:rsidRPr="00000000">
        <w:rPr>
          <w:rtl w:val="0"/>
        </w:rPr>
      </w:r>
    </w:p>
    <w:p w:rsidR="00000000" w:rsidDel="00000000" w:rsidP="00000000" w:rsidRDefault="00000000" w:rsidRPr="00000000" w14:paraId="0000007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7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7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7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7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7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8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8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8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8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8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8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8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8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8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8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8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8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8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8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8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8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9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9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9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9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9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A2">
      <w:pPr>
        <w:pageBreakBefore w:val="0"/>
        <w:jc w:val="both"/>
        <w:rPr/>
      </w:pPr>
      <w:r w:rsidDel="00000000" w:rsidR="00000000" w:rsidRPr="00000000">
        <w:rPr>
          <w:rtl w:val="0"/>
        </w:rPr>
      </w:r>
    </w:p>
    <w:p w:rsidR="00000000" w:rsidDel="00000000" w:rsidP="00000000" w:rsidRDefault="00000000" w:rsidRPr="00000000" w14:paraId="000000A3">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A4">
      <w:pPr>
        <w:pageBreakBefore w:val="0"/>
        <w:jc w:val="both"/>
        <w:rPr/>
      </w:pPr>
      <w:r w:rsidDel="00000000" w:rsidR="00000000" w:rsidRPr="00000000">
        <w:rPr>
          <w:rtl w:val="0"/>
        </w:rPr>
      </w:r>
    </w:p>
    <w:p w:rsidR="00000000" w:rsidDel="00000000" w:rsidP="00000000" w:rsidRDefault="00000000" w:rsidRPr="00000000" w14:paraId="000000A5">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A6">
      <w:pPr>
        <w:pageBreakBefore w:val="0"/>
        <w:jc w:val="both"/>
        <w:rPr/>
      </w:pPr>
      <w:r w:rsidDel="00000000" w:rsidR="00000000" w:rsidRPr="00000000">
        <w:rPr>
          <w:rtl w:val="0"/>
        </w:rPr>
      </w:r>
    </w:p>
    <w:p w:rsidR="00000000" w:rsidDel="00000000" w:rsidP="00000000" w:rsidRDefault="00000000" w:rsidRPr="00000000" w14:paraId="000000A7">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A8">
            <w:pPr>
              <w:pageBreakBefore w:val="0"/>
              <w:jc w:val="center"/>
              <w:rPr/>
            </w:pPr>
            <w:r w:rsidDel="00000000" w:rsidR="00000000" w:rsidRPr="00000000">
              <w:rPr>
                <w:rtl w:val="0"/>
              </w:rPr>
            </w:r>
          </w:p>
        </w:tc>
        <w:tc>
          <w:tcPr/>
          <w:p w:rsidR="00000000" w:rsidDel="00000000" w:rsidP="00000000" w:rsidRDefault="00000000" w:rsidRPr="00000000" w14:paraId="000000A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A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A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AC">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AD">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AE">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AF">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B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B1">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B2">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B3">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B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B5">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B6">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B7">
            <w:pPr>
              <w:pageBreakBefore w:val="0"/>
              <w:jc w:val="center"/>
              <w:rPr/>
            </w:pPr>
            <w:r w:rsidDel="00000000" w:rsidR="00000000" w:rsidRPr="00000000">
              <w:rPr>
                <w:rtl w:val="0"/>
              </w:rPr>
              <w:t xml:space="preserve">107</w:t>
            </w:r>
          </w:p>
        </w:tc>
      </w:tr>
    </w:tbl>
    <w:p w:rsidR="00000000" w:rsidDel="00000000" w:rsidP="00000000" w:rsidRDefault="00000000" w:rsidRPr="00000000" w14:paraId="000000B8">
      <w:pPr>
        <w:pageBreakBefore w:val="0"/>
        <w:jc w:val="center"/>
        <w:rPr/>
      </w:pPr>
      <w:r w:rsidDel="00000000" w:rsidR="00000000" w:rsidRPr="00000000">
        <w:rPr>
          <w:rtl w:val="0"/>
        </w:rPr>
      </w:r>
    </w:p>
    <w:p w:rsidR="00000000" w:rsidDel="00000000" w:rsidP="00000000" w:rsidRDefault="00000000" w:rsidRPr="00000000" w14:paraId="000000B9">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BA">
      <w:pPr>
        <w:pageBreakBefore w:val="0"/>
        <w:jc w:val="both"/>
        <w:rPr/>
      </w:pPr>
      <w:r w:rsidDel="00000000" w:rsidR="00000000" w:rsidRPr="00000000">
        <w:rPr>
          <w:rtl w:val="0"/>
        </w:rPr>
      </w:r>
    </w:p>
    <w:p w:rsidR="00000000" w:rsidDel="00000000" w:rsidP="00000000" w:rsidRDefault="00000000" w:rsidRPr="00000000" w14:paraId="000000BB">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BC">
            <w:pPr>
              <w:pageBreakBefore w:val="0"/>
              <w:jc w:val="center"/>
              <w:rPr/>
            </w:pPr>
            <w:r w:rsidDel="00000000" w:rsidR="00000000" w:rsidRPr="00000000">
              <w:rPr>
                <w:rtl w:val="0"/>
              </w:rPr>
            </w:r>
          </w:p>
        </w:tc>
        <w:tc>
          <w:tcPr/>
          <w:p w:rsidR="00000000" w:rsidDel="00000000" w:rsidP="00000000" w:rsidRDefault="00000000" w:rsidRPr="00000000" w14:paraId="000000B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B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B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C0">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C1">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C2">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C3">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C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C5">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C6">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C7">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C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C9">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CA">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CB">
            <w:pPr>
              <w:pageBreakBefore w:val="0"/>
              <w:jc w:val="center"/>
              <w:rPr/>
            </w:pPr>
            <w:r w:rsidDel="00000000" w:rsidR="00000000" w:rsidRPr="00000000">
              <w:rPr>
                <w:rtl w:val="0"/>
              </w:rPr>
              <w:t xml:space="preserve">21</w:t>
            </w:r>
          </w:p>
        </w:tc>
      </w:tr>
    </w:tbl>
    <w:p w:rsidR="00000000" w:rsidDel="00000000" w:rsidP="00000000" w:rsidRDefault="00000000" w:rsidRPr="00000000" w14:paraId="000000CC">
      <w:pPr>
        <w:pageBreakBefore w:val="0"/>
        <w:jc w:val="center"/>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CE">
      <w:pPr>
        <w:pageBreakBefore w:val="0"/>
        <w:jc w:val="center"/>
        <w:rPr>
          <w:sz w:val="20"/>
          <w:szCs w:val="20"/>
        </w:rPr>
      </w:pPr>
      <w:r w:rsidDel="00000000" w:rsidR="00000000" w:rsidRPr="00000000">
        <w:rPr>
          <w:rtl w:val="0"/>
        </w:rPr>
      </w:r>
    </w:p>
    <w:p w:rsidR="00000000" w:rsidDel="00000000" w:rsidP="00000000" w:rsidRDefault="00000000" w:rsidRPr="00000000" w14:paraId="000000CF">
      <w:pPr>
        <w:pageBreakBefore w:val="0"/>
        <w:jc w:val="center"/>
        <w:rPr/>
      </w:pPr>
      <w:r w:rsidDel="00000000" w:rsidR="00000000" w:rsidRPr="00000000">
        <w:rPr>
          <w:rtl w:val="0"/>
        </w:rPr>
      </w:r>
    </w:p>
    <w:p w:rsidR="00000000" w:rsidDel="00000000" w:rsidP="00000000" w:rsidRDefault="00000000" w:rsidRPr="00000000" w14:paraId="000000D0">
      <w:pPr>
        <w:pageBreakBefore w:val="0"/>
        <w:jc w:val="both"/>
        <w:rPr>
          <w:b w:val="1"/>
          <w:bCs w:val="1"/>
        </w:rPr>
      </w:pPr>
      <w:r w:rsidDel="00000000" w:rsidR="00000000" w:rsidRPr="00000000">
        <w:rPr>
          <w:rtl w:val="0"/>
        </w:rPr>
      </w:r>
    </w:p>
    <w:p w:rsidR="00000000" w:rsidDel="00000000" w:rsidP="00000000" w:rsidRDefault="00000000" w:rsidRPr="00000000" w14:paraId="000000D1">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D2">
      <w:pPr>
        <w:pageBreakBefore w:val="0"/>
        <w:jc w:val="both"/>
        <w:rPr/>
      </w:pPr>
      <w:r w:rsidDel="00000000" w:rsidR="00000000" w:rsidRPr="00000000">
        <w:rPr>
          <w:rtl w:val="0"/>
        </w:rPr>
        <w:t xml:space="preserve">Based on the product categorization aforementioned, we aim to capture Myanmar’s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2018 and 2021 through subtraction, where a positive RID indicates a shortening of the distance (i.e., advancement of the industry), and a negative RID indicates the reverse.</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2196938" cy="4361803"/>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196938" cy="436180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t xml:space="preserve">Table 2: Realized Industry Development (RID) of Myanmar (2013-2018)</w:t>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drawing>
          <wp:inline distB="114300" distT="114300" distL="114300" distR="114300">
            <wp:extent cx="2994980" cy="5948363"/>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994980" cy="594836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3: Realized Industry Development (RID) of Myanmar (2019-2021)</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left"/>
        <w:rPr/>
      </w:pPr>
      <w:r w:rsidDel="00000000" w:rsidR="00000000" w:rsidRPr="00000000">
        <w:rPr>
          <w:rtl w:val="0"/>
        </w:rPr>
        <w:t xml:space="preserve">Between 2013 and 2018, Myanmar shows advancement in more than two thirds of the product groups with negative RIDs pertaining mostly to low complexity industries. However, Myanmar demonstrates a regressive trend between 2019 and 2021 with all but two industries showing negative RIDs. </w:t>
      </w:r>
    </w:p>
    <w:p w:rsidR="00000000" w:rsidDel="00000000" w:rsidP="00000000" w:rsidRDefault="00000000" w:rsidRPr="00000000" w14:paraId="000000DC">
      <w:pPr>
        <w:pageBreakBefore w:val="0"/>
        <w:jc w:val="both"/>
        <w:rPr>
          <w:b w:val="1"/>
          <w:bCs w:val="1"/>
        </w:rPr>
      </w:pPr>
      <w:r w:rsidDel="00000000" w:rsidR="00000000" w:rsidRPr="00000000">
        <w:rPr>
          <w:rtl w:val="0"/>
        </w:rPr>
      </w:r>
    </w:p>
    <w:p w:rsidR="00000000" w:rsidDel="00000000" w:rsidP="00000000" w:rsidRDefault="00000000" w:rsidRPr="00000000" w14:paraId="000000DD">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DE">
      <w:pPr>
        <w:pageBreakBefore w:val="0"/>
        <w:jc w:val="both"/>
        <w:rPr/>
      </w:pPr>
      <w:r w:rsidDel="00000000" w:rsidR="00000000" w:rsidRPr="00000000">
        <w:rPr>
          <w:rtl w:val="0"/>
        </w:rPr>
        <w:t xml:space="preserve">Table 3 and 4 below summarize how the production strategy adopted by Myanmar compares with leading economies and a selected group of emerging economies in the world, as measured in RID. </w:t>
      </w:r>
    </w:p>
    <w:p w:rsidR="00000000" w:rsidDel="00000000" w:rsidP="00000000" w:rsidRDefault="00000000" w:rsidRPr="00000000" w14:paraId="000000DF">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0">
            <w:pPr>
              <w:pageBreakBefore w:val="0"/>
              <w:jc w:val="both"/>
              <w:rPr/>
            </w:pPr>
            <w:r w:rsidDel="00000000" w:rsidR="00000000" w:rsidRPr="00000000">
              <w:rPr>
                <w:rtl w:val="0"/>
              </w:rPr>
              <w:t xml:space="preserve">Ranking</w:t>
            </w:r>
          </w:p>
        </w:tc>
        <w:tc>
          <w:tcPr/>
          <w:p w:rsidR="00000000" w:rsidDel="00000000" w:rsidP="00000000" w:rsidRDefault="00000000" w:rsidRPr="00000000" w14:paraId="000000E1">
            <w:pPr>
              <w:pageBreakBefore w:val="0"/>
              <w:jc w:val="both"/>
              <w:rPr/>
            </w:pPr>
            <w:r w:rsidDel="00000000" w:rsidR="00000000" w:rsidRPr="00000000">
              <w:rPr>
                <w:rtl w:val="0"/>
              </w:rPr>
              <w:t xml:space="preserve">France</w:t>
            </w:r>
          </w:p>
        </w:tc>
        <w:tc>
          <w:tcPr/>
          <w:p w:rsidR="00000000" w:rsidDel="00000000" w:rsidP="00000000" w:rsidRDefault="00000000" w:rsidRPr="00000000" w14:paraId="000000E2">
            <w:pPr>
              <w:pageBreakBefore w:val="0"/>
              <w:jc w:val="both"/>
              <w:rPr/>
            </w:pPr>
            <w:r w:rsidDel="00000000" w:rsidR="00000000" w:rsidRPr="00000000">
              <w:rPr>
                <w:rtl w:val="0"/>
              </w:rPr>
              <w:t xml:space="preserve">US</w:t>
            </w:r>
          </w:p>
        </w:tc>
        <w:tc>
          <w:tcPr/>
          <w:p w:rsidR="00000000" w:rsidDel="00000000" w:rsidP="00000000" w:rsidRDefault="00000000" w:rsidRPr="00000000" w14:paraId="000000E3">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4">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E5">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6">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E7">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E8">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E9">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A">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EB">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EC">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D">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E">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EF">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F0">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F1">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F2">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F3">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F4">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F5">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F6">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F7">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F8">
      <w:pPr>
        <w:pageBreakBefore w:val="0"/>
        <w:jc w:val="center"/>
        <w:rPr/>
      </w:pPr>
      <w:r w:rsidDel="00000000" w:rsidR="00000000" w:rsidRPr="00000000">
        <w:rPr>
          <w:rtl w:val="0"/>
        </w:rPr>
      </w:r>
    </w:p>
    <w:p w:rsidR="00000000" w:rsidDel="00000000" w:rsidP="00000000" w:rsidRDefault="00000000" w:rsidRPr="00000000" w14:paraId="000000F9">
      <w:pPr>
        <w:pageBreakBefore w:val="0"/>
        <w:jc w:val="center"/>
        <w:rPr/>
      </w:pPr>
      <w:r w:rsidDel="00000000" w:rsidR="00000000" w:rsidRPr="00000000">
        <w:rPr>
          <w:rtl w:val="0"/>
        </w:rPr>
        <w:t xml:space="preserve">Table 4a: RID Comparison across Leading Economies (2018)</w:t>
      </w:r>
    </w:p>
    <w:p w:rsidR="00000000" w:rsidDel="00000000" w:rsidP="00000000" w:rsidRDefault="00000000" w:rsidRPr="00000000" w14:paraId="000000FA">
      <w:pPr>
        <w:pageBreakBefore w:val="0"/>
        <w:jc w:val="center"/>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FC">
            <w:pPr>
              <w:jc w:val="both"/>
              <w:rPr/>
            </w:pPr>
            <w:r w:rsidDel="00000000" w:rsidR="00000000" w:rsidRPr="00000000">
              <w:rPr>
                <w:rtl w:val="0"/>
              </w:rPr>
              <w:t xml:space="preserve">Ranking</w:t>
            </w:r>
          </w:p>
        </w:tc>
        <w:tc>
          <w:tcPr/>
          <w:p w:rsidR="00000000" w:rsidDel="00000000" w:rsidP="00000000" w:rsidRDefault="00000000" w:rsidRPr="00000000" w14:paraId="000000FD">
            <w:pPr>
              <w:jc w:val="both"/>
              <w:rPr/>
            </w:pPr>
            <w:r w:rsidDel="00000000" w:rsidR="00000000" w:rsidRPr="00000000">
              <w:rPr>
                <w:rtl w:val="0"/>
              </w:rPr>
              <w:t xml:space="preserve">France</w:t>
            </w:r>
          </w:p>
        </w:tc>
        <w:tc>
          <w:tcPr/>
          <w:p w:rsidR="00000000" w:rsidDel="00000000" w:rsidP="00000000" w:rsidRDefault="00000000" w:rsidRPr="00000000" w14:paraId="000000FE">
            <w:pPr>
              <w:jc w:val="both"/>
              <w:rPr/>
            </w:pPr>
            <w:r w:rsidDel="00000000" w:rsidR="00000000" w:rsidRPr="00000000">
              <w:rPr>
                <w:rtl w:val="0"/>
              </w:rPr>
              <w:t xml:space="preserve">the UK</w:t>
            </w:r>
          </w:p>
        </w:tc>
        <w:tc>
          <w:tcPr/>
          <w:p w:rsidR="00000000" w:rsidDel="00000000" w:rsidP="00000000" w:rsidRDefault="00000000" w:rsidRPr="00000000" w14:paraId="000000FF">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100">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1">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2">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3">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104">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5">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6">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7">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08">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9">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A">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B">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10C">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D">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E">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F">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110">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1">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2">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3">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t xml:space="preserve">Table 4b: RID Comparison across Leading Economies (2021)</w:t>
      </w:r>
      <w:r w:rsidDel="00000000" w:rsidR="00000000" w:rsidRPr="00000000">
        <w:rPr>
          <w:rtl w:val="0"/>
        </w:rPr>
      </w:r>
    </w:p>
    <w:p w:rsidR="00000000" w:rsidDel="00000000" w:rsidP="00000000" w:rsidRDefault="00000000" w:rsidRPr="00000000" w14:paraId="00000116">
      <w:pPr>
        <w:pageBreakBefore w:val="0"/>
        <w:jc w:val="center"/>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tbl>
      <w:tblPr>
        <w:tblStyle w:val="Table6"/>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118">
            <w:pPr>
              <w:pageBreakBefore w:val="0"/>
              <w:jc w:val="both"/>
              <w:rPr/>
            </w:pPr>
            <w:r w:rsidDel="00000000" w:rsidR="00000000" w:rsidRPr="00000000">
              <w:rPr>
                <w:rtl w:val="0"/>
              </w:rPr>
              <w:t xml:space="preserve">Ranking</w:t>
            </w:r>
          </w:p>
        </w:tc>
        <w:tc>
          <w:tcPr/>
          <w:p w:rsidR="00000000" w:rsidDel="00000000" w:rsidP="00000000" w:rsidRDefault="00000000" w:rsidRPr="00000000" w14:paraId="00000119">
            <w:pPr>
              <w:pageBreakBefore w:val="0"/>
              <w:jc w:val="both"/>
              <w:rPr/>
            </w:pPr>
            <w:r w:rsidDel="00000000" w:rsidR="00000000" w:rsidRPr="00000000">
              <w:rPr>
                <w:rtl w:val="0"/>
              </w:rPr>
              <w:t xml:space="preserve">China</w:t>
            </w:r>
          </w:p>
        </w:tc>
        <w:tc>
          <w:tcPr/>
          <w:p w:rsidR="00000000" w:rsidDel="00000000" w:rsidP="00000000" w:rsidRDefault="00000000" w:rsidRPr="00000000" w14:paraId="0000011A">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11B">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11C">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1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E">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1F">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20">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2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22">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23">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124">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2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27">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128">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29">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2A">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2B">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12C">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2D">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2E">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F">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4c: RID Comparison across Emerging Economies</w:t>
      </w:r>
    </w:p>
    <w:p w:rsidR="00000000" w:rsidDel="00000000" w:rsidP="00000000" w:rsidRDefault="00000000" w:rsidRPr="00000000" w14:paraId="00000132">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33">
            <w:pPr>
              <w:jc w:val="both"/>
              <w:rPr/>
            </w:pPr>
            <w:r w:rsidDel="00000000" w:rsidR="00000000" w:rsidRPr="00000000">
              <w:rPr>
                <w:rtl w:val="0"/>
              </w:rPr>
              <w:t xml:space="preserve">Ranking</w:t>
            </w:r>
          </w:p>
        </w:tc>
        <w:tc>
          <w:tcPr/>
          <w:p w:rsidR="00000000" w:rsidDel="00000000" w:rsidP="00000000" w:rsidRDefault="00000000" w:rsidRPr="00000000" w14:paraId="00000134">
            <w:pPr>
              <w:jc w:val="both"/>
              <w:rPr/>
            </w:pPr>
            <w:r w:rsidDel="00000000" w:rsidR="00000000" w:rsidRPr="00000000">
              <w:rPr>
                <w:rtl w:val="0"/>
              </w:rPr>
              <w:t xml:space="preserve">China</w:t>
            </w:r>
          </w:p>
        </w:tc>
        <w:tc>
          <w:tcPr/>
          <w:p w:rsidR="00000000" w:rsidDel="00000000" w:rsidP="00000000" w:rsidRDefault="00000000" w:rsidRPr="00000000" w14:paraId="00000135">
            <w:pPr>
              <w:jc w:val="both"/>
              <w:rPr/>
            </w:pPr>
            <w:r w:rsidDel="00000000" w:rsidR="00000000" w:rsidRPr="00000000">
              <w:rPr>
                <w:rtl w:val="0"/>
              </w:rPr>
              <w:t xml:space="preserve">South Korea</w:t>
            </w:r>
          </w:p>
        </w:tc>
        <w:tc>
          <w:tcPr/>
          <w:p w:rsidR="00000000" w:rsidDel="00000000" w:rsidP="00000000" w:rsidRDefault="00000000" w:rsidRPr="00000000" w14:paraId="00000136">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37">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8">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9">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A">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3B">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3C">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D">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E">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3F">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0">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1">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42">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43">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44">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45">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46">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47">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8">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9">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4A">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t xml:space="preserve">Table 4d: RID Comparison across Emerging Economies (2021)</w:t>
      </w:r>
      <w:r w:rsidDel="00000000" w:rsidR="00000000" w:rsidRPr="00000000">
        <w:rPr>
          <w:rtl w:val="0"/>
        </w:rPr>
      </w:r>
    </w:p>
    <w:p w:rsidR="00000000" w:rsidDel="00000000" w:rsidP="00000000" w:rsidRDefault="00000000" w:rsidRPr="00000000" w14:paraId="0000014D">
      <w:pPr>
        <w:pageBreakBefore w:val="0"/>
        <w:jc w:val="center"/>
        <w:rPr/>
      </w:pP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jc w:val="both"/>
        <w:rPr>
          <w:rFonts w:ascii="Times" w:cs="Times" w:eastAsia="Times" w:hAnsi="Times"/>
          <w:b w:val="1"/>
          <w:bCs w:val="1"/>
          <w:sz w:val="28"/>
          <w:szCs w:val="28"/>
        </w:rPr>
      </w:pPr>
      <w:r w:rsidDel="00000000" w:rsidR="00000000" w:rsidRPr="00000000">
        <w:rPr>
          <w:rtl w:val="0"/>
        </w:rPr>
        <w:t xml:space="preserve">Tables 4c and 4d further examines Myanmar’s development strategy against those of emerging economies on a global scale. Reasonably, emerging economies such as China, South Korea, Singapore and India have devoted the majority of their efforts into intermediate industry groups, while developing economies such as one in Myanmar should have relied more on essential industry groups. This trend holds true in general, regardless of the continent or time period and serves as an indicator for which phase of development a country is currently in as evaluated from its production strategy. Based on this standard, Myanmar is adopting an aggressive and slightly out-of-phase strategy that seeks development in industry groups with a higher level of complexity than it should.  </w:t>
      </w:r>
      <w:r w:rsidDel="00000000" w:rsidR="00000000" w:rsidRPr="00000000">
        <w:rPr>
          <w:rtl w:val="0"/>
        </w:rPr>
      </w:r>
    </w:p>
    <w:p w:rsidR="00000000" w:rsidDel="00000000" w:rsidP="00000000" w:rsidRDefault="00000000" w:rsidRPr="00000000" w14:paraId="00000150">
      <w:pPr>
        <w:pageBreakBefore w:val="0"/>
        <w:jc w:val="both"/>
        <w:rPr>
          <w:b w:val="1"/>
          <w:bCs w:val="1"/>
        </w:rPr>
      </w:pP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5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57">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158">
      <w:pPr>
        <w:pageBreakBefore w:val="0"/>
        <w:jc w:val="both"/>
        <w:rPr/>
      </w:pP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drawing>
          <wp:inline distB="114300" distT="114300" distL="114300" distR="114300">
            <wp:extent cx="5731200" cy="241300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   </w:t>
      </w:r>
    </w:p>
    <w:p w:rsidR="00000000" w:rsidDel="00000000" w:rsidP="00000000" w:rsidRDefault="00000000" w:rsidRPr="00000000" w14:paraId="0000015B">
      <w:pPr>
        <w:pageBreakBefore w:val="0"/>
        <w:jc w:val="center"/>
        <w:rPr/>
      </w:pPr>
      <w:r w:rsidDel="00000000" w:rsidR="00000000" w:rsidRPr="00000000">
        <w:rPr/>
        <w:drawing>
          <wp:inline distB="114300" distT="114300" distL="114300" distR="114300">
            <wp:extent cx="5731200" cy="2413000"/>
            <wp:effectExtent b="0" l="0" r="0" t="0"/>
            <wp:docPr id="34"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15D">
      <w:pPr>
        <w:pageBreakBefore w:val="0"/>
        <w:jc w:val="center"/>
        <w:rPr/>
      </w:pPr>
      <w:r w:rsidDel="00000000" w:rsidR="00000000" w:rsidRPr="00000000">
        <w:rPr>
          <w:rtl w:val="0"/>
        </w:rPr>
      </w:r>
    </w:p>
    <w:p w:rsidR="00000000" w:rsidDel="00000000" w:rsidP="00000000" w:rsidRDefault="00000000" w:rsidRPr="00000000" w14:paraId="0000015E">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Myanmar shares the characters of developing countries, with a balanced economics structure that leans towards intermediate-level industries.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5F">
      <w:pPr>
        <w:pageBreakBefore w:val="0"/>
        <w:jc w:val="both"/>
        <w:rPr/>
      </w:pPr>
      <w:r w:rsidDel="00000000" w:rsidR="00000000" w:rsidRPr="00000000">
        <w:rPr>
          <w:rtl w:val="0"/>
        </w:rPr>
      </w:r>
    </w:p>
    <w:p w:rsidR="00000000" w:rsidDel="00000000" w:rsidP="00000000" w:rsidRDefault="00000000" w:rsidRPr="00000000" w14:paraId="00000160">
      <w:pPr>
        <w:pageBreakBefore w:val="0"/>
        <w:jc w:val="center"/>
        <w:rPr/>
      </w:pPr>
      <w:r w:rsidDel="00000000" w:rsidR="00000000" w:rsidRPr="00000000">
        <w:rPr/>
        <w:drawing>
          <wp:inline distB="114300" distT="114300" distL="114300" distR="114300">
            <wp:extent cx="5731200" cy="2387600"/>
            <wp:effectExtent b="0" l="0" r="0" t="0"/>
            <wp:docPr id="2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both"/>
        <w:rPr/>
      </w:pPr>
      <w:r w:rsidDel="00000000" w:rsidR="00000000" w:rsidRPr="00000000">
        <w:rPr>
          <w:rtl w:val="0"/>
        </w:rPr>
      </w:r>
    </w:p>
    <w:p w:rsidR="00000000" w:rsidDel="00000000" w:rsidP="00000000" w:rsidRDefault="00000000" w:rsidRPr="00000000" w14:paraId="00000162">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163">
      <w:pPr>
        <w:pageBreakBefore w:val="0"/>
        <w:jc w:val="center"/>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67">
      <w:pPr>
        <w:pageBreakBefore w:val="0"/>
        <w:jc w:val="both"/>
        <w:rPr/>
      </w:pPr>
      <w:r w:rsidDel="00000000" w:rsidR="00000000" w:rsidRPr="00000000">
        <w:rPr>
          <w:rtl w:val="0"/>
        </w:rPr>
      </w:r>
    </w:p>
    <w:p w:rsidR="00000000" w:rsidDel="00000000" w:rsidP="00000000" w:rsidRDefault="00000000" w:rsidRPr="00000000" w14:paraId="00000168">
      <w:pPr>
        <w:pageBreakBefore w:val="0"/>
        <w:jc w:val="center"/>
        <w:rPr/>
      </w:pPr>
      <w:r w:rsidDel="00000000" w:rsidR="00000000" w:rsidRPr="00000000">
        <w:rPr/>
        <w:drawing>
          <wp:inline distB="114300" distT="114300" distL="114300" distR="114300">
            <wp:extent cx="2528888" cy="1141284"/>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jc w:val="center"/>
        <w:rPr/>
      </w:pPr>
      <w:r w:rsidDel="00000000" w:rsidR="00000000" w:rsidRPr="00000000">
        <w:rPr>
          <w:rtl w:val="0"/>
        </w:rPr>
      </w:r>
    </w:p>
    <w:p w:rsidR="00000000" w:rsidDel="00000000" w:rsidP="00000000" w:rsidRDefault="00000000" w:rsidRPr="00000000" w14:paraId="0000016A">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6B">
      <w:pPr>
        <w:pageBreakBefore w:val="0"/>
        <w:jc w:val="both"/>
        <w:rPr/>
      </w:pPr>
      <w:r w:rsidDel="00000000" w:rsidR="00000000" w:rsidRPr="00000000">
        <w:rPr>
          <w:rtl w:val="0"/>
        </w:rPr>
        <w:t xml:space="preserve"> </w:t>
      </w:r>
    </w:p>
    <w:p w:rsidR="00000000" w:rsidDel="00000000" w:rsidP="00000000" w:rsidRDefault="00000000" w:rsidRPr="00000000" w14:paraId="0000016C">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6D">
      <w:pPr>
        <w:pageBreakBefore w:val="0"/>
        <w:jc w:val="both"/>
        <w:rPr/>
      </w:pPr>
      <w:r w:rsidDel="00000000" w:rsidR="00000000" w:rsidRPr="00000000">
        <w:rPr>
          <w:rtl w:val="0"/>
        </w:rPr>
        <w:t xml:space="preserve"> </w:t>
      </w:r>
    </w:p>
    <w:p w:rsidR="00000000" w:rsidDel="00000000" w:rsidP="00000000" w:rsidRDefault="00000000" w:rsidRPr="00000000" w14:paraId="0000016E">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jc w:val="center"/>
        <w:rPr/>
      </w:pPr>
      <w:r w:rsidDel="00000000" w:rsidR="00000000" w:rsidRPr="00000000">
        <w:rPr/>
        <w:drawing>
          <wp:inline distB="114300" distT="114300" distL="114300" distR="114300">
            <wp:extent cx="2138363" cy="718630"/>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74">
      <w:pPr>
        <w:pageBreakBefore w:val="0"/>
        <w:rPr/>
      </w:pPr>
      <w:r w:rsidDel="00000000" w:rsidR="00000000" w:rsidRPr="00000000">
        <w:rPr>
          <w:rtl w:val="0"/>
        </w:rPr>
        <w:t xml:space="preserve"> </w:t>
      </w:r>
    </w:p>
    <w:p w:rsidR="00000000" w:rsidDel="00000000" w:rsidP="00000000" w:rsidRDefault="00000000" w:rsidRPr="00000000" w14:paraId="00000175">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76">
      <w:pPr>
        <w:pageBreakBefore w:val="0"/>
        <w:jc w:val="both"/>
        <w:rPr>
          <w:b w:val="1"/>
          <w:bCs w:val="1"/>
        </w:rPr>
      </w:pPr>
      <w:r w:rsidDel="00000000" w:rsidR="00000000" w:rsidRPr="00000000">
        <w:rPr>
          <w:rtl w:val="0"/>
        </w:rPr>
      </w:r>
    </w:p>
    <w:p w:rsidR="00000000" w:rsidDel="00000000" w:rsidP="00000000" w:rsidRDefault="00000000" w:rsidRPr="00000000" w14:paraId="00000177">
      <w:pPr>
        <w:pageBreakBefore w:val="0"/>
        <w:jc w:val="both"/>
        <w:rPr>
          <w:b w:val="1"/>
          <w:bCs w:val="1"/>
        </w:rPr>
      </w:pPr>
      <w:r w:rsidDel="00000000" w:rsidR="00000000" w:rsidRPr="00000000">
        <w:rPr>
          <w:rtl w:val="0"/>
        </w:rPr>
      </w:r>
    </w:p>
    <w:p w:rsidR="00000000" w:rsidDel="00000000" w:rsidP="00000000" w:rsidRDefault="00000000" w:rsidRPr="00000000" w14:paraId="00000178">
      <w:pPr>
        <w:pageBreakBefore w:val="0"/>
        <w:jc w:val="both"/>
        <w:rPr>
          <w:b w:val="1"/>
          <w:bCs w:val="1"/>
        </w:rPr>
      </w:pPr>
      <w:r w:rsidDel="00000000" w:rsidR="00000000" w:rsidRPr="00000000">
        <w:rPr>
          <w:rtl w:val="0"/>
        </w:rPr>
      </w:r>
    </w:p>
    <w:p w:rsidR="00000000" w:rsidDel="00000000" w:rsidP="00000000" w:rsidRDefault="00000000" w:rsidRPr="00000000" w14:paraId="00000179">
      <w:pPr>
        <w:pageBreakBefore w:val="0"/>
        <w:jc w:val="both"/>
        <w:rPr>
          <w:b w:val="1"/>
          <w:bCs w:val="1"/>
        </w:rPr>
      </w:pPr>
      <w:r w:rsidDel="00000000" w:rsidR="00000000" w:rsidRPr="00000000">
        <w:rPr>
          <w:rtl w:val="0"/>
        </w:rPr>
      </w:r>
    </w:p>
    <w:p w:rsidR="00000000" w:rsidDel="00000000" w:rsidP="00000000" w:rsidRDefault="00000000" w:rsidRPr="00000000" w14:paraId="0000017A">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7B">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17C">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7D">
      <w:pPr>
        <w:pageBreakBefore w:val="0"/>
        <w:jc w:val="center"/>
        <w:rPr/>
      </w:pPr>
      <w:r w:rsidDel="00000000" w:rsidR="00000000" w:rsidRPr="00000000">
        <w:rPr>
          <w:b w:val="1"/>
          <w:bCs w:val="1"/>
          <w:rtl w:val="0"/>
        </w:rPr>
        <w:t xml:space="preserve">  </w:t>
      </w: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E">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F">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0">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1">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2">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3">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4">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5">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6">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7">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8">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9">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A">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B">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C">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D">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E">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F">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0">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1">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2">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3">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4">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5">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6">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7">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8">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9">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A">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B">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C">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D">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E">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F">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0">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1">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2">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3">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A4">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A5">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t xml:space="preserve">Below is the economic panel for Myanmar in 2013. We can see that for different percentages of heuristic total export growth, the ECIs of Myanmar have different amounts of increments. Overall, 5 </w:t>
      </w:r>
      <w:r w:rsidDel="00000000" w:rsidR="00000000" w:rsidRPr="00000000">
        <w:rPr>
          <w:rtl w:val="0"/>
        </w:rPr>
        <w:t xml:space="preserve">and 10 percent export growth result in a similar ECI improvement pattern, which starts from around -0.553 and ends at around -0.23 However, 15 and 20 percent export growth are able to result in more positive ECI improvement trajectories. For a 15 percent growth budget, ECI of Myanmar is able to end at around -0.09 while for a 20 percent budget, the increment is even more obvious, eventually achieving around 0.14, which enters the positive ECI range.  </w:t>
      </w: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t xml:space="preserve"> </w:t>
      </w:r>
    </w:p>
    <w:p w:rsidR="00000000" w:rsidDel="00000000" w:rsidP="00000000" w:rsidRDefault="00000000" w:rsidRPr="00000000" w14:paraId="000001A9">
      <w:pPr>
        <w:pageBreakBefore w:val="0"/>
        <w:jc w:val="both"/>
        <w:rPr/>
      </w:pPr>
      <w:r w:rsidDel="00000000" w:rsidR="00000000" w:rsidRPr="00000000">
        <w:rPr>
          <w:rtl w:val="0"/>
        </w:rPr>
        <w:t xml:space="preserve">For the case of 5 percent export growth, Chemicals and Wood Products account for most of the portfolio. For 10 percent export growth, in addition to the industries that we mentioned before, more weight is put on the Metal industry. For the case of 15 and 20 percent increment budgets, we realize that the development trajectories are in a relatively similar pattern except that there are a few additional steps when there are more budgets, and correspondingly new industries have more importance as well. Different from the previous two cases, in the 15 percent growth scenario the solutions suggest that Myanmar should invest more in Daily Instruments and Metals, while in the 20 percent growth scenario the solutions suggest that Myanmar should invest more in Machinery and Construction. This makes sense because with more budgets, a country should definitely focus more on the development of different product spaces. A more detailed numerical representation of the portfolio is shown in Table 8.</w:t>
      </w:r>
    </w:p>
    <w:p w:rsidR="00000000" w:rsidDel="00000000" w:rsidP="00000000" w:rsidRDefault="00000000" w:rsidRPr="00000000" w14:paraId="000001AA">
      <w:pPr>
        <w:pageBreakBefore w:val="0"/>
        <w:jc w:val="both"/>
        <w:rPr/>
      </w:pP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drawing>
          <wp:inline distB="114300" distT="114300" distL="114300" distR="114300">
            <wp:extent cx="5731200" cy="2870200"/>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2870200"/>
                    </a:xfrm>
                    <a:prstGeom prst="rect"/>
                    <a:ln/>
                  </pic:spPr>
                </pic:pic>
              </a:graphicData>
            </a:graphic>
          </wp:inline>
        </w:drawing>
      </w:r>
      <w:r w:rsidDel="00000000" w:rsidR="00000000" w:rsidRPr="00000000">
        <w:rPr>
          <w:rtl w:val="0"/>
        </w:rPr>
        <w:t xml:space="preserve">c</w:t>
      </w:r>
    </w:p>
    <w:p w:rsidR="00000000" w:rsidDel="00000000" w:rsidP="00000000" w:rsidRDefault="00000000" w:rsidRPr="00000000" w14:paraId="000001AC">
      <w:pPr>
        <w:pageBreakBefore w:val="0"/>
        <w:jc w:val="center"/>
        <w:rPr/>
      </w:pPr>
      <w:r w:rsidDel="00000000" w:rsidR="00000000" w:rsidRPr="00000000">
        <w:rPr>
          <w:rtl w:val="0"/>
        </w:rPr>
        <w:t xml:space="preserve">Figure 5: Greedy Based ECI Improvement Results of Myanmar in 2013 with Different Budgets</w:t>
      </w:r>
    </w:p>
    <w:p w:rsidR="00000000" w:rsidDel="00000000" w:rsidP="00000000" w:rsidRDefault="00000000" w:rsidRPr="00000000" w14:paraId="000001AD">
      <w:pPr>
        <w:pageBreakBefore w:val="0"/>
        <w:jc w:val="both"/>
        <w:rPr/>
      </w:pPr>
      <w:r w:rsidDel="00000000" w:rsidR="00000000" w:rsidRPr="00000000">
        <w:rPr/>
        <w:drawing>
          <wp:inline distB="114300" distT="114300" distL="114300" distR="114300">
            <wp:extent cx="5731200" cy="1358900"/>
            <wp:effectExtent b="0" l="0" r="0" t="0"/>
            <wp:docPr id="14"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ageBreakBefore w:val="0"/>
        <w:jc w:val="center"/>
        <w:rPr/>
      </w:pPr>
      <w:r w:rsidDel="00000000" w:rsidR="00000000" w:rsidRPr="00000000">
        <w:rPr>
          <w:rtl w:val="0"/>
        </w:rPr>
        <w:t xml:space="preserve">Table 8: Portfolio of Myanmar in 2013</w:t>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jc w:val="both"/>
        <w:rPr/>
      </w:pPr>
      <w:r w:rsidDel="00000000" w:rsidR="00000000" w:rsidRPr="00000000">
        <w:rPr>
          <w:rtl w:val="0"/>
        </w:rPr>
        <w:t xml:space="preserve">For further suggestions on Myanmar’s development in the future, we also offer the optimization result of Myanmar based on export data in 2018. Below is the economic panel for Myanmar in 2018. We can see that there is a similar pattern for the ECI improvement trajectories, which is that the improvements in 5 and 10 percent export growth are more similar, and the ones in 15 and 20 are similar. But one difference is that the main components that result in ECI improvements are not quite similar. For a 5 percent export growth, the main components include primarily Daily Instruments as well as Wood Products, while for a 10 percent growth, the main components also consist of Chemicals, with more importance placed on the Wood Products industry. For situations with higher budgets of investment, like 15 or 20 percent of growth, the portfolios are more diverse than the previous two cases. In detail, the Chemical Manufacturing industry is the one that contributes primarily in ECI increments. A more detailed numerical representation of the portfolio is shown in Table 9. </w:t>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pPr>
      <w:r w:rsidDel="00000000" w:rsidR="00000000" w:rsidRPr="00000000">
        <w:rPr/>
        <w:drawing>
          <wp:inline distB="114300" distT="114300" distL="114300" distR="114300">
            <wp:extent cx="5731200" cy="2870200"/>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3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center"/>
        <w:rPr/>
      </w:pPr>
      <w:r w:rsidDel="00000000" w:rsidR="00000000" w:rsidRPr="00000000">
        <w:rPr>
          <w:rtl w:val="0"/>
        </w:rPr>
        <w:t xml:space="preserve">Figure 6: Greedy Based ECI Improvement Results of Myanmar in 2018 with Different Budgets</w:t>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drawing>
          <wp:inline distB="114300" distT="114300" distL="114300" distR="114300">
            <wp:extent cx="5731200" cy="1511300"/>
            <wp:effectExtent b="0" l="0" r="0" t="0"/>
            <wp:docPr id="26"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ageBreakBefore w:val="0"/>
        <w:jc w:val="both"/>
        <w:rPr/>
      </w:pPr>
      <w:r w:rsidDel="00000000" w:rsidR="00000000" w:rsidRPr="00000000">
        <w:rPr>
          <w:rtl w:val="0"/>
        </w:rPr>
      </w:r>
    </w:p>
    <w:p w:rsidR="00000000" w:rsidDel="00000000" w:rsidP="00000000" w:rsidRDefault="00000000" w:rsidRPr="00000000" w14:paraId="000001B8">
      <w:pPr>
        <w:pageBreakBefore w:val="0"/>
        <w:jc w:val="center"/>
        <w:rPr/>
      </w:pPr>
      <w:r w:rsidDel="00000000" w:rsidR="00000000" w:rsidRPr="00000000">
        <w:rPr>
          <w:rtl w:val="0"/>
        </w:rPr>
        <w:t xml:space="preserve">Table 9: Portfolio of Myanmar in 2018</w:t>
      </w:r>
    </w:p>
    <w:p w:rsidR="00000000" w:rsidDel="00000000" w:rsidP="00000000" w:rsidRDefault="00000000" w:rsidRPr="00000000" w14:paraId="000001B9">
      <w:pPr>
        <w:pageBreakBefore w:val="0"/>
        <w:jc w:val="center"/>
        <w:rPr/>
      </w:pPr>
      <w:r w:rsidDel="00000000" w:rsidR="00000000" w:rsidRPr="00000000">
        <w:rPr>
          <w:rtl w:val="0"/>
        </w:rPr>
      </w:r>
    </w:p>
    <w:p w:rsidR="00000000" w:rsidDel="00000000" w:rsidP="00000000" w:rsidRDefault="00000000" w:rsidRPr="00000000" w14:paraId="000001BA">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BB">
      <w:pPr>
        <w:pageBreakBefore w:val="0"/>
        <w:spacing w:after="240" w:before="240" w:line="276" w:lineRule="auto"/>
        <w:rPr/>
      </w:pPr>
      <w:r w:rsidDel="00000000" w:rsidR="00000000" w:rsidRPr="00000000">
        <w:rPr>
          <w:rtl w:val="0"/>
        </w:rPr>
        <w:t xml:space="preserve">In the following section our broad aim is to understand how sensitive Myanmar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BC">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BD">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BE">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BF">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4" name="image5.jpg"/>
            <a:graphic>
              <a:graphicData uri="http://schemas.openxmlformats.org/drawingml/2006/picture">
                <pic:pic>
                  <pic:nvPicPr>
                    <pic:cNvPr id="0" name="image5.jpg"/>
                    <pic:cNvPicPr preferRelativeResize="0"/>
                  </pic:nvPicPr>
                  <pic:blipFill>
                    <a:blip r:embed="rId2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C1">
      <w:pPr>
        <w:pageBreakBefore w:val="0"/>
        <w:jc w:val="both"/>
        <w:rPr>
          <w:b w:val="1"/>
          <w:bCs w:val="1"/>
        </w:rPr>
      </w:pPr>
      <w:r w:rsidDel="00000000" w:rsidR="00000000" w:rsidRPr="00000000">
        <w:rPr>
          <w:rtl w:val="0"/>
        </w:rPr>
      </w:r>
    </w:p>
    <w:p w:rsidR="00000000" w:rsidDel="00000000" w:rsidP="00000000" w:rsidRDefault="00000000" w:rsidRPr="00000000" w14:paraId="000001C2">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C3">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C4">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C5">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C6">
      <w:pPr>
        <w:pageBreakBefore w:val="0"/>
        <w:spacing w:line="276" w:lineRule="auto"/>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drawing>
          <wp:inline distB="114300" distT="114300" distL="114300" distR="114300">
            <wp:extent cx="5734050" cy="1739900"/>
            <wp:effectExtent b="0" l="0" r="0" t="0"/>
            <wp:docPr id="11"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C9">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CA">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CB">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CC">
      <w:pPr>
        <w:pageBreakBefore w:val="0"/>
        <w:spacing w:line="276" w:lineRule="auto"/>
        <w:rPr/>
      </w:pPr>
      <w:r w:rsidDel="00000000" w:rsidR="00000000" w:rsidRPr="00000000">
        <w:rPr>
          <w:rtl w:val="0"/>
        </w:rPr>
      </w:r>
    </w:p>
    <w:p w:rsidR="00000000" w:rsidDel="00000000" w:rsidP="00000000" w:rsidRDefault="00000000" w:rsidRPr="00000000" w14:paraId="000001CD">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0"/>
        <w:jc w:val="center"/>
        <w:rPr>
          <w:b w:val="1"/>
          <w:bCs w:val="1"/>
          <w:sz w:val="28"/>
          <w:szCs w:val="28"/>
        </w:rPr>
      </w:pPr>
      <w:r w:rsidDel="00000000" w:rsidR="00000000" w:rsidRPr="00000000">
        <w:rPr>
          <w:sz w:val="22"/>
          <w:szCs w:val="22"/>
          <w:rtl w:val="0"/>
        </w:rPr>
        <w:t xml:space="preserve">Example Contingency Strategy 2018</w:t>
      </w:r>
      <w:r w:rsidDel="00000000" w:rsidR="00000000" w:rsidRPr="00000000">
        <w:rPr>
          <w:rtl w:val="0"/>
        </w:rPr>
      </w:r>
    </w:p>
    <w:p w:rsidR="00000000" w:rsidDel="00000000" w:rsidP="00000000" w:rsidRDefault="00000000" w:rsidRPr="00000000" w14:paraId="000001C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0">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D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2">
      <w:pPr>
        <w:pageBreakBefore w:val="0"/>
        <w:jc w:val="both"/>
        <w:rPr/>
      </w:pPr>
      <w:r w:rsidDel="00000000" w:rsidR="00000000" w:rsidRPr="00000000">
        <w:rPr>
          <w:rtl w:val="0"/>
        </w:rPr>
        <w:t xml:space="preserve">Below is Myanmar’s 2018 ECI Sensitivity Charts. Firstly in the positive chart, we notice immediately that increases in Daily Instruments, Raw Manufacturing, and Textiles lead to an uptrend in ECI. Daily Instruments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D3">
      <w:pPr>
        <w:pageBreakBefore w:val="0"/>
        <w:jc w:val="both"/>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Next we consider Myanmar’s 2018 Negative Shock chart. We see that Myanmar’s ECI is slightly sensitive to drawdowns in Metals. More interestingly, we see that large decreases in several industries, such as Energy, Drilling, and Mining, Animals and By-products, Clothing and Accessories, and Vegetables, Fruits, and Plants, seem to greatly increase the ECI score. These industries are important industries for Myanmar’s economy and thus the results that are reflected in the chart may be suggesting that there is another industry that could be very beneficial for Myanmar that is far in proximity from those.</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jc w:val="both"/>
        <w:rPr>
          <w:b w:val="1"/>
          <w:bCs w:val="1"/>
        </w:rPr>
      </w:pPr>
      <w:r w:rsidDel="00000000" w:rsidR="00000000" w:rsidRPr="00000000">
        <w:rPr>
          <w:b w:val="1"/>
          <w:bCs w:val="1"/>
        </w:rPr>
        <w:drawing>
          <wp:inline distB="114300" distT="114300" distL="114300" distR="114300">
            <wp:extent cx="5731200" cy="3213100"/>
            <wp:effectExtent b="0" l="0" r="0" t="0"/>
            <wp:docPr id="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ageBreakBefore w:val="0"/>
        <w:jc w:val="center"/>
        <w:rPr>
          <w:b w:val="1"/>
          <w:bCs w:val="1"/>
        </w:rPr>
      </w:pPr>
      <w:r w:rsidDel="00000000" w:rsidR="00000000" w:rsidRPr="00000000">
        <w:rPr>
          <w:rtl w:val="0"/>
        </w:rPr>
        <w:t xml:space="preserve">Myanmar 2018 (Incremental ECI Sensitivity)</w:t>
      </w:r>
      <w:r w:rsidDel="00000000" w:rsidR="00000000" w:rsidRPr="00000000">
        <w:rPr>
          <w:rtl w:val="0"/>
        </w:rPr>
      </w:r>
    </w:p>
    <w:p w:rsidR="00000000" w:rsidDel="00000000" w:rsidP="00000000" w:rsidRDefault="00000000" w:rsidRPr="00000000" w14:paraId="000001D8">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20"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ageBreakBefore w:val="0"/>
        <w:jc w:val="both"/>
        <w:rPr>
          <w:b w:val="1"/>
          <w:bCs w:val="1"/>
        </w:rPr>
      </w:pPr>
      <w:r w:rsidDel="00000000" w:rsidR="00000000" w:rsidRPr="00000000">
        <w:rPr>
          <w:rtl w:val="0"/>
        </w:rPr>
      </w:r>
    </w:p>
    <w:p w:rsidR="00000000" w:rsidDel="00000000" w:rsidP="00000000" w:rsidRDefault="00000000" w:rsidRPr="00000000" w14:paraId="000001DA">
      <w:pPr>
        <w:pageBreakBefore w:val="0"/>
        <w:jc w:val="center"/>
        <w:rPr/>
      </w:pPr>
      <w:r w:rsidDel="00000000" w:rsidR="00000000" w:rsidRPr="00000000">
        <w:rPr>
          <w:rtl w:val="0"/>
        </w:rPr>
        <w:t xml:space="preserve">Myanmar 2018 (Decremental  ECI Sensitivity)</w:t>
      </w:r>
    </w:p>
    <w:p w:rsidR="00000000" w:rsidDel="00000000" w:rsidP="00000000" w:rsidRDefault="00000000" w:rsidRPr="00000000" w14:paraId="000001DB">
      <w:pPr>
        <w:pageBreakBefore w:val="0"/>
        <w:jc w:val="center"/>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Next we consider the 2013 ECI Sensitivity graphs. We see that in the positive shocking case,  the landscape of ECI sensitivity has changed substantially. Increases in Energy, Drilling, and Mining and Textile also lead to increases in ECI, whereas all other industries do not affect the ECI. Textiles presented potential to increase ECI for both 2013 and 2018 whereas the other industries changed over the 5 years. </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In the 2013 negative shocking case, we see that again Myanmar is very sensitive to drawdowns in Services and Utilities and Raw Manufacturing. </w:t>
      </w:r>
    </w:p>
    <w:p w:rsidR="00000000" w:rsidDel="00000000" w:rsidP="00000000" w:rsidRDefault="00000000" w:rsidRPr="00000000" w14:paraId="000001DF">
      <w:pPr>
        <w:pageBreakBefore w:val="0"/>
        <w:jc w:val="center"/>
        <w:rPr>
          <w:b w:val="1"/>
          <w:bCs w:val="1"/>
        </w:rPr>
      </w:pPr>
      <w:r w:rsidDel="00000000" w:rsidR="00000000" w:rsidRPr="00000000">
        <w:rPr>
          <w:b w:val="1"/>
          <w:bCs w:val="1"/>
        </w:rPr>
        <w:drawing>
          <wp:inline distB="114300" distT="114300" distL="114300" distR="114300">
            <wp:extent cx="4689965" cy="2986088"/>
            <wp:effectExtent b="0" l="0" r="0" t="0"/>
            <wp:docPr id="29"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689965"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ageBreakBefore w:val="0"/>
        <w:jc w:val="center"/>
        <w:rPr/>
      </w:pPr>
      <w:r w:rsidDel="00000000" w:rsidR="00000000" w:rsidRPr="00000000">
        <w:rPr>
          <w:rtl w:val="0"/>
        </w:rPr>
        <w:t xml:space="preserve">Myanmar 2013 (Incremental ECI Sensitivity)</w:t>
      </w:r>
    </w:p>
    <w:p w:rsidR="00000000" w:rsidDel="00000000" w:rsidP="00000000" w:rsidRDefault="00000000" w:rsidRPr="00000000" w14:paraId="000001E1">
      <w:pPr>
        <w:pageBreakBefore w:val="0"/>
        <w:jc w:val="both"/>
        <w:rPr>
          <w:b w:val="1"/>
          <w:bCs w:val="1"/>
        </w:rPr>
      </w:pPr>
      <w:r w:rsidDel="00000000" w:rsidR="00000000" w:rsidRPr="00000000">
        <w:rPr>
          <w:rtl w:val="0"/>
        </w:rPr>
      </w:r>
    </w:p>
    <w:p w:rsidR="00000000" w:rsidDel="00000000" w:rsidP="00000000" w:rsidRDefault="00000000" w:rsidRPr="00000000" w14:paraId="000001E2">
      <w:pPr>
        <w:pageBreakBefore w:val="0"/>
        <w:jc w:val="center"/>
        <w:rPr>
          <w:b w:val="1"/>
          <w:bCs w:val="1"/>
        </w:rPr>
      </w:pPr>
      <w:r w:rsidDel="00000000" w:rsidR="00000000" w:rsidRPr="00000000">
        <w:rPr>
          <w:b w:val="1"/>
          <w:bCs w:val="1"/>
        </w:rPr>
        <w:drawing>
          <wp:inline distB="114300" distT="114300" distL="114300" distR="114300">
            <wp:extent cx="5022908" cy="3195638"/>
            <wp:effectExtent b="0" l="0" r="0" t="0"/>
            <wp:docPr id="2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022908"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ageBreakBefore w:val="0"/>
        <w:jc w:val="center"/>
        <w:rPr>
          <w:b w:val="1"/>
          <w:bCs w:val="1"/>
        </w:rPr>
      </w:pPr>
      <w:r w:rsidDel="00000000" w:rsidR="00000000" w:rsidRPr="00000000">
        <w:rPr>
          <w:rtl w:val="0"/>
        </w:rPr>
        <w:t xml:space="preserve">Myanmar 2013 (Decremental  ECI Sensitivity)</w:t>
      </w:r>
      <w:r w:rsidDel="00000000" w:rsidR="00000000" w:rsidRPr="00000000">
        <w:rPr>
          <w:rtl w:val="0"/>
        </w:rPr>
      </w:r>
    </w:p>
    <w:p w:rsidR="00000000" w:rsidDel="00000000" w:rsidP="00000000" w:rsidRDefault="00000000" w:rsidRPr="00000000" w14:paraId="000001E4">
      <w:pPr>
        <w:pageBreakBefore w:val="0"/>
        <w:jc w:val="both"/>
        <w:rPr>
          <w:b w:val="1"/>
          <w:bCs w:val="1"/>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Below we see the SDV sensitivity charts for Daily Instruments in 2018. We see that increasing the export of Daily Instruments opens up few positive opportunity gain industries for Myanmar to move into. In fact after a 150% increase, the number of positive opportunity gain countries actually decreases. </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In the negative Daily Instruments SDV chart, we see that decreasing the export of Daily Instruments has little impact, suggesting that this is not an important industry in terms of the stability of its SDV. </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t xml:space="preserve">Concerning Raw Manufacturing, Myanmar reacts similarly to Daily Instruments. Increasing the export of Raw Manufacturing generates fewer positive opportunity gain industries, and decreasing export has little impact.</w:t>
      </w:r>
    </w:p>
    <w:p w:rsidR="00000000" w:rsidDel="00000000" w:rsidP="00000000" w:rsidRDefault="00000000" w:rsidRPr="00000000" w14:paraId="000001EA">
      <w:pPr>
        <w:pageBreakBefore w:val="0"/>
        <w:ind w:left="720" w:firstLine="720"/>
        <w:jc w:val="center"/>
        <w:rPr/>
      </w:pPr>
      <w:r w:rsidDel="00000000" w:rsidR="00000000" w:rsidRPr="00000000">
        <w:rPr/>
        <w:drawing>
          <wp:inline distB="114300" distT="114300" distL="114300" distR="114300">
            <wp:extent cx="3975971" cy="3786188"/>
            <wp:effectExtent b="0" l="0" r="0" t="0"/>
            <wp:docPr id="2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3975971"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ageBreakBefore w:val="0"/>
        <w:jc w:val="center"/>
        <w:rPr>
          <w:b w:val="1"/>
          <w:bCs w:val="1"/>
        </w:rPr>
      </w:pPr>
      <w:r w:rsidDel="00000000" w:rsidR="00000000" w:rsidRPr="00000000">
        <w:rPr>
          <w:rtl w:val="0"/>
        </w:rPr>
      </w:r>
    </w:p>
    <w:p w:rsidR="00000000" w:rsidDel="00000000" w:rsidP="00000000" w:rsidRDefault="00000000" w:rsidRPr="00000000" w14:paraId="000001EC">
      <w:pPr>
        <w:pageBreakBefore w:val="0"/>
        <w:ind w:left="720" w:firstLine="720"/>
        <w:jc w:val="center"/>
        <w:rPr/>
      </w:pPr>
      <w:r w:rsidDel="00000000" w:rsidR="00000000" w:rsidRPr="00000000">
        <w:rPr>
          <w:rtl w:val="0"/>
        </w:rPr>
        <w:t xml:space="preserve">Myanmar Daily Instruments 2018 (Incremental SDV Sensitivity)</w:t>
      </w:r>
    </w:p>
    <w:p w:rsidR="00000000" w:rsidDel="00000000" w:rsidP="00000000" w:rsidRDefault="00000000" w:rsidRPr="00000000" w14:paraId="000001ED">
      <w:pPr>
        <w:pageBreakBefore w:val="0"/>
        <w:jc w:val="center"/>
        <w:rPr/>
      </w:pPr>
      <w:r w:rsidDel="00000000" w:rsidR="00000000" w:rsidRPr="00000000">
        <w:rPr>
          <w:b w:val="1"/>
          <w:bCs w:val="1"/>
        </w:rPr>
        <w:drawing>
          <wp:inline distB="114300" distT="114300" distL="114300" distR="114300">
            <wp:extent cx="1674669" cy="3148013"/>
            <wp:effectExtent b="0" l="0" r="0" t="0"/>
            <wp:docPr id="1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674669"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ageBreakBefore w:val="0"/>
        <w:ind w:left="720" w:firstLine="720"/>
        <w:jc w:val="center"/>
        <w:rPr/>
      </w:pPr>
      <w:r w:rsidDel="00000000" w:rsidR="00000000" w:rsidRPr="00000000">
        <w:rPr>
          <w:rtl w:val="0"/>
        </w:rPr>
        <w:t xml:space="preserve">Myanmar</w:t>
      </w:r>
      <w:r w:rsidDel="00000000" w:rsidR="00000000" w:rsidRPr="00000000">
        <w:rPr>
          <w:rtl w:val="0"/>
        </w:rPr>
        <w:t xml:space="preserve"> Daily Instruments Products 2018 (Decremental SDV Sensitivity)</w:t>
      </w:r>
    </w:p>
    <w:p w:rsidR="00000000" w:rsidDel="00000000" w:rsidP="00000000" w:rsidRDefault="00000000" w:rsidRPr="00000000" w14:paraId="000001EF">
      <w:pPr>
        <w:pageBreakBefore w:val="0"/>
        <w:ind w:left="720" w:firstLine="720"/>
        <w:jc w:val="center"/>
        <w:rPr/>
      </w:pPr>
      <w:r w:rsidDel="00000000" w:rsidR="00000000" w:rsidRPr="00000000">
        <w:rPr>
          <w:rtl w:val="0"/>
        </w:rPr>
      </w:r>
    </w:p>
    <w:p w:rsidR="00000000" w:rsidDel="00000000" w:rsidP="00000000" w:rsidRDefault="00000000" w:rsidRPr="00000000" w14:paraId="000001F0">
      <w:pPr>
        <w:pageBreakBefore w:val="0"/>
        <w:ind w:left="720" w:firstLine="720"/>
        <w:jc w:val="center"/>
        <w:rPr/>
      </w:pPr>
      <w:r w:rsidDel="00000000" w:rsidR="00000000" w:rsidRPr="00000000">
        <w:rPr/>
        <w:drawing>
          <wp:inline distB="114300" distT="114300" distL="114300" distR="114300">
            <wp:extent cx="3178158" cy="3062288"/>
            <wp:effectExtent b="0" l="0" r="0" t="0"/>
            <wp:docPr id="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3178158"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ageBreakBefore w:val="0"/>
        <w:ind w:left="720" w:firstLine="720"/>
        <w:jc w:val="center"/>
        <w:rPr>
          <w:b w:val="1"/>
          <w:bCs w:val="1"/>
        </w:rPr>
      </w:pPr>
      <w:r w:rsidDel="00000000" w:rsidR="00000000" w:rsidRPr="00000000">
        <w:rPr>
          <w:rtl w:val="0"/>
        </w:rPr>
        <w:t xml:space="preserve">Myanmar Raw Manufacturing 2018 (Incremental SDV Sensitivity)</w:t>
      </w:r>
      <w:r w:rsidDel="00000000" w:rsidR="00000000" w:rsidRPr="00000000">
        <w:rPr>
          <w:rtl w:val="0"/>
        </w:rPr>
      </w:r>
    </w:p>
    <w:p w:rsidR="00000000" w:rsidDel="00000000" w:rsidP="00000000" w:rsidRDefault="00000000" w:rsidRPr="00000000" w14:paraId="000001F2">
      <w:pPr>
        <w:jc w:val="center"/>
        <w:rPr>
          <w:b w:val="1"/>
          <w:bCs w:val="1"/>
        </w:rPr>
      </w:pPr>
      <w:r w:rsidDel="00000000" w:rsidR="00000000" w:rsidRPr="00000000">
        <w:rPr>
          <w:b w:val="1"/>
          <w:bCs w:val="1"/>
          <w:sz w:val="28"/>
          <w:szCs w:val="28"/>
        </w:rPr>
        <w:drawing>
          <wp:inline distB="114300" distT="114300" distL="114300" distR="114300">
            <wp:extent cx="1748622" cy="3024188"/>
            <wp:effectExtent b="0" l="0" r="0" t="0"/>
            <wp:docPr id="31"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1748622"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ageBreakBefore w:val="0"/>
        <w:ind w:left="720" w:firstLine="720"/>
        <w:jc w:val="center"/>
        <w:rPr/>
      </w:pPr>
      <w:r w:rsidDel="00000000" w:rsidR="00000000" w:rsidRPr="00000000">
        <w:rPr>
          <w:rtl w:val="0"/>
        </w:rPr>
        <w:t xml:space="preserve">Myanmar Raw Manufacturing 2018 (Decremental SDV Sensitivity)</w:t>
      </w:r>
    </w:p>
    <w:p w:rsidR="00000000" w:rsidDel="00000000" w:rsidP="00000000" w:rsidRDefault="00000000" w:rsidRPr="00000000" w14:paraId="000001F4">
      <w:pPr>
        <w:pageBreakBefore w:val="0"/>
        <w:ind w:left="720" w:firstLine="720"/>
        <w:jc w:val="center"/>
        <w:rPr/>
      </w:pPr>
      <w:r w:rsidDel="00000000" w:rsidR="00000000" w:rsidRPr="00000000">
        <w:rPr>
          <w:rtl w:val="0"/>
        </w:rPr>
      </w:r>
    </w:p>
    <w:p w:rsidR="00000000" w:rsidDel="00000000" w:rsidP="00000000" w:rsidRDefault="00000000" w:rsidRPr="00000000" w14:paraId="000001F5">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F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7">
      <w:pPr>
        <w:pageBreakBefore w:val="0"/>
        <w:jc w:val="both"/>
        <w:rPr>
          <w:b w:val="1"/>
          <w:bCs w:val="1"/>
          <w:sz w:val="28"/>
          <w:szCs w:val="28"/>
        </w:rPr>
      </w:pPr>
      <w:r w:rsidDel="00000000" w:rsidR="00000000" w:rsidRPr="00000000">
        <w:rPr>
          <w:rtl w:val="0"/>
        </w:rPr>
        <w:t xml:space="preserve">Decreasing export of each industry in Myanmar’s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F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9">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2844800"/>
            <wp:effectExtent b="0" l="0" r="0" t="0"/>
            <wp:docPr id="18"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ageBreakBefore w:val="0"/>
        <w:jc w:val="center"/>
        <w:rPr>
          <w:sz w:val="22"/>
          <w:szCs w:val="22"/>
        </w:rPr>
      </w:pPr>
      <w:r w:rsidDel="00000000" w:rsidR="00000000" w:rsidRPr="00000000">
        <w:rPr>
          <w:sz w:val="22"/>
          <w:szCs w:val="22"/>
          <w:rtl w:val="0"/>
        </w:rPr>
        <w:t xml:space="preserve">Myanmar Contingency Strategy 2018</w:t>
      </w:r>
    </w:p>
    <w:p w:rsidR="00000000" w:rsidDel="00000000" w:rsidP="00000000" w:rsidRDefault="00000000" w:rsidRPr="00000000" w14:paraId="000001FB">
      <w:pPr>
        <w:pageBreakBefore w:val="0"/>
        <w:jc w:val="center"/>
        <w:rPr>
          <w:sz w:val="22"/>
          <w:szCs w:val="22"/>
        </w:rPr>
      </w:pPr>
      <w:r w:rsidDel="00000000" w:rsidR="00000000" w:rsidRPr="00000000">
        <w:rPr>
          <w:rtl w:val="0"/>
        </w:rPr>
      </w:r>
    </w:p>
    <w:p w:rsidR="00000000" w:rsidDel="00000000" w:rsidP="00000000" w:rsidRDefault="00000000" w:rsidRPr="00000000" w14:paraId="000001FC">
      <w:pPr>
        <w:pageBreakBefore w:val="0"/>
        <w:jc w:val="both"/>
        <w:rPr>
          <w:b w:val="1"/>
          <w:bCs w:val="1"/>
        </w:rPr>
      </w:pPr>
      <w:r w:rsidDel="00000000" w:rsidR="00000000" w:rsidRPr="00000000">
        <w:rPr>
          <w:rtl w:val="0"/>
        </w:rPr>
      </w:r>
    </w:p>
    <w:p w:rsidR="00000000" w:rsidDel="00000000" w:rsidP="00000000" w:rsidRDefault="00000000" w:rsidRPr="00000000" w14:paraId="000001F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FE">
      <w:pPr>
        <w:pageBreakBefore w:val="0"/>
        <w:jc w:val="both"/>
        <w:rPr>
          <w:b w:val="1"/>
          <w:bCs w:val="1"/>
        </w:rPr>
      </w:pPr>
      <w:r w:rsidDel="00000000" w:rsidR="00000000" w:rsidRPr="00000000">
        <w:rPr>
          <w:rtl w:val="0"/>
        </w:rPr>
      </w:r>
    </w:p>
    <w:p w:rsidR="00000000" w:rsidDel="00000000" w:rsidP="00000000" w:rsidRDefault="00000000" w:rsidRPr="00000000" w14:paraId="000001F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00">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201">
      <w:pPr>
        <w:pageBreakBefore w:val="0"/>
        <w:jc w:val="both"/>
        <w:rPr/>
      </w:pPr>
      <w:r w:rsidDel="00000000" w:rsidR="00000000" w:rsidRPr="00000000">
        <w:rPr>
          <w:rtl w:val="0"/>
        </w:rPr>
      </w:r>
    </w:p>
    <w:p w:rsidR="00000000" w:rsidDel="00000000" w:rsidP="00000000" w:rsidRDefault="00000000" w:rsidRPr="00000000" w14:paraId="0000020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203">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20C">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20D">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20E">
      <w:pPr>
        <w:pageBreakBefore w:val="0"/>
        <w:jc w:val="both"/>
        <w:rPr/>
      </w:pPr>
      <w:r w:rsidDel="00000000" w:rsidR="00000000" w:rsidRPr="00000000">
        <w:rPr>
          <w:rtl w:val="0"/>
        </w:rPr>
      </w:r>
    </w:p>
    <w:p w:rsidR="00000000" w:rsidDel="00000000" w:rsidP="00000000" w:rsidRDefault="00000000" w:rsidRPr="00000000" w14:paraId="0000020F">
      <w:pPr>
        <w:pageBreakBefore w:val="0"/>
        <w:jc w:val="both"/>
        <w:rPr>
          <w:b w:val="1"/>
          <w:bCs w:val="1"/>
        </w:rPr>
      </w:pPr>
      <w:r w:rsidDel="00000000" w:rsidR="00000000" w:rsidRPr="00000000">
        <w:rPr>
          <w:b w:val="1"/>
          <w:bCs w:val="1"/>
          <w:rtl w:val="0"/>
        </w:rPr>
        <w:t xml:space="preserve">5.2 SOI of Myanmar and Its Implications</w:t>
      </w:r>
    </w:p>
    <w:p w:rsidR="00000000" w:rsidDel="00000000" w:rsidP="00000000" w:rsidRDefault="00000000" w:rsidRPr="00000000" w14:paraId="00000210">
      <w:pPr>
        <w:pageBreakBefore w:val="0"/>
        <w:jc w:val="both"/>
        <w:rPr/>
      </w:pPr>
      <w:r w:rsidDel="00000000" w:rsidR="00000000" w:rsidRPr="00000000">
        <w:rPr>
          <w:rtl w:val="0"/>
        </w:rPr>
        <w:t xml:space="preserve">Myanmar for instance, has a moderate level of structural optimality as compared with its developed peers. As the regression in Figure 7 suggests (the orange curve represents export increase and the blue curve stands for opportunity gain of the corresponding industry), Myanmar demonstrates an average level of correlation with the suggested developmental path, having an adjusted R-square of around 7.51%. Myanmar ranks in</w:t>
      </w:r>
      <w:r w:rsidDel="00000000" w:rsidR="00000000" w:rsidRPr="00000000">
        <w:rPr>
          <w:rtl w:val="0"/>
        </w:rPr>
        <w:t xml:space="preserve"> the </w:t>
      </w:r>
      <w:r w:rsidDel="00000000" w:rsidR="00000000" w:rsidRPr="00000000">
        <w:rPr>
          <w:rtl w:val="0"/>
        </w:rPr>
        <w:t xml:space="preserve">bottom half among all countries in terms of SOI and has made a high rate of economic progress below its developed peers from 2013 to 2018 with a 5-year GDP growth rate of 7.09%, which is consistent with the regression result in Figure 6. This is in direct contrast to other developed economies such as Japan, where there is low SOI of around -5.7% and a corresponding GDP growth of 9.05% from 2013 to 2018, making it a slower developing economy during the period. In sum, Myanmar’s mixed economic progress from 2013 to 2018 can be at least partially explained by a development strategy that demonstrates a decent, but not perfect, level of matches with our suggested developmental path. In specific, Myanmar invested heavily in the Transportation and Metals industry, while it should have focused more on other groups such as Textiles.</w:t>
      </w:r>
    </w:p>
    <w:p w:rsidR="00000000" w:rsidDel="00000000" w:rsidP="00000000" w:rsidRDefault="00000000" w:rsidRPr="00000000" w14:paraId="00000211">
      <w:pPr>
        <w:pageBreakBefore w:val="0"/>
        <w:jc w:val="both"/>
        <w:rPr/>
      </w:pPr>
      <w:r w:rsidDel="00000000" w:rsidR="00000000" w:rsidRPr="00000000">
        <w:rPr>
          <w:rtl w:val="0"/>
        </w:rPr>
      </w:r>
    </w:p>
    <w:p w:rsidR="00000000" w:rsidDel="00000000" w:rsidP="00000000" w:rsidRDefault="00000000" w:rsidRPr="00000000" w14:paraId="00000212">
      <w:pPr>
        <w:pageBreakBefore w:val="0"/>
        <w:jc w:val="both"/>
        <w:rPr/>
      </w:pPr>
      <w:r w:rsidDel="00000000" w:rsidR="00000000" w:rsidRPr="00000000">
        <w:rPr/>
        <w:drawing>
          <wp:inline distB="114300" distT="114300" distL="114300" distR="114300">
            <wp:extent cx="5731200" cy="2298700"/>
            <wp:effectExtent b="0" l="0" r="0" t="0"/>
            <wp:docPr id="6"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ageBreakBefore w:val="0"/>
        <w:jc w:val="center"/>
        <w:rPr>
          <w:b w:val="1"/>
          <w:bCs w:val="1"/>
        </w:rPr>
      </w:pPr>
      <w:r w:rsidDel="00000000" w:rsidR="00000000" w:rsidRPr="00000000">
        <w:rPr>
          <w:rtl w:val="0"/>
        </w:rPr>
        <w:t xml:space="preserve">Figure 7: SOI of Myanmar (2009-2014)</w:t>
      </w:r>
      <w:r w:rsidDel="00000000" w:rsidR="00000000" w:rsidRPr="00000000">
        <w:rPr>
          <w:rtl w:val="0"/>
        </w:rPr>
      </w:r>
    </w:p>
    <w:p w:rsidR="00000000" w:rsidDel="00000000" w:rsidP="00000000" w:rsidRDefault="00000000" w:rsidRPr="00000000" w14:paraId="00000214">
      <w:pPr>
        <w:pageBreakBefore w:val="0"/>
        <w:jc w:val="both"/>
        <w:rPr>
          <w:b w:val="1"/>
          <w:bCs w:val="1"/>
        </w:rPr>
      </w:pPr>
      <w:r w:rsidDel="00000000" w:rsidR="00000000" w:rsidRPr="00000000">
        <w:rPr>
          <w:rtl w:val="0"/>
        </w:rPr>
      </w:r>
    </w:p>
    <w:p w:rsidR="00000000" w:rsidDel="00000000" w:rsidP="00000000" w:rsidRDefault="00000000" w:rsidRPr="00000000" w14:paraId="00000215">
      <w:pPr>
        <w:pageBreakBefore w:val="0"/>
        <w:jc w:val="both"/>
        <w:rPr>
          <w:b w:val="1"/>
          <w:bCs w:val="1"/>
        </w:rPr>
      </w:pPr>
      <w:r w:rsidDel="00000000" w:rsidR="00000000" w:rsidRPr="00000000">
        <w:rPr>
          <w:rtl w:val="0"/>
        </w:rPr>
      </w:r>
    </w:p>
    <w:p w:rsidR="00000000" w:rsidDel="00000000" w:rsidP="00000000" w:rsidRDefault="00000000" w:rsidRPr="00000000" w14:paraId="0000021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17">
      <w:pPr>
        <w:pageBreakBefore w:val="0"/>
        <w:jc w:val="both"/>
        <w:rPr/>
      </w:pPr>
      <w:r w:rsidDel="00000000" w:rsidR="00000000" w:rsidRPr="00000000">
        <w:rPr>
          <w:rtl w:val="0"/>
        </w:rPr>
      </w:r>
    </w:p>
    <w:p w:rsidR="00000000" w:rsidDel="00000000" w:rsidP="00000000" w:rsidRDefault="00000000" w:rsidRPr="00000000" w14:paraId="00000218">
      <w:pPr>
        <w:pageBreakBefore w:val="0"/>
        <w:jc w:val="both"/>
        <w:rPr/>
      </w:pPr>
      <w:r w:rsidDel="00000000" w:rsidR="00000000" w:rsidRPr="00000000">
        <w:rPr>
          <w:rtl w:val="0"/>
        </w:rPr>
        <w:t xml:space="preserve">In conclusion, Myanmar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219">
      <w:pPr>
        <w:pageBreakBefore w:val="0"/>
        <w:jc w:val="both"/>
        <w:rPr/>
      </w:pPr>
      <w:r w:rsidDel="00000000" w:rsidR="00000000" w:rsidRPr="00000000">
        <w:rPr>
          <w:rtl w:val="0"/>
        </w:rPr>
      </w:r>
    </w:p>
    <w:p w:rsidR="00000000" w:rsidDel="00000000" w:rsidP="00000000" w:rsidRDefault="00000000" w:rsidRPr="00000000" w14:paraId="0000021A">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Myanmar on the industry group level. The product classification system we adopt allows us to measure the realized industry development for various industry groups and to observe that Myanmar</w:t>
      </w:r>
      <w:r w:rsidDel="00000000" w:rsidR="00000000" w:rsidRPr="00000000">
        <w:rPr>
          <w:rtl w:val="0"/>
        </w:rPr>
        <w:t xml:space="preserve">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21B">
      <w:pPr>
        <w:pageBreakBefore w:val="0"/>
        <w:jc w:val="both"/>
        <w:rPr/>
      </w:pPr>
      <w:r w:rsidDel="00000000" w:rsidR="00000000" w:rsidRPr="00000000">
        <w:rPr>
          <w:rtl w:val="0"/>
        </w:rPr>
      </w:r>
    </w:p>
    <w:p w:rsidR="00000000" w:rsidDel="00000000" w:rsidP="00000000" w:rsidRDefault="00000000" w:rsidRPr="00000000" w14:paraId="0000021C">
      <w:pPr>
        <w:pageBreakBefore w:val="0"/>
        <w:jc w:val="both"/>
        <w:rPr/>
      </w:pPr>
      <w:r w:rsidDel="00000000" w:rsidR="00000000" w:rsidRPr="00000000">
        <w:rPr>
          <w:rtl w:val="0"/>
        </w:rPr>
        <w:t xml:space="preserve">Based on our analysis of the opportunity gain and a sensitivity analysis of major industry groups, Myanmar can further its gains by prioritizing Textiles, Daily Instruments, or Wood Products with higher percentage export growth. We further note that Myanmar has a slightly mismatched development strategy that indicates a moderately high (compared to other developed countries) level of structural optimality on the complexity level, having an adjusted R-square of around 7.51%. Since a significant positive correlation exists between five-year GDP growth and the structural optimality index of an economy as we define and calculate, Myanmar,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1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1E">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1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20">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2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2">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2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4">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25">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6">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2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8">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2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A">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2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C">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2D">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E">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2F">
      <w:pPr>
        <w:pageBreakBefore w:val="0"/>
        <w:jc w:val="both"/>
        <w:rPr/>
      </w:pPr>
      <w:r w:rsidDel="00000000" w:rsidR="00000000" w:rsidRPr="00000000">
        <w:rPr>
          <w:rtl w:val="0"/>
        </w:rPr>
      </w:r>
    </w:p>
    <w:sectPr>
      <w:headerReference r:id="rId40" w:type="default"/>
      <w:footerReference r:id="rId41" w:type="default"/>
      <w:footerReference r:id="rId42" w:type="first"/>
      <w:footerReference r:id="rId43"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6.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7.png"/><Relationship Id="rId21" Type="http://schemas.openxmlformats.org/officeDocument/2006/relationships/image" Target="media/image8.png"/><Relationship Id="rId43" Type="http://schemas.openxmlformats.org/officeDocument/2006/relationships/footer" Target="footer1.xml"/><Relationship Id="rId24" Type="http://schemas.openxmlformats.org/officeDocument/2006/relationships/image" Target="media/image2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5.jpg"/><Relationship Id="rId25" Type="http://schemas.openxmlformats.org/officeDocument/2006/relationships/image" Target="media/image30.png"/><Relationship Id="rId28" Type="http://schemas.openxmlformats.org/officeDocument/2006/relationships/image" Target="media/image2.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0.png"/><Relationship Id="rId7" Type="http://schemas.openxmlformats.org/officeDocument/2006/relationships/image" Target="media/image29.png"/><Relationship Id="rId8" Type="http://schemas.openxmlformats.org/officeDocument/2006/relationships/image" Target="media/image22.png"/><Relationship Id="rId31" Type="http://schemas.openxmlformats.org/officeDocument/2006/relationships/image" Target="media/image26.png"/><Relationship Id="rId30" Type="http://schemas.openxmlformats.org/officeDocument/2006/relationships/image" Target="media/image1.png"/><Relationship Id="rId11" Type="http://schemas.openxmlformats.org/officeDocument/2006/relationships/image" Target="media/image31.png"/><Relationship Id="rId33" Type="http://schemas.openxmlformats.org/officeDocument/2006/relationships/image" Target="media/image24.png"/><Relationship Id="rId10" Type="http://schemas.openxmlformats.org/officeDocument/2006/relationships/image" Target="media/image20.png"/><Relationship Id="rId32" Type="http://schemas.openxmlformats.org/officeDocument/2006/relationships/image" Target="media/image19.png"/><Relationship Id="rId13" Type="http://schemas.openxmlformats.org/officeDocument/2006/relationships/image" Target="media/image34.png"/><Relationship Id="rId35" Type="http://schemas.openxmlformats.org/officeDocument/2006/relationships/image" Target="media/image13.png"/><Relationship Id="rId12" Type="http://schemas.openxmlformats.org/officeDocument/2006/relationships/image" Target="media/image11.png"/><Relationship Id="rId34" Type="http://schemas.openxmlformats.org/officeDocument/2006/relationships/image" Target="media/image18.png"/><Relationship Id="rId15" Type="http://schemas.openxmlformats.org/officeDocument/2006/relationships/image" Target="media/image21.png"/><Relationship Id="rId37" Type="http://schemas.openxmlformats.org/officeDocument/2006/relationships/image" Target="media/image23.png"/><Relationship Id="rId14" Type="http://schemas.openxmlformats.org/officeDocument/2006/relationships/image" Target="media/image14.png"/><Relationship Id="rId36" Type="http://schemas.openxmlformats.org/officeDocument/2006/relationships/image" Target="media/image32.png"/><Relationship Id="rId17" Type="http://schemas.openxmlformats.org/officeDocument/2006/relationships/image" Target="media/image33.png"/><Relationship Id="rId39" Type="http://schemas.openxmlformats.org/officeDocument/2006/relationships/image" Target="media/image7.png"/><Relationship Id="rId16" Type="http://schemas.openxmlformats.org/officeDocument/2006/relationships/image" Target="media/image17.png"/><Relationship Id="rId38" Type="http://schemas.openxmlformats.org/officeDocument/2006/relationships/image" Target="media/image16.png"/><Relationship Id="rId19" Type="http://schemas.openxmlformats.org/officeDocument/2006/relationships/image" Target="media/image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