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8" name="image31.png"/>
            <a:graphic>
              <a:graphicData uri="http://schemas.openxmlformats.org/drawingml/2006/picture">
                <pic:pic>
                  <pic:nvPicPr>
                    <pic:cNvPr id="0" name="image3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Peru</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 Kelly Mi, Alex Chung, Margarita Demkina, Javier Arevalo</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Peru</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Peru went through during the period from 2013 to 2018. Specifically, we dive into the topic through a macroeconomic overview of </w:t>
      </w:r>
      <w:commentRangeStart w:id="0"/>
      <w:r w:rsidDel="00000000" w:rsidR="00000000" w:rsidRPr="00000000">
        <w:rPr>
          <w:rtl w:val="0"/>
        </w:rPr>
        <w:t xml:space="preserve">Bolivia</w:t>
      </w:r>
      <w:commentRangeEnd w:id="0"/>
      <w:r w:rsidDel="00000000" w:rsidR="00000000" w:rsidRPr="00000000">
        <w:commentReference w:id="0"/>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Bolivia d</w:t>
      </w:r>
      <w:r w:rsidDel="00000000" w:rsidR="00000000" w:rsidRPr="00000000">
        <w:rPr>
          <w:rtl w:val="0"/>
        </w:rPr>
        <w:t xml:space="preserve">emonstrated a moderate level of economic growth with an average annual GDP growth rate of 5.26%, concurrent with a decrease in economic complexity as compared with other major developed economies. </w:t>
      </w:r>
      <w:r w:rsidDel="00000000" w:rsidR="00000000" w:rsidRPr="00000000">
        <w:rPr>
          <w:rtl w:val="0"/>
        </w:rPr>
        <w:t xml:space="preserve">Average annual GDP growth decreased significantly to negative 0.33% between 2019 to 2021</w:t>
      </w:r>
      <w:commentRangeStart w:id="1"/>
      <w:commentRangeStart w:id="2"/>
      <w:r w:rsidDel="00000000" w:rsidR="00000000" w:rsidRPr="00000000">
        <w:rPr>
          <w:rtl w:val="0"/>
        </w:rPr>
      </w:r>
    </w:p>
    <w:p w:rsidR="00000000" w:rsidDel="00000000" w:rsidP="00000000" w:rsidRDefault="00000000" w:rsidRPr="00000000" w14:paraId="0000000E">
      <w:pPr>
        <w:pageBreakBefore w:val="0"/>
        <w:jc w:val="both"/>
        <w:rPr/>
      </w:pP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w:t>
      </w:r>
      <w:r w:rsidDel="00000000" w:rsidR="00000000" w:rsidRPr="00000000">
        <w:rPr>
          <w:rtl w:val="0"/>
        </w:rPr>
        <w:t xml:space="preserve">he lack of progress during the period can be partially explained through analysis of the economic complexity structure of </w:t>
      </w:r>
      <w:commentRangeStart w:id="3"/>
      <w:r w:rsidDel="00000000" w:rsidR="00000000" w:rsidRPr="00000000">
        <w:rPr>
          <w:rtl w:val="0"/>
        </w:rPr>
        <w:t xml:space="preserve">Bolivia</w:t>
      </w:r>
      <w:commentRangeEnd w:id="3"/>
      <w:r w:rsidDel="00000000" w:rsidR="00000000" w:rsidRPr="00000000">
        <w:commentReference w:id="3"/>
      </w:r>
      <w:r w:rsidDel="00000000" w:rsidR="00000000" w:rsidRPr="00000000">
        <w:rPr>
          <w:rtl w:val="0"/>
        </w:rPr>
        <w:t xml:space="preserve"> on an industry group level. The product classification system we adopt allows us to measure the realized development for various industry groups. We observe that </w:t>
      </w:r>
      <w:r w:rsidDel="00000000" w:rsidR="00000000" w:rsidRPr="00000000">
        <w:rPr>
          <w:rtl w:val="0"/>
        </w:rPr>
        <w:t xml:space="preserve">Bolivia</w:t>
      </w:r>
      <w:r w:rsidDel="00000000" w:rsidR="00000000" w:rsidRPr="00000000">
        <w:rPr>
          <w:rtl w:val="0"/>
        </w:rPr>
        <w:t xml:space="preserve"> consistently relied on developing the Transportation industry during the period, while its developed counterparts and emerging economies around the globe adopted much more complex and progressive paths. </w:t>
      </w:r>
      <w:commentRangeStart w:id="4"/>
      <w:r w:rsidDel="00000000" w:rsidR="00000000" w:rsidRPr="00000000">
        <w:rPr>
          <w:rtl w:val="0"/>
        </w:rPr>
      </w:r>
    </w:p>
    <w:p w:rsidR="00000000" w:rsidDel="00000000" w:rsidP="00000000" w:rsidRDefault="00000000" w:rsidRPr="00000000" w14:paraId="00000010">
      <w:pPr>
        <w:pageBreakBefore w:val="0"/>
        <w:jc w:val="both"/>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Bolivia can further its gains by </w:t>
      </w:r>
      <w:r w:rsidDel="00000000" w:rsidR="00000000" w:rsidRPr="00000000">
        <w:rPr>
          <w:rtl w:val="0"/>
        </w:rPr>
        <w:t xml:space="preserve">prioritizing </w:t>
      </w:r>
      <w:r w:rsidDel="00000000" w:rsidR="00000000" w:rsidRPr="00000000">
        <w:rPr>
          <w:rtl w:val="0"/>
        </w:rPr>
        <w:t xml:space="preserve">Metals and Precious Stones. We further note that Bolivia has a </w:t>
      </w:r>
      <w:r w:rsidDel="00000000" w:rsidR="00000000" w:rsidRPr="00000000">
        <w:rPr>
          <w:rtl w:val="0"/>
        </w:rPr>
        <w:t xml:space="preserve">slightly mismatched development strategy that indicates a moderately high</w:t>
      </w:r>
      <w:r w:rsidDel="00000000" w:rsidR="00000000" w:rsidRPr="00000000">
        <w:rPr>
          <w:rtl w:val="0"/>
        </w:rPr>
        <w:t xml:space="preserve"> (compared to other developed countries) level of structural optimality on the complexity level, having an adjusted R-square of aroun</w:t>
      </w:r>
      <w:r w:rsidDel="00000000" w:rsidR="00000000" w:rsidRPr="00000000">
        <w:rPr>
          <w:rtl w:val="0"/>
        </w:rPr>
        <w:t xml:space="preserve">d 19.5%</w:t>
      </w:r>
      <w:r w:rsidDel="00000000" w:rsidR="00000000" w:rsidRPr="00000000">
        <w:rPr>
          <w:rtl w:val="0"/>
        </w:rPr>
        <w:t xml:space="preserve">. In 2021, adjusted R-square is</w:t>
      </w:r>
      <w:commentRangeStart w:id="5"/>
      <w:r w:rsidDel="00000000" w:rsidR="00000000" w:rsidRPr="00000000">
        <w:rPr>
          <w:rtl w:val="0"/>
        </w:rPr>
      </w:r>
    </w:p>
    <w:p w:rsidR="00000000" w:rsidDel="00000000" w:rsidP="00000000" w:rsidRDefault="00000000" w:rsidRPr="00000000" w14:paraId="00000012">
      <w:pPr>
        <w:pageBreakBefore w:val="0"/>
        <w:jc w:val="both"/>
        <w:rPr/>
      </w:pP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A significant positive correlation exists between five-year GDP growth and the structural optimality index of an economy as we define and calculate, but Bolivia still has a suboptimal growth experience as compared with fast-growing economies both on a regional scale and on a global scale. However, the country has the potential to further its economic gains through industrial structure optimization as suggested in the paper. Regarding the post-COVID </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We aim to uncover the economic path Bolivia went through during the period from 2013 to 2018. Specifically, we dive into the topic through a macroeconomic overview of Bolivia from the perspective of Gross Domestic Product (GDP) and Economic Complexity Index (ECI), which reflect countries’ production capability and production structure, respectively. We then analyze the industrial framework of Bolivia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Bolivia,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B">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C">
      <w:pPr>
        <w:pageBreakBefore w:val="0"/>
        <w:jc w:val="both"/>
        <w:rPr/>
      </w:pPr>
      <w:r w:rsidDel="00000000" w:rsidR="00000000" w:rsidRPr="00000000">
        <w:rPr>
          <w:rtl w:val="0"/>
        </w:rPr>
        <w:t xml:space="preserve">Figure 1 illustrates the time-series GDP results for Bolivia and three of its peer countries (Uruguay, Paraguay, Costa Rica) from 2013-2018. Bolivia, like other peer countries, has shown upwards growth in GDP over the years.Moreover, Bolivia’s GDP has grown at a faster rate than its peer countries.  Bolivia’s average annual growth rate of 5.3% has been higher than its peers, which are 3.01%, 4.94% and 4.35% for Uruguay, Paraguay and Costa Rica respectively.</w:t>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ind w:left="720" w:firstLine="720"/>
        <w:jc w:val="both"/>
        <w:rPr/>
      </w:pPr>
      <w:r w:rsidDel="00000000" w:rsidR="00000000" w:rsidRPr="00000000">
        <w:rPr/>
        <w:drawing>
          <wp:inline distB="114300" distT="114300" distL="114300" distR="114300">
            <wp:extent cx="3718188" cy="2424113"/>
            <wp:effectExtent b="0" l="0" r="0" t="0"/>
            <wp:docPr id="1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718188" cy="24241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2">
      <w:pPr>
        <w:pageBreakBefore w:val="0"/>
        <w:jc w:val="center"/>
        <w:rPr/>
      </w:pP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r>
    </w:p>
    <w:p w:rsidR="00000000" w:rsidDel="00000000" w:rsidP="00000000" w:rsidRDefault="00000000" w:rsidRPr="00000000" w14:paraId="00000024">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5">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Bolivia. As illustrated in Figure 2 below, Bolivia (23.23% ECI change) exhibited a increase in terms of its production capability from 2013 to 2018, which is different from Uruguay (-278.49%), Costa Rica (-85.47%)and the Paraguay (8.67%). Ultimately, Bolivia is the strongest of the peer country set, as it displays the highest GDP growth rate and ECI change across the period.</w:t>
      </w:r>
      <w:r w:rsidDel="00000000" w:rsidR="00000000" w:rsidRPr="00000000">
        <w:rPr>
          <w:rtl w:val="0"/>
        </w:rPr>
      </w:r>
    </w:p>
    <w:p w:rsidR="00000000" w:rsidDel="00000000" w:rsidP="00000000" w:rsidRDefault="00000000" w:rsidRPr="00000000" w14:paraId="00000026">
      <w:pPr>
        <w:pageBreakBefore w:val="0"/>
        <w:jc w:val="both"/>
        <w:rPr/>
      </w:pPr>
      <w:r w:rsidDel="00000000" w:rsidR="00000000" w:rsidRPr="00000000">
        <w:rPr>
          <w:rtl w:val="0"/>
        </w:rPr>
      </w:r>
    </w:p>
    <w:p w:rsidR="00000000" w:rsidDel="00000000" w:rsidP="00000000" w:rsidRDefault="00000000" w:rsidRPr="00000000" w14:paraId="00000027">
      <w:pPr>
        <w:pageBreakBefore w:val="0"/>
        <w:ind w:left="720" w:firstLine="720"/>
        <w:jc w:val="both"/>
        <w:rPr/>
      </w:pPr>
      <w:r w:rsidDel="00000000" w:rsidR="00000000" w:rsidRPr="00000000">
        <w:rPr>
          <w:rtl w:val="0"/>
        </w:rPr>
        <w:t xml:space="preserve">      </w:t>
      </w:r>
      <w:r w:rsidDel="00000000" w:rsidR="00000000" w:rsidRPr="00000000">
        <w:rPr/>
        <w:drawing>
          <wp:inline distB="114300" distT="114300" distL="114300" distR="114300">
            <wp:extent cx="3529013" cy="2411226"/>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529013" cy="2411226"/>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9">
      <w:pPr>
        <w:pageBreakBefore w:val="0"/>
        <w:jc w:val="center"/>
        <w:rPr/>
      </w:pPr>
      <w:r w:rsidDel="00000000" w:rsidR="00000000" w:rsidRPr="00000000">
        <w:rPr>
          <w:rtl w:val="0"/>
        </w:rPr>
      </w:r>
    </w:p>
    <w:p w:rsidR="00000000" w:rsidDel="00000000" w:rsidP="00000000" w:rsidRDefault="00000000" w:rsidRPr="00000000" w14:paraId="0000002A">
      <w:pPr>
        <w:pageBreakBefore w:val="0"/>
        <w:ind w:firstLine="720"/>
        <w:jc w:val="center"/>
        <w:rPr/>
      </w:pPr>
      <w:r w:rsidDel="00000000" w:rsidR="00000000" w:rsidRPr="00000000">
        <w:rPr/>
        <w:drawing>
          <wp:inline distB="114300" distT="114300" distL="114300" distR="114300">
            <wp:extent cx="3948113" cy="2367556"/>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948113" cy="236755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jc w:val="center"/>
        <w:rPr/>
      </w:pPr>
      <w:r w:rsidDel="00000000" w:rsidR="00000000" w:rsidRPr="00000000">
        <w:rPr>
          <w:rtl w:val="0"/>
        </w:rPr>
        <w:t xml:space="preserve">           </w:t>
      </w:r>
    </w:p>
    <w:p w:rsidR="00000000" w:rsidDel="00000000" w:rsidP="00000000" w:rsidRDefault="00000000" w:rsidRPr="00000000" w14:paraId="0000002C">
      <w:pPr>
        <w:pageBreakBefore w:val="0"/>
        <w:jc w:val="center"/>
        <w:rPr/>
      </w:pPr>
      <w:r w:rsidDel="00000000" w:rsidR="00000000" w:rsidRPr="00000000">
        <w:rPr>
          <w:rtl w:val="0"/>
        </w:rPr>
        <w:t xml:space="preserve"> Figure 3: GDP Growth and ECI (Bolivia)</w:t>
      </w:r>
    </w:p>
    <w:p w:rsidR="00000000" w:rsidDel="00000000" w:rsidP="00000000" w:rsidRDefault="00000000" w:rsidRPr="00000000" w14:paraId="0000002D">
      <w:pPr>
        <w:pageBreakBefore w:val="0"/>
        <w:jc w:val="both"/>
        <w:rPr/>
      </w:pP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t xml:space="preserve">Figure 3 offers a further comparison of GDP Growth and ECI over the time span from 2013 to 2018 for Bolivia. The increase in GDP during the period from 2013 to 2018 is accompanied by a sharp increase and then decline in ECI. The results show that the economic growth experienced by Bolivia during the period from 2013 to 2018 is not very consistent with the predictions by ECI and Bolivia did not effectively make strides to develop a competitive product space that helps to accumulate complicated knowledge and technology. In order to provide a more concrete answer to why this has happened, we will dive into an analysis of Bolivia production structure and its product space designs in the next few chapters. </w:t>
      </w:r>
    </w:p>
    <w:p w:rsidR="00000000" w:rsidDel="00000000" w:rsidP="00000000" w:rsidRDefault="00000000" w:rsidRPr="00000000" w14:paraId="0000002F">
      <w:pPr>
        <w:pageBreakBefore w:val="0"/>
        <w:jc w:val="both"/>
        <w:rPr>
          <w:b w:val="1"/>
          <w:bCs w:val="1"/>
        </w:rPr>
      </w:pP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3">
            <w:pPr>
              <w:pageBreakBefore w:val="0"/>
              <w:jc w:val="center"/>
              <w:rPr/>
            </w:pPr>
            <w:r w:rsidDel="00000000" w:rsidR="00000000" w:rsidRPr="00000000">
              <w:rPr>
                <w:rtl w:val="0"/>
              </w:rPr>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C">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D">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107</w:t>
            </w:r>
          </w:p>
        </w:tc>
      </w:tr>
    </w:tbl>
    <w:p w:rsidR="00000000" w:rsidDel="00000000" w:rsidP="00000000" w:rsidRDefault="00000000" w:rsidRPr="00000000" w14:paraId="00000073">
      <w:pPr>
        <w:pageBreakBefore w:val="0"/>
        <w:jc w:val="center"/>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5">
      <w:pPr>
        <w:pageBreakBefore w:val="0"/>
        <w:jc w:val="both"/>
        <w:rPr/>
      </w:pP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7">
            <w:pPr>
              <w:pageBreakBefore w:val="0"/>
              <w:jc w:val="center"/>
              <w:rPr/>
            </w:pPr>
            <w:r w:rsidDel="00000000" w:rsidR="00000000" w:rsidRPr="00000000">
              <w:rPr>
                <w:rtl w:val="0"/>
              </w:rPr>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0">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1">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21</w:t>
            </w:r>
          </w:p>
        </w:tc>
      </w:tr>
    </w:tbl>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9">
      <w:pPr>
        <w:pageBreakBefore w:val="0"/>
        <w:jc w:val="center"/>
        <w:rPr>
          <w:sz w:val="20"/>
          <w:szCs w:val="20"/>
        </w:rPr>
      </w:pP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product categorization aforementioned, we aim to capture Bolivia’s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E">
      <w:pPr>
        <w:pageBreakBefore w:val="0"/>
        <w:ind w:left="2160" w:firstLine="720"/>
        <w:jc w:val="both"/>
        <w:rPr/>
      </w:pPr>
      <w:r w:rsidDel="00000000" w:rsidR="00000000" w:rsidRPr="00000000">
        <w:rPr/>
        <w:drawing>
          <wp:inline distB="114300" distT="114300" distL="114300" distR="114300">
            <wp:extent cx="1947414" cy="3681413"/>
            <wp:effectExtent b="0" l="0" r="0" t="0"/>
            <wp:docPr id="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947414" cy="36814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ageBreakBefore w:val="0"/>
        <w:jc w:val="center"/>
        <w:rPr/>
      </w:pP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rtl w:val="0"/>
        </w:rPr>
        <w:t xml:space="preserve">Table 2: Realized Industry Development (RID) of Bolivia</w:t>
      </w:r>
    </w:p>
    <w:p w:rsidR="00000000" w:rsidDel="00000000" w:rsidP="00000000" w:rsidRDefault="00000000" w:rsidRPr="00000000" w14:paraId="00000091">
      <w:pPr>
        <w:pageBreakBefore w:val="0"/>
        <w:jc w:val="both"/>
        <w:rPr>
          <w:b w:val="1"/>
          <w:bCs w:val="1"/>
        </w:rPr>
      </w:pPr>
      <w:r w:rsidDel="00000000" w:rsidR="00000000" w:rsidRPr="00000000">
        <w:rPr>
          <w:rtl w:val="0"/>
        </w:rPr>
      </w:r>
    </w:p>
    <w:p w:rsidR="00000000" w:rsidDel="00000000" w:rsidP="00000000" w:rsidRDefault="00000000" w:rsidRPr="00000000" w14:paraId="0000009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3">
      <w:pPr>
        <w:pageBreakBefore w:val="0"/>
        <w:jc w:val="both"/>
        <w:rPr/>
      </w:pPr>
      <w:r w:rsidDel="00000000" w:rsidR="00000000" w:rsidRPr="00000000">
        <w:rPr>
          <w:rtl w:val="0"/>
        </w:rPr>
        <w:t xml:space="preserve">Table 3 and 4 below summarize how the production strategy adopted by Bolivia compares with leading economies and a selected group of emerging economies in the world, as measured in RID. </w:t>
      </w:r>
    </w:p>
    <w:p w:rsidR="00000000" w:rsidDel="00000000" w:rsidP="00000000" w:rsidRDefault="00000000" w:rsidRPr="00000000" w14:paraId="00000094">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5">
            <w:pPr>
              <w:pageBreakBefore w:val="0"/>
              <w:jc w:val="both"/>
              <w:rPr/>
            </w:pPr>
            <w:r w:rsidDel="00000000" w:rsidR="00000000" w:rsidRPr="00000000">
              <w:rPr>
                <w:rtl w:val="0"/>
              </w:rPr>
              <w:t xml:space="preserve">Ranking</w:t>
            </w:r>
          </w:p>
        </w:tc>
        <w:tc>
          <w:tcPr/>
          <w:p w:rsidR="00000000" w:rsidDel="00000000" w:rsidP="00000000" w:rsidRDefault="00000000" w:rsidRPr="00000000" w14:paraId="00000096">
            <w:pPr>
              <w:pageBreakBefore w:val="0"/>
              <w:jc w:val="both"/>
              <w:rPr/>
            </w:pPr>
            <w:r w:rsidDel="00000000" w:rsidR="00000000" w:rsidRPr="00000000">
              <w:rPr>
                <w:rtl w:val="0"/>
              </w:rPr>
              <w:t xml:space="preserve">France</w:t>
            </w:r>
          </w:p>
        </w:tc>
        <w:tc>
          <w:tcPr/>
          <w:p w:rsidR="00000000" w:rsidDel="00000000" w:rsidP="00000000" w:rsidRDefault="00000000" w:rsidRPr="00000000" w14:paraId="00000097">
            <w:pPr>
              <w:pageBreakBefore w:val="0"/>
              <w:jc w:val="both"/>
              <w:rPr/>
            </w:pPr>
            <w:r w:rsidDel="00000000" w:rsidR="00000000" w:rsidRPr="00000000">
              <w:rPr>
                <w:rtl w:val="0"/>
              </w:rPr>
              <w:t xml:space="preserve">US</w:t>
            </w:r>
          </w:p>
        </w:tc>
        <w:tc>
          <w:tcPr/>
          <w:p w:rsidR="00000000" w:rsidDel="00000000" w:rsidP="00000000" w:rsidRDefault="00000000" w:rsidRPr="00000000" w14:paraId="00000098">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9">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D">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1">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5">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9">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C">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F">
      <w:pPr>
        <w:pageBreakBefore w:val="0"/>
        <w:jc w:val="center"/>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1">
            <w:pPr>
              <w:pageBreakBefore w:val="0"/>
              <w:jc w:val="both"/>
              <w:rPr/>
            </w:pPr>
            <w:r w:rsidDel="00000000" w:rsidR="00000000" w:rsidRPr="00000000">
              <w:rPr>
                <w:rtl w:val="0"/>
              </w:rPr>
              <w:t xml:space="preserve">Ranking</w:t>
            </w:r>
          </w:p>
        </w:tc>
        <w:tc>
          <w:tcPr/>
          <w:p w:rsidR="00000000" w:rsidDel="00000000" w:rsidP="00000000" w:rsidRDefault="00000000" w:rsidRPr="00000000" w14:paraId="000000B2">
            <w:pPr>
              <w:pageBreakBefore w:val="0"/>
              <w:jc w:val="both"/>
              <w:rPr/>
            </w:pPr>
            <w:r w:rsidDel="00000000" w:rsidR="00000000" w:rsidRPr="00000000">
              <w:rPr>
                <w:rtl w:val="0"/>
              </w:rPr>
              <w:t xml:space="preserve">China</w:t>
            </w:r>
          </w:p>
        </w:tc>
        <w:tc>
          <w:tcPr/>
          <w:p w:rsidR="00000000" w:rsidDel="00000000" w:rsidP="00000000" w:rsidRDefault="00000000" w:rsidRPr="00000000" w14:paraId="000000B3">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4">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5">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9">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D">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1">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5">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t xml:space="preserve">Table 4 further examines Boliva’s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rtl w:val="0"/>
        </w:rPr>
      </w:r>
    </w:p>
    <w:p w:rsidR="00000000" w:rsidDel="00000000" w:rsidP="00000000" w:rsidRDefault="00000000" w:rsidRPr="00000000" w14:paraId="000000C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w:t>
      </w:r>
      <w:r w:rsidDel="00000000" w:rsidR="00000000" w:rsidRPr="00000000">
        <w:rPr>
          <w:rFonts w:ascii="Times" w:cs="Times" w:eastAsia="Times" w:hAnsi="Times"/>
          <w:b w:val="1"/>
          <w:bCs w:val="1"/>
          <w:sz w:val="28"/>
          <w:szCs w:val="28"/>
          <w:rtl w:val="0"/>
        </w:rPr>
        <w:t xml:space="preserve">. Product Space Design</w:t>
      </w:r>
      <w:r w:rsidDel="00000000" w:rsidR="00000000" w:rsidRPr="00000000">
        <w:rPr>
          <w:rtl w:val="0"/>
        </w:rPr>
      </w:r>
    </w:p>
    <w:p w:rsidR="00000000" w:rsidDel="00000000" w:rsidP="00000000" w:rsidRDefault="00000000" w:rsidRPr="00000000" w14:paraId="000000C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D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1">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ind w:left="0" w:firstLine="0"/>
        <w:jc w:val="both"/>
        <w:rPr/>
      </w:pPr>
      <w:r w:rsidDel="00000000" w:rsidR="00000000" w:rsidRPr="00000000">
        <w:rPr/>
        <w:drawing>
          <wp:inline distB="114300" distT="114300" distL="114300" distR="114300">
            <wp:extent cx="5725982" cy="3157538"/>
            <wp:effectExtent b="0" l="0" r="0" t="0"/>
            <wp:docPr id="17"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25982"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ind w:left="0" w:firstLine="0"/>
        <w:jc w:val="both"/>
        <w:rPr/>
      </w:pPr>
      <w:r w:rsidDel="00000000" w:rsidR="00000000" w:rsidRPr="00000000">
        <w:rPr>
          <w:rtl w:val="0"/>
        </w:rPr>
      </w:r>
    </w:p>
    <w:p w:rsidR="00000000" w:rsidDel="00000000" w:rsidP="00000000" w:rsidRDefault="00000000" w:rsidRPr="00000000" w14:paraId="000000D5">
      <w:pPr>
        <w:ind w:left="0" w:firstLine="0"/>
        <w:jc w:val="both"/>
        <w:rPr/>
      </w:pPr>
      <w:r w:rsidDel="00000000" w:rsidR="00000000" w:rsidRPr="00000000">
        <w:rPr/>
        <w:drawing>
          <wp:inline distB="114300" distT="114300" distL="114300" distR="114300">
            <wp:extent cx="5731200" cy="3213100"/>
            <wp:effectExtent b="0" l="0" r="0" t="0"/>
            <wp:docPr id="2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   </w:t>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5: SDV of Bolivia and Comparable</w:t>
      </w:r>
      <w:r w:rsidDel="00000000" w:rsidR="00000000" w:rsidRPr="00000000">
        <w:rPr>
          <w:rtl w:val="0"/>
        </w:rPr>
        <w:t xml:space="preserve"> Countries 2013(up), 2018(down)</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Bolivia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Bolivia shares the characters of developing countries, with a balanced economics structure that leans towards intermediate-level industries. </w:t>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drawing>
          <wp:inline distB="114300" distT="114300" distL="114300" distR="114300">
            <wp:extent cx="5731200" cy="2387600"/>
            <wp:effectExtent b="0" l="0" r="0" t="0"/>
            <wp:docPr id="2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4">
      <w:pPr>
        <w:pageBreakBefore w:val="0"/>
        <w:jc w:val="both"/>
        <w:rPr/>
      </w:pPr>
      <w:r w:rsidDel="00000000" w:rsidR="00000000" w:rsidRPr="00000000">
        <w:rPr>
          <w:rtl w:val="0"/>
        </w:rPr>
      </w:r>
    </w:p>
    <w:p w:rsidR="00000000" w:rsidDel="00000000" w:rsidP="00000000" w:rsidRDefault="00000000" w:rsidRPr="00000000" w14:paraId="000000E5">
      <w:pPr>
        <w:pageBreakBefore w:val="0"/>
        <w:jc w:val="center"/>
        <w:rPr/>
      </w:pPr>
      <w:r w:rsidDel="00000000" w:rsidR="00000000" w:rsidRPr="00000000">
        <w:rPr/>
        <w:drawing>
          <wp:inline distB="114300" distT="114300" distL="114300" distR="114300">
            <wp:extent cx="2528888" cy="1141284"/>
            <wp:effectExtent b="0" l="0" r="0" t="0"/>
            <wp:docPr id="4"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jc w:val="center"/>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A">
      <w:pPr>
        <w:pageBreakBefore w:val="0"/>
        <w:jc w:val="both"/>
        <w:rPr/>
      </w:pPr>
      <w:r w:rsidDel="00000000" w:rsidR="00000000" w:rsidRPr="00000000">
        <w:rPr>
          <w:rtl w:val="0"/>
        </w:rPr>
        <w:t xml:space="preserve"> </w:t>
      </w:r>
    </w:p>
    <w:p w:rsidR="00000000" w:rsidDel="00000000" w:rsidP="00000000" w:rsidRDefault="00000000" w:rsidRPr="00000000" w14:paraId="000000EB">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jc w:val="center"/>
        <w:rPr/>
      </w:pPr>
      <w:r w:rsidDel="00000000" w:rsidR="00000000" w:rsidRPr="00000000">
        <w:rPr/>
        <w:drawing>
          <wp:inline distB="114300" distT="114300" distL="114300" distR="114300">
            <wp:extent cx="2138363" cy="71863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F1">
      <w:pPr>
        <w:pageBreakBefore w:val="0"/>
        <w:rPr/>
      </w:pPr>
      <w:r w:rsidDel="00000000" w:rsidR="00000000" w:rsidRPr="00000000">
        <w:rPr>
          <w:rtl w:val="0"/>
        </w:rPr>
        <w:t xml:space="preserve"> </w:t>
      </w:r>
    </w:p>
    <w:p w:rsidR="00000000" w:rsidDel="00000000" w:rsidP="00000000" w:rsidRDefault="00000000" w:rsidRPr="00000000" w14:paraId="000000F2">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3">
      <w:pPr>
        <w:pageBreakBefore w:val="0"/>
        <w:jc w:val="both"/>
        <w:rPr>
          <w:b w:val="1"/>
          <w:bCs w:val="1"/>
        </w:rPr>
      </w:pPr>
      <w:r w:rsidDel="00000000" w:rsidR="00000000" w:rsidRPr="00000000">
        <w:rPr>
          <w:rtl w:val="0"/>
        </w:rPr>
      </w:r>
    </w:p>
    <w:p w:rsidR="00000000" w:rsidDel="00000000" w:rsidP="00000000" w:rsidRDefault="00000000" w:rsidRPr="00000000" w14:paraId="000000F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5">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6">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7">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E">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F">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t xml:space="preserve">Below is the economic panel for Bolivia in 2013. We can see that for different percentages of heuristic total export growth, the ECIs of Bolivia have different amounts of increments. Overall, 5 and 10 percent export growth result in a similar ECI improvement pattern, which starts from around -1.08 and ends at around -0.20. However, 15 and 20 percent export growth are able to result in obvious ECI improvement trajectories. For a 15 percent growth budget, ECI of Bolivia is able to end at around -0.12 while for a 20 percent budget, the increment is even more obvious, eventually achieving around 0.02. </w:t>
      </w:r>
    </w:p>
    <w:p w:rsidR="00000000" w:rsidDel="00000000" w:rsidP="00000000" w:rsidRDefault="00000000" w:rsidRPr="00000000" w14:paraId="00000122">
      <w:pPr>
        <w:pageBreakBefore w:val="0"/>
        <w:jc w:val="both"/>
        <w:rPr/>
      </w:pPr>
      <w:r w:rsidDel="00000000" w:rsidR="00000000" w:rsidRPr="00000000">
        <w:rPr>
          <w:rtl w:val="0"/>
        </w:rPr>
        <w:t xml:space="preserve"> </w:t>
      </w:r>
    </w:p>
    <w:p w:rsidR="00000000" w:rsidDel="00000000" w:rsidP="00000000" w:rsidRDefault="00000000" w:rsidRPr="00000000" w14:paraId="00000123">
      <w:pPr>
        <w:pageBreakBefore w:val="0"/>
        <w:jc w:val="both"/>
        <w:rPr/>
      </w:pPr>
      <w:r w:rsidDel="00000000" w:rsidR="00000000" w:rsidRPr="00000000">
        <w:rPr>
          <w:rtl w:val="0"/>
        </w:rPr>
        <w:t xml:space="preserve">For the case of 5 percent export growth, chemicals, wood products and animals and by-products account for most of the portfolio. For 10 percent export growth, in addition to the industries that we mentioned before, more weights are put on other industries, such as services and utilities, and metals. In these two ECI improvement trajectories, we also notice that the largest improvement comes from services and utilities, suggesting that with a low economic improvement anticipation, Bolivia should focus more on developing the industry of services and utilities. For the case of 15 and 20 percent increment budgets, we realize that the development trajectories are in a similar pattern except that there are a few additional steps when there are more budgets. Different from the previous two cases, the solutions suggest that Bolivia should invest more on raw manufacturing and chemical manufacturing.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1200" cy="28702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2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Figure 5: Greedy Based ECI Improvement Results of Bolivia in 2013 with Different Budgets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731200" cy="1651000"/>
            <wp:effectExtent b="0" l="0" r="0" t="0"/>
            <wp:docPr id="3"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Table 8: Portfolio of Bolivia in 2013</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rtl w:val="0"/>
        </w:rPr>
        <w:t xml:space="preserve">For further suggestions on Bolivia’s development in the future. We also offer the optimization result of Bolivia based on export data in 2018. Below is the economic panel for Bolivia in 2018. We can see that the ECI improvement trajectories are much lower than in the 2013 case, the improvements in 5 and 10 percent export growth are lower, and the ones in 15 and 20 are also lower. Another striking difference in the growth optimization result is that for a 5 percent export growth, there is a greater emphasis on chemicals and animal products and lower on textile and metals. For a 10 percent growth, the main components are Raw Manufacturing and Services and Utilities. For situations with higher budgets of investment, like 15 or 20 percent of growth, the portfolios are much more diverse than the previous two cases. In detail, industries like animals and by-products, services and utilities. and raw manufacturing are the ones that contribute a lot in ECI increments. A more detailed numerical representation of the portfolio is shown in Table 9. </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drawing>
          <wp:inline distB="114300" distT="114300" distL="114300" distR="114300">
            <wp:extent cx="5731200" cy="1905000"/>
            <wp:effectExtent b="0" l="0" r="0" t="0"/>
            <wp:docPr id="18"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1905000"/>
                    </a:xfrm>
                    <a:prstGeom prst="rect"/>
                    <a:ln/>
                  </pic:spPr>
                </pic:pic>
              </a:graphicData>
            </a:graphic>
          </wp:inline>
        </w:drawing>
      </w:r>
      <w:r w:rsidDel="00000000" w:rsidR="00000000" w:rsidRPr="00000000">
        <w:rPr/>
        <w:drawing>
          <wp:inline distB="114300" distT="114300" distL="114300" distR="114300">
            <wp:extent cx="5731200" cy="16256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Figure 6: Greedy Based ECI Improvement Results of Bolivia in 2018 with Different Budgets</w:t>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drawing>
          <wp:inline distB="114300" distT="114300" distL="114300" distR="114300">
            <wp:extent cx="5731200" cy="1600200"/>
            <wp:effectExtent b="0" l="0" r="0" t="0"/>
            <wp:docPr id="2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center"/>
        <w:rPr/>
      </w:pPr>
      <w:r w:rsidDel="00000000" w:rsidR="00000000" w:rsidRPr="00000000">
        <w:rPr>
          <w:rtl w:val="0"/>
        </w:rPr>
        <w:t xml:space="preserve">Table 9: Portfolio of Bolivia in 2018</w:t>
      </w:r>
    </w:p>
    <w:p w:rsidR="00000000" w:rsidDel="00000000" w:rsidP="00000000" w:rsidRDefault="00000000" w:rsidRPr="00000000" w14:paraId="00000137">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In the following section our broad aim is to understand how sensitive Bolivia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9">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A">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C">
      <w:pPr>
        <w:pageBreakBefore w:val="0"/>
        <w:spacing w:after="240" w:before="240" w:line="276" w:lineRule="auto"/>
        <w:ind w:left="720" w:firstLine="720"/>
        <w:rPr>
          <w:b w:val="1"/>
          <w:bCs w:val="1"/>
        </w:rPr>
      </w:pPr>
      <w:r w:rsidDel="00000000" w:rsidR="00000000" w:rsidRPr="00000000">
        <w:rPr>
          <w:b w:val="1"/>
          <w:bCs w:val="1"/>
        </w:rPr>
        <w:drawing>
          <wp:inline distB="114300" distT="114300" distL="114300" distR="114300">
            <wp:extent cx="4350544" cy="2071688"/>
            <wp:effectExtent b="0" l="0" r="0" t="0"/>
            <wp:docPr id="12" name="image4.jpg"/>
            <a:graphic>
              <a:graphicData uri="http://schemas.openxmlformats.org/drawingml/2006/picture">
                <pic:pic>
                  <pic:nvPicPr>
                    <pic:cNvPr id="0" name="image4.jpg"/>
                    <pic:cNvPicPr preferRelativeResize="0"/>
                  </pic:nvPicPr>
                  <pic:blipFill>
                    <a:blip r:embed="rId23"/>
                    <a:srcRect b="0" l="0" r="0" t="9709"/>
                    <a:stretch>
                      <a:fillRect/>
                    </a:stretch>
                  </pic:blipFill>
                  <pic:spPr>
                    <a:xfrm>
                      <a:off x="0" y="0"/>
                      <a:ext cx="4350544"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ind w:left="2160" w:firstLine="720"/>
        <w:jc w:val="left"/>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E">
      <w:pPr>
        <w:pageBreakBefore w:val="0"/>
        <w:jc w:val="both"/>
        <w:rPr>
          <w:b w:val="1"/>
          <w:bCs w:val="1"/>
        </w:rPr>
      </w:pPr>
      <w:r w:rsidDel="00000000" w:rsidR="00000000" w:rsidRPr="00000000">
        <w:rPr>
          <w:rtl w:val="0"/>
        </w:rPr>
      </w:r>
    </w:p>
    <w:p w:rsidR="00000000" w:rsidDel="00000000" w:rsidP="00000000" w:rsidRDefault="00000000" w:rsidRPr="00000000" w14:paraId="0000013F">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40">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41">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42">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3">
      <w:pPr>
        <w:pageBreakBefore w:val="0"/>
        <w:spacing w:line="276" w:lineRule="auto"/>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drawing>
          <wp:inline distB="114300" distT="114300" distL="114300" distR="114300">
            <wp:extent cx="5734050" cy="1739900"/>
            <wp:effectExtent b="0" l="0" r="0" t="0"/>
            <wp:docPr id="5"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6">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7">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8">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9">
      <w:pPr>
        <w:pageBreakBefore w:val="0"/>
        <w:spacing w:line="276" w:lineRule="auto"/>
        <w:rPr/>
      </w:pPr>
      <w:r w:rsidDel="00000000" w:rsidR="00000000" w:rsidRPr="00000000">
        <w:rPr>
          <w:rtl w:val="0"/>
        </w:rPr>
      </w:r>
    </w:p>
    <w:p w:rsidR="00000000" w:rsidDel="00000000" w:rsidP="00000000" w:rsidRDefault="00000000" w:rsidRPr="00000000" w14:paraId="0000014A">
      <w:pPr>
        <w:pageBreakBefore w:val="0"/>
        <w:jc w:val="center"/>
        <w:rPr>
          <w:sz w:val="22"/>
          <w:szCs w:val="22"/>
        </w:rPr>
      </w:pPr>
      <w:r w:rsidDel="00000000" w:rsidR="00000000" w:rsidRPr="00000000">
        <w:rPr>
          <w:sz w:val="22"/>
          <w:szCs w:val="22"/>
        </w:rPr>
        <w:drawing>
          <wp:inline distB="114300" distT="114300" distL="114300" distR="114300">
            <wp:extent cx="5731200" cy="3530600"/>
            <wp:effectExtent b="0" l="0" r="0" t="0"/>
            <wp:docPr id="19"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jc w:val="center"/>
        <w:rPr>
          <w:sz w:val="22"/>
          <w:szCs w:val="22"/>
        </w:rPr>
      </w:pPr>
      <w:r w:rsidDel="00000000" w:rsidR="00000000" w:rsidRPr="00000000">
        <w:rPr>
          <w:rtl w:val="0"/>
        </w:rPr>
      </w:r>
    </w:p>
    <w:p w:rsidR="00000000" w:rsidDel="00000000" w:rsidP="00000000" w:rsidRDefault="00000000" w:rsidRPr="00000000" w14:paraId="0000014C">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0">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5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2">
      <w:pPr>
        <w:pageBreakBefore w:val="0"/>
        <w:jc w:val="both"/>
        <w:rPr/>
      </w:pPr>
      <w:r w:rsidDel="00000000" w:rsidR="00000000" w:rsidRPr="00000000">
        <w:rPr>
          <w:rtl w:val="0"/>
        </w:rPr>
        <w:t xml:space="preserve">Below is Bolivia’s 2018 ECI Sensitivity Charts. Firstly in the positive chart, we notice immediately that increases in Raw Manufacturing lead to an uptrend in ECI. Raw Manufacturing offer the best ECI growth per unit of export increase. Chemicals and Textiles also greatly increase Peru’s ECI.  </w:t>
      </w:r>
    </w:p>
    <w:p w:rsidR="00000000" w:rsidDel="00000000" w:rsidP="00000000" w:rsidRDefault="00000000" w:rsidRPr="00000000" w14:paraId="00000153">
      <w:pPr>
        <w:pageBreakBefore w:val="0"/>
        <w:jc w:val="both"/>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Next we consider Bolivia’s 2018 Negative Shock chart. We see that Bolivia’s ECI is extremely sensitive to drawdowns in Energy Drilling. More interestingly we see that large decreases in Precious Stones and Energy, Mining and Drilling seem to greatly increase the ECI score. These industries are two very important industries for Bolivia’s economy and thus the results that are reflected in the chart may be suggesting that there is another industry that could be very beneficial for Bolivia that is far in proximity from them.  </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drawing>
          <wp:inline distB="114300" distT="114300" distL="114300" distR="114300">
            <wp:extent cx="5357813" cy="3408708"/>
            <wp:effectExtent b="0" l="0" r="0" t="0"/>
            <wp:docPr id="2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357813" cy="340870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ind w:left="0" w:firstLine="0"/>
        <w:rPr/>
      </w:pP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rtl w:val="0"/>
        </w:rPr>
      </w:r>
    </w:p>
    <w:p w:rsidR="00000000" w:rsidDel="00000000" w:rsidP="00000000" w:rsidRDefault="00000000" w:rsidRPr="00000000" w14:paraId="00000159">
      <w:pPr>
        <w:pageBreakBefore w:val="0"/>
        <w:jc w:val="center"/>
        <w:rPr>
          <w:b w:val="1"/>
          <w:bCs w:val="1"/>
        </w:rPr>
      </w:pPr>
      <w:r w:rsidDel="00000000" w:rsidR="00000000" w:rsidRPr="00000000">
        <w:rPr>
          <w:rtl w:val="0"/>
        </w:rPr>
        <w:t xml:space="preserve">Peru 2018 (Incremental ECI Sensitivity)</w:t>
      </w:r>
      <w:r w:rsidDel="00000000" w:rsidR="00000000" w:rsidRPr="00000000">
        <w:rPr>
          <w:rtl w:val="0"/>
        </w:rPr>
      </w:r>
    </w:p>
    <w:p w:rsidR="00000000" w:rsidDel="00000000" w:rsidP="00000000" w:rsidRDefault="00000000" w:rsidRPr="00000000" w14:paraId="0000015A">
      <w:pPr>
        <w:pageBreakBefore w:val="0"/>
        <w:ind w:left="0" w:firstLine="0"/>
        <w:jc w:val="both"/>
        <w:rPr>
          <w:b w:val="1"/>
          <w:bCs w:val="1"/>
        </w:rPr>
      </w:pPr>
      <w:r w:rsidDel="00000000" w:rsidR="00000000" w:rsidRPr="00000000">
        <w:rPr>
          <w:b w:val="1"/>
          <w:bCs w:val="1"/>
        </w:rPr>
        <w:drawing>
          <wp:inline distB="114300" distT="114300" distL="114300" distR="114300">
            <wp:extent cx="5731200" cy="3644900"/>
            <wp:effectExtent b="0" l="0" r="0" t="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Peru 2018 (Decremental  ECI Sensitivity)</w:t>
      </w:r>
    </w:p>
    <w:p w:rsidR="00000000" w:rsidDel="00000000" w:rsidP="00000000" w:rsidRDefault="00000000" w:rsidRPr="00000000" w14:paraId="0000015D">
      <w:pPr>
        <w:pageBreakBefore w:val="0"/>
        <w:jc w:val="center"/>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do not affect ECI levels as positively as in 2018.</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b w:val="1"/>
          <w:bCs w:val="1"/>
        </w:rPr>
        <w:drawing>
          <wp:inline distB="114300" distT="114300" distL="114300" distR="114300">
            <wp:extent cx="5427136" cy="3452813"/>
            <wp:effectExtent b="0" l="0" r="0" t="0"/>
            <wp:docPr id="9"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427136"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jc w:val="center"/>
        <w:rPr/>
      </w:pPr>
      <w:r w:rsidDel="00000000" w:rsidR="00000000" w:rsidRPr="00000000">
        <w:rPr>
          <w:rtl w:val="0"/>
        </w:rPr>
        <w:t xml:space="preserve">Peru 2013 (Incremental ECI Sensitivity)</w:t>
      </w:r>
    </w:p>
    <w:p w:rsidR="00000000" w:rsidDel="00000000" w:rsidP="00000000" w:rsidRDefault="00000000" w:rsidRPr="00000000" w14:paraId="00000164">
      <w:pPr>
        <w:pageBreakBefore w:val="0"/>
        <w:jc w:val="both"/>
        <w:rPr>
          <w:b w:val="1"/>
          <w:bCs w:val="1"/>
        </w:rPr>
      </w:pPr>
      <w:r w:rsidDel="00000000" w:rsidR="00000000" w:rsidRPr="00000000">
        <w:rPr>
          <w:b w:val="1"/>
          <w:bCs w:val="1"/>
        </w:rPr>
        <w:drawing>
          <wp:inline distB="114300" distT="114300" distL="114300" distR="114300">
            <wp:extent cx="5529263" cy="3517787"/>
            <wp:effectExtent b="0" l="0" r="0" t="0"/>
            <wp:docPr id="25"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529263" cy="3517787"/>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jc w:val="both"/>
        <w:rPr>
          <w:b w:val="1"/>
          <w:bCs w:val="1"/>
        </w:rPr>
      </w:pPr>
      <w:r w:rsidDel="00000000" w:rsidR="00000000" w:rsidRPr="00000000">
        <w:rPr>
          <w:rtl w:val="0"/>
        </w:rPr>
      </w:r>
    </w:p>
    <w:p w:rsidR="00000000" w:rsidDel="00000000" w:rsidP="00000000" w:rsidRDefault="00000000" w:rsidRPr="00000000" w14:paraId="00000166">
      <w:pPr>
        <w:pageBreakBefore w:val="0"/>
        <w:jc w:val="center"/>
        <w:rPr/>
      </w:pPr>
      <w:r w:rsidDel="00000000" w:rsidR="00000000" w:rsidRPr="00000000">
        <w:rPr>
          <w:rtl w:val="0"/>
        </w:rPr>
        <w:t xml:space="preserve">Bolivia 2013 (Decremental  ECI Sensitivity)</w:t>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jc w:val="both"/>
        <w:rPr>
          <w:b w:val="1"/>
          <w:bCs w:val="1"/>
        </w:rPr>
      </w:pPr>
      <w:r w:rsidDel="00000000" w:rsidR="00000000" w:rsidRPr="00000000">
        <w:rPr>
          <w:rtl w:val="0"/>
        </w:rPr>
      </w:r>
    </w:p>
    <w:p w:rsidR="00000000" w:rsidDel="00000000" w:rsidP="00000000" w:rsidRDefault="00000000" w:rsidRPr="00000000" w14:paraId="00000169">
      <w:pPr>
        <w:pageBreakBefore w:val="0"/>
        <w:jc w:val="both"/>
        <w:rPr>
          <w:b w:val="1"/>
          <w:bCs w:val="1"/>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Below we see the SDV sensitivity charts for Metals. We see that after increasing the export of Metals by 20% there is no additional gain to ECI even by increasing the export more. As to start with, after 20% increase in export of metals no industries within the SDV have negative opportunity gain. </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In the negative  SDV chart, we see that as we decrease the export of Metals the ECI does not change. Additionally, it is not optimal to decrease the export of metals at all.  </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Concerning Precious Stones, Bolivia seems to be mostly insensitive towards increasing this  However, decreasing exports in this sector leads to gains in ECI. Decreasing export by 82% leads to optimum ECI increase.  </w:t>
      </w:r>
    </w:p>
    <w:p w:rsidR="00000000" w:rsidDel="00000000" w:rsidP="00000000" w:rsidRDefault="00000000" w:rsidRPr="00000000" w14:paraId="0000016F">
      <w:pPr>
        <w:pageBreakBefore w:val="0"/>
        <w:ind w:left="1440" w:firstLine="720"/>
        <w:rPr/>
      </w:pPr>
      <w:r w:rsidDel="00000000" w:rsidR="00000000" w:rsidRPr="00000000">
        <w:rPr/>
        <w:drawing>
          <wp:inline distB="114300" distT="114300" distL="114300" distR="114300">
            <wp:extent cx="3491893" cy="3671888"/>
            <wp:effectExtent b="0" l="0" r="0" t="0"/>
            <wp:docPr id="31"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3491893"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jc w:val="center"/>
        <w:rPr>
          <w:b w:val="1"/>
          <w:bCs w:val="1"/>
        </w:rPr>
      </w:pPr>
      <w:r w:rsidDel="00000000" w:rsidR="00000000" w:rsidRPr="00000000">
        <w:rPr>
          <w:rtl w:val="0"/>
        </w:rPr>
      </w:r>
    </w:p>
    <w:p w:rsidR="00000000" w:rsidDel="00000000" w:rsidP="00000000" w:rsidRDefault="00000000" w:rsidRPr="00000000" w14:paraId="00000171">
      <w:pPr>
        <w:pageBreakBefore w:val="0"/>
        <w:ind w:left="720" w:firstLine="720"/>
        <w:jc w:val="left"/>
        <w:rPr/>
      </w:pPr>
      <w:r w:rsidDel="00000000" w:rsidR="00000000" w:rsidRPr="00000000">
        <w:rPr>
          <w:rtl w:val="0"/>
        </w:rPr>
        <w:t xml:space="preserve">           Bolivia Metals 2018 (Incremental SDV Sensitivity)</w:t>
      </w:r>
    </w:p>
    <w:p w:rsidR="00000000" w:rsidDel="00000000" w:rsidP="00000000" w:rsidRDefault="00000000" w:rsidRPr="00000000" w14:paraId="00000172">
      <w:pPr>
        <w:pageBreakBefore w:val="0"/>
        <w:jc w:val="both"/>
        <w:rPr>
          <w:b w:val="1"/>
          <w:bCs w:val="1"/>
        </w:rPr>
      </w:pPr>
      <w:r w:rsidDel="00000000" w:rsidR="00000000" w:rsidRPr="00000000">
        <w:rPr>
          <w:rtl w:val="0"/>
        </w:rPr>
      </w:r>
    </w:p>
    <w:p w:rsidR="00000000" w:rsidDel="00000000" w:rsidP="00000000" w:rsidRDefault="00000000" w:rsidRPr="00000000" w14:paraId="00000173">
      <w:pPr>
        <w:ind w:left="2880" w:firstLine="720"/>
        <w:rPr>
          <w:b w:val="1"/>
          <w:bCs w:val="1"/>
        </w:rPr>
      </w:pPr>
      <w:r w:rsidDel="00000000" w:rsidR="00000000" w:rsidRPr="00000000">
        <w:rPr/>
        <w:drawing>
          <wp:inline distB="114300" distT="114300" distL="114300" distR="114300">
            <wp:extent cx="1719208" cy="3267351"/>
            <wp:effectExtent b="0" l="0" r="0" t="0"/>
            <wp:docPr id="24"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1719208" cy="3267351"/>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jc w:val="center"/>
        <w:rPr>
          <w:b w:val="1"/>
          <w:bCs w:val="1"/>
        </w:rPr>
      </w:pP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rtl w:val="0"/>
        </w:rPr>
      </w:r>
    </w:p>
    <w:p w:rsidR="00000000" w:rsidDel="00000000" w:rsidP="00000000" w:rsidRDefault="00000000" w:rsidRPr="00000000" w14:paraId="00000176">
      <w:pPr>
        <w:pageBreakBefore w:val="0"/>
        <w:ind w:left="720" w:firstLine="720"/>
        <w:jc w:val="center"/>
        <w:rPr/>
      </w:pPr>
      <w:r w:rsidDel="00000000" w:rsidR="00000000" w:rsidRPr="00000000">
        <w:rPr>
          <w:rtl w:val="0"/>
        </w:rPr>
        <w:t xml:space="preserve">Bolivia</w:t>
      </w:r>
      <w:r w:rsidDel="00000000" w:rsidR="00000000" w:rsidRPr="00000000">
        <w:rPr>
          <w:rtl w:val="0"/>
        </w:rPr>
        <w:t xml:space="preserve"> Metals 2018 (Decremental SDV Sensitivity)</w:t>
      </w:r>
    </w:p>
    <w:p w:rsidR="00000000" w:rsidDel="00000000" w:rsidP="00000000" w:rsidRDefault="00000000" w:rsidRPr="00000000" w14:paraId="00000177">
      <w:pPr>
        <w:pageBreakBefore w:val="0"/>
        <w:ind w:left="720" w:firstLine="720"/>
        <w:jc w:val="center"/>
        <w:rPr/>
      </w:pPr>
      <w:r w:rsidDel="00000000" w:rsidR="00000000" w:rsidRPr="00000000">
        <w:rPr>
          <w:rtl w:val="0"/>
        </w:rPr>
      </w:r>
    </w:p>
    <w:p w:rsidR="00000000" w:rsidDel="00000000" w:rsidP="00000000" w:rsidRDefault="00000000" w:rsidRPr="00000000" w14:paraId="00000178">
      <w:pPr>
        <w:pageBreakBefore w:val="0"/>
        <w:ind w:left="720" w:firstLine="720"/>
        <w:jc w:val="left"/>
        <w:rPr/>
      </w:pPr>
      <w:r w:rsidDel="00000000" w:rsidR="00000000" w:rsidRPr="00000000">
        <w:rPr>
          <w:rtl w:val="0"/>
        </w:rPr>
        <w:t xml:space="preserve">                          </w:t>
      </w:r>
    </w:p>
    <w:p w:rsidR="00000000" w:rsidDel="00000000" w:rsidP="00000000" w:rsidRDefault="00000000" w:rsidRPr="00000000" w14:paraId="00000179">
      <w:pPr>
        <w:pageBreakBefore w:val="0"/>
        <w:ind w:left="720" w:firstLine="720"/>
        <w:jc w:val="left"/>
        <w:rPr/>
      </w:pPr>
      <w:r w:rsidDel="00000000" w:rsidR="00000000" w:rsidRPr="00000000">
        <w:rPr>
          <w:rtl w:val="0"/>
        </w:rPr>
        <w:t xml:space="preserve">                              </w:t>
      </w:r>
      <w:r w:rsidDel="00000000" w:rsidR="00000000" w:rsidRPr="00000000">
        <w:rPr/>
        <w:drawing>
          <wp:inline distB="114300" distT="114300" distL="114300" distR="114300">
            <wp:extent cx="1926068" cy="3186113"/>
            <wp:effectExtent b="0" l="0" r="0" t="0"/>
            <wp:docPr id="23"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1926068"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ind w:left="720" w:firstLine="720"/>
        <w:jc w:val="left"/>
        <w:rPr/>
      </w:pPr>
      <w:r w:rsidDel="00000000" w:rsidR="00000000" w:rsidRPr="00000000">
        <w:rPr>
          <w:rtl w:val="0"/>
        </w:rPr>
      </w:r>
    </w:p>
    <w:p w:rsidR="00000000" w:rsidDel="00000000" w:rsidP="00000000" w:rsidRDefault="00000000" w:rsidRPr="00000000" w14:paraId="0000017B">
      <w:pPr>
        <w:pageBreakBefore w:val="0"/>
        <w:ind w:left="720" w:firstLine="720"/>
        <w:jc w:val="center"/>
        <w:rPr/>
      </w:pPr>
      <w:r w:rsidDel="00000000" w:rsidR="00000000" w:rsidRPr="00000000">
        <w:rPr>
          <w:rtl w:val="0"/>
        </w:rPr>
        <w:t xml:space="preserve">Bolivia Precious Stones 2018 (Incremental SDV Sensitivity)</w:t>
      </w:r>
    </w:p>
    <w:p w:rsidR="00000000" w:rsidDel="00000000" w:rsidP="00000000" w:rsidRDefault="00000000" w:rsidRPr="00000000" w14:paraId="0000017C">
      <w:pPr>
        <w:pageBreakBefore w:val="0"/>
        <w:ind w:left="720" w:firstLine="720"/>
        <w:jc w:val="center"/>
        <w:rPr/>
      </w:pPr>
      <w:r w:rsidDel="00000000" w:rsidR="00000000" w:rsidRPr="00000000">
        <w:rPr>
          <w:rtl w:val="0"/>
        </w:rPr>
      </w:r>
    </w:p>
    <w:p w:rsidR="00000000" w:rsidDel="00000000" w:rsidP="00000000" w:rsidRDefault="00000000" w:rsidRPr="00000000" w14:paraId="0000017D">
      <w:pPr>
        <w:pageBreakBefore w:val="0"/>
        <w:jc w:val="center"/>
        <w:rPr>
          <w:b w:val="1"/>
          <w:bCs w:val="1"/>
        </w:rPr>
      </w:pPr>
      <w:r w:rsidDel="00000000" w:rsidR="00000000" w:rsidRPr="00000000">
        <w:rPr>
          <w:b w:val="1"/>
          <w:bCs w:val="1"/>
        </w:rPr>
        <w:drawing>
          <wp:inline distB="114300" distT="114300" distL="114300" distR="114300">
            <wp:extent cx="4603913" cy="3201287"/>
            <wp:effectExtent b="0" l="0" r="0" t="0"/>
            <wp:docPr id="16"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4603913" cy="3201287"/>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ageBreakBefore w:val="0"/>
        <w:jc w:val="center"/>
        <w:rPr>
          <w:b w:val="1"/>
          <w:bCs w:val="1"/>
        </w:rPr>
      </w:pPr>
      <w:r w:rsidDel="00000000" w:rsidR="00000000" w:rsidRPr="00000000">
        <w:rPr>
          <w:rtl w:val="0"/>
        </w:rPr>
      </w:r>
    </w:p>
    <w:p w:rsidR="00000000" w:rsidDel="00000000" w:rsidP="00000000" w:rsidRDefault="00000000" w:rsidRPr="00000000" w14:paraId="0000017F">
      <w:pPr>
        <w:pageBreakBefore w:val="0"/>
        <w:ind w:left="720" w:firstLine="720"/>
        <w:jc w:val="center"/>
        <w:rPr/>
      </w:pPr>
      <w:r w:rsidDel="00000000" w:rsidR="00000000" w:rsidRPr="00000000">
        <w:rPr>
          <w:rtl w:val="0"/>
        </w:rPr>
        <w:t xml:space="preserve">Bolivia Precious Stones 2018 (Decremental SDV Sensitivity)</w:t>
      </w:r>
    </w:p>
    <w:p w:rsidR="00000000" w:rsidDel="00000000" w:rsidP="00000000" w:rsidRDefault="00000000" w:rsidRPr="00000000" w14:paraId="00000180">
      <w:pPr>
        <w:pageBreakBefore w:val="0"/>
        <w:ind w:left="720" w:firstLine="720"/>
        <w:jc w:val="center"/>
        <w:rPr/>
      </w:pPr>
      <w:r w:rsidDel="00000000" w:rsidR="00000000" w:rsidRPr="00000000">
        <w:rPr>
          <w:rtl w:val="0"/>
        </w:rPr>
      </w:r>
    </w:p>
    <w:p w:rsidR="00000000" w:rsidDel="00000000" w:rsidP="00000000" w:rsidRDefault="00000000" w:rsidRPr="00000000" w14:paraId="00000181">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8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3">
      <w:pPr>
        <w:pageBreakBefore w:val="0"/>
        <w:jc w:val="both"/>
        <w:rPr>
          <w:b w:val="1"/>
          <w:bCs w:val="1"/>
          <w:sz w:val="28"/>
          <w:szCs w:val="28"/>
        </w:rPr>
      </w:pPr>
      <w:r w:rsidDel="00000000" w:rsidR="00000000" w:rsidRPr="00000000">
        <w:rPr>
          <w:rtl w:val="0"/>
        </w:rPr>
        <w:t xml:space="preserve">Decreasing export of each industry in Bolivia’s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84">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5">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6">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233863" cy="2609241"/>
            <wp:effectExtent b="0" l="0" r="0" t="0"/>
            <wp:docPr id="14"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233863" cy="2609241"/>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pageBreakBefore w:val="0"/>
        <w:jc w:val="center"/>
        <w:rPr>
          <w:sz w:val="22"/>
          <w:szCs w:val="22"/>
        </w:rPr>
      </w:pPr>
      <w:r w:rsidDel="00000000" w:rsidR="00000000" w:rsidRPr="00000000">
        <w:rPr>
          <w:sz w:val="22"/>
          <w:szCs w:val="22"/>
          <w:rtl w:val="0"/>
        </w:rPr>
        <w:t xml:space="preserve">Bolivia Contingency Strategy 2018</w:t>
      </w:r>
    </w:p>
    <w:p w:rsidR="00000000" w:rsidDel="00000000" w:rsidP="00000000" w:rsidRDefault="00000000" w:rsidRPr="00000000" w14:paraId="00000188">
      <w:pPr>
        <w:pageBreakBefore w:val="0"/>
        <w:jc w:val="center"/>
        <w:rPr>
          <w:sz w:val="22"/>
          <w:szCs w:val="22"/>
        </w:rPr>
      </w:pPr>
      <w:r w:rsidDel="00000000" w:rsidR="00000000" w:rsidRPr="00000000">
        <w:rPr>
          <w:rtl w:val="0"/>
        </w:rPr>
      </w:r>
    </w:p>
    <w:p w:rsidR="00000000" w:rsidDel="00000000" w:rsidP="00000000" w:rsidRDefault="00000000" w:rsidRPr="00000000" w14:paraId="00000189">
      <w:pPr>
        <w:pageBreakBefore w:val="0"/>
        <w:jc w:val="both"/>
        <w:rPr>
          <w:b w:val="1"/>
          <w:bCs w:val="1"/>
        </w:rPr>
      </w:pPr>
      <w:r w:rsidDel="00000000" w:rsidR="00000000" w:rsidRPr="00000000">
        <w:rPr>
          <w:rtl w:val="0"/>
        </w:rPr>
      </w:r>
    </w:p>
    <w:p w:rsidR="00000000" w:rsidDel="00000000" w:rsidP="00000000" w:rsidRDefault="00000000" w:rsidRPr="00000000" w14:paraId="0000018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B">
      <w:pPr>
        <w:pageBreakBefore w:val="0"/>
        <w:jc w:val="both"/>
        <w:rPr>
          <w:b w:val="1"/>
          <w:bCs w:val="1"/>
        </w:rPr>
      </w:pPr>
      <w:r w:rsidDel="00000000" w:rsidR="00000000" w:rsidRPr="00000000">
        <w:rPr>
          <w:rtl w:val="0"/>
        </w:rPr>
      </w:r>
    </w:p>
    <w:p w:rsidR="00000000" w:rsidDel="00000000" w:rsidP="00000000" w:rsidRDefault="00000000" w:rsidRPr="00000000" w14:paraId="0000018C">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D">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E">
      <w:pPr>
        <w:pageBreakBefore w:val="0"/>
        <w:jc w:val="both"/>
        <w:rPr/>
      </w:pP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90">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9">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8"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A">
      <w:pPr>
        <w:pageBreakBefore w:val="0"/>
        <w:jc w:val="center"/>
        <w:rPr/>
      </w:pPr>
      <w:r w:rsidDel="00000000" w:rsidR="00000000" w:rsidRPr="00000000">
        <w:rPr>
          <w:rtl w:val="0"/>
        </w:rPr>
        <w:t xml:space="preserve">Figure 2: Regression of Five-year GDP Growth </w:t>
      </w:r>
      <w:r w:rsidDel="00000000" w:rsidR="00000000" w:rsidRPr="00000000">
        <w:rPr>
          <w:rtl w:val="0"/>
        </w:rPr>
        <w:t xml:space="preserve">over SOI</w:t>
      </w: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b w:val="1"/>
          <w:bCs w:val="1"/>
        </w:rPr>
      </w:pPr>
      <w:r w:rsidDel="00000000" w:rsidR="00000000" w:rsidRPr="00000000">
        <w:rPr>
          <w:b w:val="1"/>
          <w:bCs w:val="1"/>
          <w:rtl w:val="0"/>
        </w:rPr>
        <w:t xml:space="preserve">5.2 SOI of Bolivia and Its Implications</w:t>
      </w:r>
    </w:p>
    <w:p w:rsidR="00000000" w:rsidDel="00000000" w:rsidP="00000000" w:rsidRDefault="00000000" w:rsidRPr="00000000" w14:paraId="0000019D">
      <w:pPr>
        <w:pageBreakBefore w:val="0"/>
        <w:jc w:val="both"/>
        <w:rPr/>
      </w:pPr>
      <w:r w:rsidDel="00000000" w:rsidR="00000000" w:rsidRPr="00000000">
        <w:rPr>
          <w:rtl w:val="0"/>
        </w:rPr>
        <w:t xml:space="preserve">Bolivia for instance, has a high level of structural optimality as compared with its developed peers. As the regression in Figure 7 suggests (the orange curve represents export increase and the blue curve stands for opportunity gain of the corresponding industry), Bolivia demonstrates an average level of correlation with the suggested developmental path, having an adjusted R-square of around 19.5%. Bolivia ranks in top quartile among all countries in terms of SOI and has made a medium rate of economic progress below its developed peers from 2013 to 2018 with a 5-year GDP growth rate of 5.26%, which is consistent with the regression result in Figure 6. This is in direct contrast to other developed economies such as Japan, where there is low SOI of around -5.7% and a corresponding GDP growth of 9.05% from 2013 to 2018, making it a much faster developing economy during the period. In sum, Bolivia’s mixed economic progress from 2013 to 2018 can be at least partially explained by a development strategy that demonstrates a decent, but not perfect, level of matches with our suggested developmental path. In specific, Bolivia invested heavily in the Machinery and Construction industry, while it should have focused more on more industry groups such as Precious Stones and metals. That being said, it stayed fairly in line with our expectations in the raw manufacturing and animals and by-products industry.</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drawing>
          <wp:inline distB="114300" distT="114300" distL="114300" distR="114300">
            <wp:extent cx="5731200" cy="2298700"/>
            <wp:effectExtent b="0" l="0" r="0" t="0"/>
            <wp:docPr id="30"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ageBreakBefore w:val="0"/>
        <w:jc w:val="center"/>
        <w:rPr>
          <w:b w:val="1"/>
          <w:bCs w:val="1"/>
        </w:rPr>
      </w:pPr>
      <w:r w:rsidDel="00000000" w:rsidR="00000000" w:rsidRPr="00000000">
        <w:rPr>
          <w:rtl w:val="0"/>
        </w:rPr>
        <w:t xml:space="preserve">Figure 7: SOI of Peru (2009-2014)</w:t>
      </w:r>
      <w:r w:rsidDel="00000000" w:rsidR="00000000" w:rsidRPr="00000000">
        <w:rPr>
          <w:rtl w:val="0"/>
        </w:rPr>
      </w:r>
    </w:p>
    <w:p w:rsidR="00000000" w:rsidDel="00000000" w:rsidP="00000000" w:rsidRDefault="00000000" w:rsidRPr="00000000" w14:paraId="000001A1">
      <w:pPr>
        <w:pageBreakBefore w:val="0"/>
        <w:jc w:val="both"/>
        <w:rPr>
          <w:b w:val="1"/>
          <w:bCs w:val="1"/>
        </w:rPr>
      </w:pPr>
      <w:r w:rsidDel="00000000" w:rsidR="00000000" w:rsidRPr="00000000">
        <w:rPr>
          <w:rtl w:val="0"/>
        </w:rPr>
      </w:r>
    </w:p>
    <w:p w:rsidR="00000000" w:rsidDel="00000000" w:rsidP="00000000" w:rsidRDefault="00000000" w:rsidRPr="00000000" w14:paraId="000001A2">
      <w:pPr>
        <w:pageBreakBefore w:val="0"/>
        <w:jc w:val="both"/>
        <w:rPr>
          <w:b w:val="1"/>
          <w:bCs w:val="1"/>
        </w:rPr>
      </w:pPr>
      <w:r w:rsidDel="00000000" w:rsidR="00000000" w:rsidRPr="00000000">
        <w:rPr>
          <w:rtl w:val="0"/>
        </w:rPr>
      </w:r>
    </w:p>
    <w:p w:rsidR="00000000" w:rsidDel="00000000" w:rsidP="00000000" w:rsidRDefault="00000000" w:rsidRPr="00000000" w14:paraId="000001A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In conclusion, Bolivia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Bolivia on the industry group level. The product classification system we adopt allows us to measure the realized industry development for various industry groups and to observe that Bolivia</w:t>
      </w:r>
      <w:r w:rsidDel="00000000" w:rsidR="00000000" w:rsidRPr="00000000">
        <w:rPr>
          <w:rtl w:val="0"/>
        </w:rPr>
        <w:t xml:space="preserve">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t xml:space="preserve">Based on our analysis of the opportunity gain and a sensitivity analysis of major industry groups, Bolivia can further its gains by prioritizing Metals and Precious Stones. We further note that Bolivia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Bolivia,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8">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A">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C">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D">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vier A. Arevalo" w:id="0" w:date="2023-01-18T17:43:27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avier A. Arevalo" w:id="4" w:date="2023-01-18T17:41:26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add explanation of economic complexity change and decreased GDP because of COVID, suggesting which types of industry the country prioritized during lockdown</w:t>
      </w:r>
    </w:p>
  </w:comment>
  <w:comment w:author="Javier A. Arevalo" w:id="1" w:date="2023-01-18T17:39:01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add if Economic complexity increased/decreased during this period using ECI index.</w:t>
      </w:r>
    </w:p>
  </w:comment>
  <w:comment w:author="Javier A. Arevalo" w:id="2" w:date="2023-01-18T17:39:16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economic complexity decreased, then it is in line with other major developed countries</w:t>
      </w:r>
    </w:p>
  </w:comment>
  <w:comment w:author="Javier A. Arevalo" w:id="5" w:date="2023-01-18T17:42:39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add adjusted R-square of 2021</w:t>
      </w:r>
    </w:p>
  </w:comment>
  <w:comment w:author="Javier A. Arevalo" w:id="3" w:date="2023-01-18T17:43:45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tegbia6h316r"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24.png"/><Relationship Id="rId22" Type="http://schemas.openxmlformats.org/officeDocument/2006/relationships/image" Target="media/image10.png"/><Relationship Id="rId21" Type="http://schemas.openxmlformats.org/officeDocument/2006/relationships/image" Target="media/image22.png"/><Relationship Id="rId24" Type="http://schemas.openxmlformats.org/officeDocument/2006/relationships/image" Target="media/image23.jp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3.png"/><Relationship Id="rId26" Type="http://schemas.openxmlformats.org/officeDocument/2006/relationships/image" Target="media/image6.png"/><Relationship Id="rId25" Type="http://schemas.openxmlformats.org/officeDocument/2006/relationships/image" Target="media/image25.png"/><Relationship Id="rId28" Type="http://schemas.openxmlformats.org/officeDocument/2006/relationships/image" Target="media/image2.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7.png"/><Relationship Id="rId7" Type="http://schemas.openxmlformats.org/officeDocument/2006/relationships/image" Target="media/image31.png"/><Relationship Id="rId8" Type="http://schemas.openxmlformats.org/officeDocument/2006/relationships/image" Target="media/image12.png"/><Relationship Id="rId31" Type="http://schemas.openxmlformats.org/officeDocument/2006/relationships/image" Target="media/image19.png"/><Relationship Id="rId30" Type="http://schemas.openxmlformats.org/officeDocument/2006/relationships/image" Target="media/image29.png"/><Relationship Id="rId11" Type="http://schemas.openxmlformats.org/officeDocument/2006/relationships/image" Target="media/image20.png"/><Relationship Id="rId33" Type="http://schemas.openxmlformats.org/officeDocument/2006/relationships/image" Target="media/image27.png"/><Relationship Id="rId10" Type="http://schemas.openxmlformats.org/officeDocument/2006/relationships/image" Target="media/image11.png"/><Relationship Id="rId32" Type="http://schemas.openxmlformats.org/officeDocument/2006/relationships/image" Target="media/image21.png"/><Relationship Id="rId13" Type="http://schemas.openxmlformats.org/officeDocument/2006/relationships/image" Target="media/image30.png"/><Relationship Id="rId35" Type="http://schemas.openxmlformats.org/officeDocument/2006/relationships/image" Target="media/image15.png"/><Relationship Id="rId12" Type="http://schemas.openxmlformats.org/officeDocument/2006/relationships/image" Target="media/image28.png"/><Relationship Id="rId34" Type="http://schemas.openxmlformats.org/officeDocument/2006/relationships/image" Target="media/image26.png"/><Relationship Id="rId15" Type="http://schemas.openxmlformats.org/officeDocument/2006/relationships/image" Target="media/image8.png"/><Relationship Id="rId37" Type="http://schemas.openxmlformats.org/officeDocument/2006/relationships/header" Target="header1.xml"/><Relationship Id="rId14" Type="http://schemas.openxmlformats.org/officeDocument/2006/relationships/image" Target="media/image14.png"/><Relationship Id="rId36" Type="http://schemas.openxmlformats.org/officeDocument/2006/relationships/image" Target="media/image18.png"/><Relationship Id="rId17" Type="http://schemas.openxmlformats.org/officeDocument/2006/relationships/image" Target="media/image9.png"/><Relationship Id="rId39" Type="http://schemas.openxmlformats.org/officeDocument/2006/relationships/footer" Target="footer3.xml"/><Relationship Id="rId16" Type="http://schemas.openxmlformats.org/officeDocument/2006/relationships/image" Target="media/image5.png"/><Relationship Id="rId38" Type="http://schemas.openxmlformats.org/officeDocument/2006/relationships/footer" Target="footer2.xml"/><Relationship Id="rId19" Type="http://schemas.openxmlformats.org/officeDocument/2006/relationships/image" Target="media/image7.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