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8" name="image13.png"/>
            <a:graphic>
              <a:graphicData uri="http://schemas.openxmlformats.org/drawingml/2006/picture">
                <pic:pic>
                  <pic:nvPicPr>
                    <pic:cNvPr descr="horizontal line" id="0" name="image13.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7" name="image33.png"/>
            <a:graphic>
              <a:graphicData uri="http://schemas.openxmlformats.org/drawingml/2006/picture">
                <pic:pic>
                  <pic:nvPicPr>
                    <pic:cNvPr id="0" name="image33.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United Kingdom</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commentRangeStart w:id="0"/>
      <w:r w:rsidDel="00000000" w:rsidR="00000000" w:rsidRPr="00000000">
        <w:rPr>
          <w:rFonts w:ascii="PT Sans Narrow" w:cs="PT Sans Narrow" w:eastAsia="PT Sans Narrow" w:hAnsi="PT Sans Narrow"/>
          <w:sz w:val="28"/>
          <w:szCs w:val="28"/>
          <w:rtl w:val="0"/>
        </w:rPr>
        <w:t xml:space="preserve"> Kelly Mi, Alex Chung, Margarita Demkina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United Kingdom</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the UK went through during the period from 2013 to 2018. We include an additional analysis regarding the impact of COVID-19 on the country’s development in 2021. Specifically, we dive into the topic through a macroeconomic overview of the UK from the perspective of Gross Domestic Product (GDP) and Economic Complexity Index (ECI), which reflect countries’ production capability and production structure, respectively. We find that between 2013 and 2018, the UK demonstrated a low level of economic growth with an average annual GDP growth rate of 3.03%, concurrent with an increase in economic complexity as compared with other major developed economies.</w:t>
      </w:r>
      <w:commentRangeStart w:id="1"/>
      <w:r w:rsidDel="00000000" w:rsidR="00000000" w:rsidRPr="00000000">
        <w:rPr>
          <w:rtl w:val="0"/>
        </w:rPr>
        <w:t xml:space="preserve"> Average annual GDP growth increased to 3.79% between 2019 to 2021, but economic complexity decreased, again in line with other major developed economies.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2013 to 2018, we believe, can be partially explained through analysis of the economic and product complexity structure of the UK on the industry group level. The product classification system we adopt allows us to measure the realized industry development for various industry groups and to observe that the UK co</w:t>
      </w:r>
      <w:r w:rsidDel="00000000" w:rsidR="00000000" w:rsidRPr="00000000">
        <w:rPr>
          <w:rtl w:val="0"/>
        </w:rPr>
        <w:t xml:space="preserve">nsistently relied on developing the Chemicals, Machinery and Construction, and Daily Instruments industries during the period, while some of its developed counterparts and emerging economies around the globe adopted much more complex and progressive paths. </w:t>
      </w:r>
      <w:commentRangeStart w:id="2"/>
      <w:r w:rsidDel="00000000" w:rsidR="00000000" w:rsidRPr="00000000">
        <w:rPr>
          <w:rtl w:val="0"/>
        </w:rPr>
        <w:t xml:space="preserve">Regarding the post-COVID decline in economic complexity coupled with a higher GDP as observed in 2021, we determine that the UK prioritized basic, low complexity industries such as Food and Preparations and Daily Instruments in reaction to the higher global demand for such products in the midst of a pandemic.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the UK can further its gains by prioritizing High-Complexity Products and Transportation. We further note that the UK has a heavily mismatched development strategy between 2013 and 2018 that indicates a low level of structural optimality (compared to other developed countries) on the complexity level, having an adjusted R-square of around 1.84%. I</w:t>
      </w:r>
      <w:commentRangeStart w:id="3"/>
      <w:r w:rsidDel="00000000" w:rsidR="00000000" w:rsidRPr="00000000">
        <w:rPr>
          <w:rtl w:val="0"/>
        </w:rPr>
        <w:t xml:space="preserve">n 2021, adjusted R-square is 5.07%</w:t>
      </w:r>
      <w:commentRangeEnd w:id="3"/>
      <w:r w:rsidDel="00000000" w:rsidR="00000000" w:rsidRPr="00000000">
        <w:commentReference w:id="3"/>
      </w:r>
      <w:r w:rsidDel="00000000" w:rsidR="00000000" w:rsidRPr="00000000">
        <w:rPr>
          <w:rtl w:val="0"/>
        </w:rPr>
        <w:t xml:space="preserve">, which is still low relative to other developed countries. Since a significant positive correlation exists between five-year GDP growth and the structural optimality index of an economy as we define and calculate, the </w:t>
      </w:r>
      <w:commentRangeStart w:id="4"/>
      <w:r w:rsidDel="00000000" w:rsidR="00000000" w:rsidRPr="00000000">
        <w:rPr>
          <w:rtl w:val="0"/>
        </w:rPr>
        <w:t xml:space="preserve">UK indeed has a comparable growth experience with fast-growing economies</w:t>
      </w:r>
      <w:commentRangeEnd w:id="4"/>
      <w:r w:rsidDel="00000000" w:rsidR="00000000" w:rsidRPr="00000000">
        <w:commentReference w:id="4"/>
      </w:r>
      <w:r w:rsidDel="00000000" w:rsidR="00000000" w:rsidRPr="00000000">
        <w:rPr>
          <w:rtl w:val="0"/>
        </w:rPr>
        <w:t xml:space="preserve">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the UK went through during the period from 2013 to 2018, </w:t>
      </w:r>
      <w:commentRangeStart w:id="5"/>
      <w:r w:rsidDel="00000000" w:rsidR="00000000" w:rsidRPr="00000000">
        <w:rPr>
          <w:rtl w:val="0"/>
        </w:rPr>
        <w:t xml:space="preserve">and the impact of COVID-19 on its economic development as observed in 2021. </w:t>
      </w:r>
      <w:commentRangeEnd w:id="5"/>
      <w:r w:rsidDel="00000000" w:rsidR="00000000" w:rsidRPr="00000000">
        <w:commentReference w:id="5"/>
      </w:r>
      <w:r w:rsidDel="00000000" w:rsidR="00000000" w:rsidRPr="00000000">
        <w:rPr>
          <w:rtl w:val="0"/>
        </w:rPr>
        <w:t xml:space="preserve">Specifically, we dive into the topic through a macroeconomic overview of the UK from the perspective of Gross Domestic Product (GDP) and Economic Complexity Index (ECI), which reflect countries’ production capability and production structure, respectively. We then analyze the industrial framework and changes of the UK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the UK,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the UK and two of its peer countries (France and Italy) from 2013-2018. Similar to the other countries, the UK displayed upward growth over the period. Furthermore, the UK’s average annual growth rate of 3.03% over the five-year period is comparable to those of its peers, which are 2.59% and 2.46% for France and Italy,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3924300" cy="2562225"/>
            <wp:effectExtent b="0" l="0" r="0" t="0"/>
            <wp:docPr id="1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9243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Leading Economies </w:t>
      </w:r>
      <w:commentRangeStart w:id="6"/>
      <w:r w:rsidDel="00000000" w:rsidR="00000000" w:rsidRPr="00000000">
        <w:rPr>
          <w:rtl w:val="0"/>
        </w:rPr>
        <w:t xml:space="preserve">(2013-2018)</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commentRangeStart w:id="7"/>
      <w:r w:rsidDel="00000000" w:rsidR="00000000" w:rsidRPr="00000000">
        <w:rPr>
          <w:rtl w:val="0"/>
        </w:rPr>
        <w:t xml:space="preserve">Figure 2 illustrates the time-series GDP results in 2019-2021. Similar to the other countries, the UK displayed upward growth over the period, despite an observed decrease in GDP in 2020 due to the economic implications of COVID-19. Yet, it displayed a greater increase of 0.73% in average annual growth rate, up to 3.79%; whereas France only increased 0.10%, up to 2.69%, and Italy decreased 0.78%, down to 1.68%</w:t>
      </w:r>
      <w:commentRangeEnd w:id="7"/>
      <w:r w:rsidDel="00000000" w:rsidR="00000000" w:rsidRPr="00000000">
        <w:commentReference w:id="7"/>
      </w:r>
      <w:r w:rsidDel="00000000" w:rsidR="00000000" w:rsidRPr="00000000">
        <w:rPr>
          <w:rtl w:val="0"/>
        </w:rPr>
        <w:t xml:space="preserve">. </w:t>
      </w:r>
    </w:p>
    <w:p w:rsidR="00000000" w:rsidDel="00000000" w:rsidP="00000000" w:rsidRDefault="00000000" w:rsidRPr="00000000" w14:paraId="00000022">
      <w:pPr>
        <w:pageBreakBefore w:val="0"/>
        <w:jc w:val="center"/>
        <w:rPr/>
      </w:pPr>
      <w:commentRangeStart w:id="8"/>
      <w:r w:rsidDel="00000000" w:rsidR="00000000" w:rsidRPr="00000000">
        <w:rPr/>
        <w:drawing>
          <wp:inline distB="114300" distT="114300" distL="114300" distR="114300">
            <wp:extent cx="3959352" cy="2751890"/>
            <wp:effectExtent b="0" l="0" r="0" t="0"/>
            <wp:docPr id="25" name="image34.png"/>
            <a:graphic>
              <a:graphicData uri="http://schemas.openxmlformats.org/drawingml/2006/picture">
                <pic:pic>
                  <pic:nvPicPr>
                    <pic:cNvPr id="0" name="image34.png"/>
                    <pic:cNvPicPr preferRelativeResize="0"/>
                  </pic:nvPicPr>
                  <pic:blipFill>
                    <a:blip r:embed="rId10"/>
                    <a:srcRect b="0" l="0" r="10981" t="0"/>
                    <a:stretch>
                      <a:fillRect/>
                    </a:stretch>
                  </pic:blipFill>
                  <pic:spPr>
                    <a:xfrm>
                      <a:off x="0" y="0"/>
                      <a:ext cx="3959352" cy="275189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Figure 2: GDP Comparison Among Leading Economies (2019-2021)</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w:t>
      </w:r>
      <w:commentRangeStart w:id="9"/>
      <w:r w:rsidDel="00000000" w:rsidR="00000000" w:rsidRPr="00000000">
        <w:rPr>
          <w:rtl w:val="0"/>
        </w:rPr>
        <w:t xml:space="preserve">3</w:t>
      </w:r>
      <w:commentRangeEnd w:id="9"/>
      <w:r w:rsidDel="00000000" w:rsidR="00000000" w:rsidRPr="00000000">
        <w:commentReference w:id="9"/>
      </w:r>
      <w:r w:rsidDel="00000000" w:rsidR="00000000" w:rsidRPr="00000000">
        <w:rPr>
          <w:rtl w:val="0"/>
        </w:rPr>
        <w:t xml:space="preserve">. As shown, the UK exhibits a significant increase in production capability from 2013 to 2018. The UK (63.22% ECI change) is the country in the peer group with the greatest increase in ECI change, as France  attained a significantly lower ECI change (16.37%) and Italy (-31.46%) saw decreases in production capability over the period.</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3940013" cy="2606154"/>
            <wp:effectExtent b="0" l="0" r="0" t="0"/>
            <wp:docPr id="22"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3940013" cy="260615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9">
      <w:pPr>
        <w:pageBreakBefore w:val="0"/>
        <w:jc w:val="center"/>
        <w:rPr/>
      </w:pP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rtl w:val="0"/>
        </w:rPr>
        <w:t xml:space="preserve">      </w:t>
      </w:r>
      <w:commentRangeStart w:id="10"/>
      <w:r w:rsidDel="00000000" w:rsidR="00000000" w:rsidRPr="00000000">
        <w:rPr>
          <w:rtl w:val="0"/>
        </w:rPr>
        <w:t xml:space="preserve"> Figure 3: ECI Comparison (2013-2018)                 </w:t>
      </w:r>
    </w:p>
    <w:p w:rsidR="00000000" w:rsidDel="00000000" w:rsidP="00000000" w:rsidRDefault="00000000" w:rsidRPr="00000000" w14:paraId="0000002B">
      <w:pPr>
        <w:pageBreakBefore w:val="0"/>
        <w:rPr/>
      </w:pP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C">
      <w:pPr>
        <w:pageBreakBefore w:val="0"/>
        <w:rPr/>
      </w:pPr>
      <w:commentRangeStart w:id="11"/>
      <w:r w:rsidDel="00000000" w:rsidR="00000000" w:rsidRPr="00000000">
        <w:rPr>
          <w:rtl w:val="0"/>
        </w:rPr>
        <w:t xml:space="preserve">However, as shown in Figure 4, the UK exhibits a significant decrease in production capability from 2019 to 2021. Its peers also experienced comparable decreases in production capability over the period, as marked by a sharp decline following 2020.</w:t>
      </w:r>
    </w:p>
    <w:p w:rsidR="00000000" w:rsidDel="00000000" w:rsidP="00000000" w:rsidRDefault="00000000" w:rsidRPr="00000000" w14:paraId="0000002D">
      <w:pPr>
        <w:pageBreakBefore w:val="0"/>
        <w:jc w:val="center"/>
        <w:rPr/>
      </w:pPr>
      <w:r w:rsidDel="00000000" w:rsidR="00000000" w:rsidRPr="00000000">
        <w:rPr>
          <w:rtl w:val="0"/>
        </w:rPr>
        <w:t xml:space="preserve">        </w:t>
      </w:r>
      <w:commentRangeEnd w:id="11"/>
      <w:r w:rsidDel="00000000" w:rsidR="00000000" w:rsidRPr="00000000">
        <w:commentReference w:id="11"/>
      </w:r>
      <w:commentRangeStart w:id="12"/>
      <w:r w:rsidDel="00000000" w:rsidR="00000000" w:rsidRPr="00000000">
        <w:rPr/>
        <w:drawing>
          <wp:inline distB="114300" distT="114300" distL="114300" distR="114300">
            <wp:extent cx="3724705" cy="2519363"/>
            <wp:effectExtent b="0" l="0" r="0" t="0"/>
            <wp:docPr id="20" name="image27.png"/>
            <a:graphic>
              <a:graphicData uri="http://schemas.openxmlformats.org/drawingml/2006/picture">
                <pic:pic>
                  <pic:nvPicPr>
                    <pic:cNvPr id="0" name="image27.png"/>
                    <pic:cNvPicPr preferRelativeResize="0"/>
                  </pic:nvPicPr>
                  <pic:blipFill>
                    <a:blip r:embed="rId12"/>
                    <a:srcRect b="0" l="407" r="407" t="0"/>
                    <a:stretch>
                      <a:fillRect/>
                    </a:stretch>
                  </pic:blipFill>
                  <pic:spPr>
                    <a:xfrm>
                      <a:off x="0" y="0"/>
                      <a:ext cx="3724705"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       Figure 4: ECI Comparison (2019-2021)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pageBreakBefore w:val="0"/>
        <w:jc w:val="both"/>
        <w:rPr/>
      </w:pPr>
      <w:r w:rsidDel="00000000" w:rsidR="00000000" w:rsidRPr="00000000">
        <w:rPr>
          <w:rtl w:val="0"/>
        </w:rPr>
        <w:t xml:space="preserve">Figure </w:t>
      </w:r>
      <w:commentRangeStart w:id="13"/>
      <w:r w:rsidDel="00000000" w:rsidR="00000000" w:rsidRPr="00000000">
        <w:rPr>
          <w:rtl w:val="0"/>
        </w:rPr>
        <w:t xml:space="preserve">5</w:t>
      </w:r>
      <w:commentRangeEnd w:id="13"/>
      <w:r w:rsidDel="00000000" w:rsidR="00000000" w:rsidRPr="00000000">
        <w:commentReference w:id="13"/>
      </w:r>
      <w:r w:rsidDel="00000000" w:rsidR="00000000" w:rsidRPr="00000000">
        <w:rPr>
          <w:rtl w:val="0"/>
        </w:rPr>
        <w:t xml:space="preserve"> offers a further comparison of GDP Growth and ECI over the time span from 2013 to 2018 for the UK. The steady increase in GDP growth during the period from 2013 to 2018 is accompanied by a volatile eventual increase in ECI. The results show that the economic growth experienced by the UK during the period from 2013 to 2018, though relatively stable, is only partially consistent with the predictions by ECI and that the UK made some progress in effectively developing a competitive product space that helps to accumulate complicated knowledge and technology. In order to provide a more concrete answer to why this has happened, we will dive into an analysis of the UK’s production structure and its product space designs in the next few chapters. </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drawing>
          <wp:inline distB="114300" distT="114300" distL="114300" distR="114300">
            <wp:extent cx="4286250" cy="2524125"/>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2862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commentRangeStart w:id="14"/>
      <w:r w:rsidDel="00000000" w:rsidR="00000000" w:rsidRPr="00000000">
        <w:rPr>
          <w:rtl w:val="0"/>
        </w:rPr>
        <w:t xml:space="preserve">  Figure 5: GDP Growth and ECI (2013-2018)</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35">
      <w:pPr>
        <w:pageBreakBefore w:val="0"/>
        <w:jc w:val="both"/>
        <w:rPr>
          <w:b w:val="1"/>
          <w:bCs w:val="1"/>
        </w:rPr>
      </w:pPr>
      <w:commentRangeStart w:id="15"/>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Figure 6 compares GDP Growth and ECI between 2019 and 2021 for the UK. The decrease followed by a sharp increase in GDP growth during the period from 2019 to 2021 is paralleled by opposite changes in ECI. The COVID-19 pandemic in 2020 necessitated a prioritization of low complexity industries as demand for basic, essential products replaced that of higher-complexity, discretionary products. This explains the inconsistency in the relationship between GDP and ECI presented by the UK over this period.</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ageBreakBefore w:val="0"/>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4191000" cy="2514600"/>
            <wp:effectExtent b="0" l="0" r="0" t="0"/>
            <wp:docPr id="24" name="image31.png"/>
            <a:graphic>
              <a:graphicData uri="http://schemas.openxmlformats.org/drawingml/2006/picture">
                <pic:pic>
                  <pic:nvPicPr>
                    <pic:cNvPr id="0" name="image31.png"/>
                    <pic:cNvPicPr preferRelativeResize="0"/>
                  </pic:nvPicPr>
                  <pic:blipFill>
                    <a:blip r:embed="rId14"/>
                    <a:srcRect b="0" l="1253" r="1253" t="0"/>
                    <a:stretch>
                      <a:fillRect/>
                    </a:stretch>
                  </pic:blipFill>
                  <pic:spPr>
                    <a:xfrm>
                      <a:off x="0" y="0"/>
                      <a:ext cx="4191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rFonts w:ascii="Times" w:cs="Times" w:eastAsia="Times" w:hAnsi="Times"/>
          <w:sz w:val="28"/>
          <w:szCs w:val="28"/>
        </w:rPr>
      </w:pPr>
      <w:r w:rsidDel="00000000" w:rsidR="00000000" w:rsidRPr="00000000">
        <w:rPr>
          <w:rtl w:val="0"/>
        </w:rPr>
        <w:t xml:space="preserve">Figure 6: GDP and ECI (2019-2021)</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3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D">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E">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F">
      <w:pPr>
        <w:pageBreakBefore w:val="0"/>
        <w:jc w:val="both"/>
        <w:rPr/>
      </w:pPr>
      <w:r w:rsidDel="00000000" w:rsidR="00000000" w:rsidRPr="00000000">
        <w:rPr>
          <w:rtl w:val="0"/>
        </w:rPr>
      </w:r>
    </w:p>
    <w:p w:rsidR="00000000" w:rsidDel="00000000" w:rsidP="00000000" w:rsidRDefault="00000000" w:rsidRPr="00000000" w14:paraId="00000040">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41">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42">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43">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52">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E">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5">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6">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7">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8">
      <w:pPr>
        <w:pageBreakBefore w:val="0"/>
        <w:jc w:val="both"/>
        <w:rPr/>
      </w:pPr>
      <w:r w:rsidDel="00000000" w:rsidR="00000000" w:rsidRPr="00000000">
        <w:rPr>
          <w:rtl w:val="0"/>
        </w:rPr>
      </w:r>
    </w:p>
    <w:p w:rsidR="00000000" w:rsidDel="00000000" w:rsidP="00000000" w:rsidRDefault="00000000" w:rsidRPr="00000000" w14:paraId="00000069">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6C">
      <w:pPr>
        <w:pageBreakBefore w:val="0"/>
        <w:jc w:val="both"/>
        <w:rPr/>
      </w:pPr>
      <w:r w:rsidDel="00000000" w:rsidR="00000000" w:rsidRPr="00000000">
        <w:rPr>
          <w:rtl w:val="0"/>
        </w:rPr>
      </w:r>
    </w:p>
    <w:p w:rsidR="00000000" w:rsidDel="00000000" w:rsidP="00000000" w:rsidRDefault="00000000" w:rsidRPr="00000000" w14:paraId="0000006D">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E">
            <w:pPr>
              <w:pageBreakBefore w:val="0"/>
              <w:jc w:val="center"/>
              <w:rPr/>
            </w:pPr>
            <w:r w:rsidDel="00000000" w:rsidR="00000000" w:rsidRPr="00000000">
              <w:rPr>
                <w:rtl w:val="0"/>
              </w:rPr>
            </w:r>
          </w:p>
        </w:tc>
        <w:tc>
          <w:tcPr/>
          <w:p w:rsidR="00000000" w:rsidDel="00000000" w:rsidP="00000000" w:rsidRDefault="00000000" w:rsidRPr="00000000" w14:paraId="0000006F">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0">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1">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2">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3">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74">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75">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76">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7">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78">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7A">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107</w:t>
            </w:r>
          </w:p>
        </w:tc>
      </w:tr>
    </w:tbl>
    <w:p w:rsidR="00000000" w:rsidDel="00000000" w:rsidP="00000000" w:rsidRDefault="00000000" w:rsidRPr="00000000" w14:paraId="0000007E">
      <w:pPr>
        <w:pageBreakBefore w:val="0"/>
        <w:jc w:val="center"/>
        <w:rPr/>
      </w:pPr>
      <w:r w:rsidDel="00000000" w:rsidR="00000000" w:rsidRPr="00000000">
        <w:rPr>
          <w:rtl w:val="0"/>
        </w:rPr>
      </w:r>
    </w:p>
    <w:p w:rsidR="00000000" w:rsidDel="00000000" w:rsidP="00000000" w:rsidRDefault="00000000" w:rsidRPr="00000000" w14:paraId="0000007F">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80">
      <w:pPr>
        <w:pageBreakBefore w:val="0"/>
        <w:jc w:val="both"/>
        <w:rPr/>
      </w:pPr>
      <w:r w:rsidDel="00000000" w:rsidR="00000000" w:rsidRPr="00000000">
        <w:rPr>
          <w:rtl w:val="0"/>
        </w:rPr>
      </w:r>
    </w:p>
    <w:p w:rsidR="00000000" w:rsidDel="00000000" w:rsidP="00000000" w:rsidRDefault="00000000" w:rsidRPr="00000000" w14:paraId="00000081">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82">
            <w:pPr>
              <w:pageBreakBefore w:val="0"/>
              <w:jc w:val="center"/>
              <w:rPr/>
            </w:pPr>
            <w:r w:rsidDel="00000000" w:rsidR="00000000" w:rsidRPr="00000000">
              <w:rPr>
                <w:rtl w:val="0"/>
              </w:rPr>
            </w:r>
          </w:p>
        </w:tc>
        <w:tc>
          <w:tcPr/>
          <w:p w:rsidR="00000000" w:rsidDel="00000000" w:rsidP="00000000" w:rsidRDefault="00000000" w:rsidRPr="00000000" w14:paraId="00000083">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4">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5">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6">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87">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88">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89">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8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B">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C">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D">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F">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90">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91">
            <w:pPr>
              <w:pageBreakBefore w:val="0"/>
              <w:jc w:val="center"/>
              <w:rPr/>
            </w:pPr>
            <w:r w:rsidDel="00000000" w:rsidR="00000000" w:rsidRPr="00000000">
              <w:rPr>
                <w:rtl w:val="0"/>
              </w:rPr>
              <w:t xml:space="preserve">21</w:t>
            </w:r>
          </w:p>
        </w:tc>
      </w:tr>
    </w:tbl>
    <w:p w:rsidR="00000000" w:rsidDel="00000000" w:rsidP="00000000" w:rsidRDefault="00000000" w:rsidRPr="00000000" w14:paraId="00000092">
      <w:pPr>
        <w:pageBreakBefore w:val="0"/>
        <w:jc w:val="center"/>
        <w:rPr/>
      </w:pPr>
      <w:r w:rsidDel="00000000" w:rsidR="00000000" w:rsidRPr="00000000">
        <w:rPr>
          <w:rtl w:val="0"/>
        </w:rPr>
      </w:r>
    </w:p>
    <w:p w:rsidR="00000000" w:rsidDel="00000000" w:rsidP="00000000" w:rsidRDefault="00000000" w:rsidRPr="00000000" w14:paraId="00000093">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94">
      <w:pPr>
        <w:pageBreakBefore w:val="0"/>
        <w:jc w:val="center"/>
        <w:rPr>
          <w:sz w:val="20"/>
          <w:szCs w:val="20"/>
        </w:rPr>
      </w:pPr>
      <w:r w:rsidDel="00000000" w:rsidR="00000000" w:rsidRPr="00000000">
        <w:rPr>
          <w:rtl w:val="0"/>
        </w:rPr>
      </w:r>
    </w:p>
    <w:p w:rsidR="00000000" w:rsidDel="00000000" w:rsidP="00000000" w:rsidRDefault="00000000" w:rsidRPr="00000000" w14:paraId="00000095">
      <w:pPr>
        <w:pageBreakBefore w:val="0"/>
        <w:jc w:val="center"/>
        <w:rPr/>
      </w:pPr>
      <w:r w:rsidDel="00000000" w:rsidR="00000000" w:rsidRPr="00000000">
        <w:rPr>
          <w:rtl w:val="0"/>
        </w:rPr>
      </w:r>
    </w:p>
    <w:p w:rsidR="00000000" w:rsidDel="00000000" w:rsidP="00000000" w:rsidRDefault="00000000" w:rsidRPr="00000000" w14:paraId="00000096">
      <w:pPr>
        <w:pageBreakBefore w:val="0"/>
        <w:jc w:val="both"/>
        <w:rPr>
          <w:b w:val="1"/>
          <w:bCs w:val="1"/>
        </w:rPr>
      </w:pPr>
      <w:r w:rsidDel="00000000" w:rsidR="00000000" w:rsidRPr="00000000">
        <w:rPr>
          <w:rtl w:val="0"/>
        </w:rPr>
      </w:r>
    </w:p>
    <w:p w:rsidR="00000000" w:rsidDel="00000000" w:rsidP="00000000" w:rsidRDefault="00000000" w:rsidRPr="00000000" w14:paraId="00000097">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98">
      <w:pPr>
        <w:pageBreakBefore w:val="0"/>
        <w:jc w:val="both"/>
        <w:rPr/>
      </w:pPr>
      <w:r w:rsidDel="00000000" w:rsidR="00000000" w:rsidRPr="00000000">
        <w:rPr>
          <w:rtl w:val="0"/>
        </w:rPr>
        <w:t xml:space="preserve">Based on the product categorization aforementioned, we aim to capture the UK’s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the UK and the 18 product groups in </w:t>
      </w:r>
      <w:commentRangeStart w:id="16"/>
      <w:r w:rsidDel="00000000" w:rsidR="00000000" w:rsidRPr="00000000">
        <w:rPr>
          <w:rtl w:val="0"/>
        </w:rPr>
        <w:t xml:space="preserve">2018 and 2021 </w:t>
      </w:r>
      <w:commentRangeEnd w:id="16"/>
      <w:r w:rsidDel="00000000" w:rsidR="00000000" w:rsidRPr="00000000">
        <w:commentReference w:id="16"/>
      </w:r>
      <w:r w:rsidDel="00000000" w:rsidR="00000000" w:rsidRPr="00000000">
        <w:rPr>
          <w:rtl w:val="0"/>
        </w:rPr>
        <w:t xml:space="preserve">through subtraction, where a positive RID indicates a shortening of the distance (i.e., advancement of the industry), and a negative RID indicates the reverse. </w:t>
      </w:r>
    </w:p>
    <w:p w:rsidR="00000000" w:rsidDel="00000000" w:rsidP="00000000" w:rsidRDefault="00000000" w:rsidRPr="00000000" w14:paraId="00000099">
      <w:pPr>
        <w:pageBreakBefore w:val="0"/>
        <w:jc w:val="both"/>
        <w:rPr/>
      </w:pPr>
      <w:r w:rsidDel="00000000" w:rsidR="00000000" w:rsidRPr="00000000">
        <w:rPr>
          <w:rtl w:val="0"/>
        </w:rPr>
      </w:r>
    </w:p>
    <w:p w:rsidR="00000000" w:rsidDel="00000000" w:rsidP="00000000" w:rsidRDefault="00000000" w:rsidRPr="00000000" w14:paraId="0000009A">
      <w:pPr>
        <w:pageBreakBefore w:val="0"/>
        <w:jc w:val="center"/>
        <w:rPr/>
      </w:pPr>
      <w:r w:rsidDel="00000000" w:rsidR="00000000" w:rsidRPr="00000000">
        <w:rPr/>
        <w:drawing>
          <wp:inline distB="114300" distT="114300" distL="114300" distR="114300">
            <wp:extent cx="1919174" cy="4519613"/>
            <wp:effectExtent b="0" l="0" r="0" t="0"/>
            <wp:docPr id="30"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1919174" cy="451961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ageBreakBefore w:val="0"/>
        <w:jc w:val="center"/>
        <w:rPr/>
      </w:pPr>
      <w:r w:rsidDel="00000000" w:rsidR="00000000" w:rsidRPr="00000000">
        <w:rPr>
          <w:rtl w:val="0"/>
        </w:rPr>
        <w:t xml:space="preserve">Table 2: Realized Industry Development (RID) of UK </w:t>
      </w:r>
      <w:commentRangeStart w:id="17"/>
      <w:r w:rsidDel="00000000" w:rsidR="00000000" w:rsidRPr="00000000">
        <w:rPr>
          <w:rtl w:val="0"/>
        </w:rPr>
        <w:t xml:space="preserve">(2013-2018)</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rtl w:val="0"/>
        </w:rPr>
      </w:r>
    </w:p>
    <w:p w:rsidR="00000000" w:rsidDel="00000000" w:rsidP="00000000" w:rsidRDefault="00000000" w:rsidRPr="00000000" w14:paraId="0000009D">
      <w:pPr>
        <w:pageBreakBefore w:val="0"/>
        <w:jc w:val="center"/>
        <w:rPr>
          <w:i w:val="1"/>
          <w:iCs w:val="1"/>
        </w:rPr>
      </w:pPr>
      <w:r w:rsidDel="00000000" w:rsidR="00000000" w:rsidRPr="00000000">
        <w:rPr>
          <w:i w:val="1"/>
          <w:iCs w:val="1"/>
        </w:rPr>
        <w:drawing>
          <wp:inline distB="114300" distT="114300" distL="114300" distR="114300">
            <wp:extent cx="1868325" cy="3981676"/>
            <wp:effectExtent b="0" l="0" r="0" t="0"/>
            <wp:docPr id="2" name="image36.png"/>
            <a:graphic>
              <a:graphicData uri="http://schemas.openxmlformats.org/drawingml/2006/picture">
                <pic:pic>
                  <pic:nvPicPr>
                    <pic:cNvPr id="0" name="image36.png"/>
                    <pic:cNvPicPr preferRelativeResize="0"/>
                  </pic:nvPicPr>
                  <pic:blipFill>
                    <a:blip r:embed="rId16"/>
                    <a:srcRect b="1161" l="0" r="0" t="1161"/>
                    <a:stretch>
                      <a:fillRect/>
                    </a:stretch>
                  </pic:blipFill>
                  <pic:spPr>
                    <a:xfrm>
                      <a:off x="0" y="0"/>
                      <a:ext cx="1868325" cy="3981676"/>
                    </a:xfrm>
                    <a:prstGeom prst="rect"/>
                    <a:ln/>
                  </pic:spPr>
                </pic:pic>
              </a:graphicData>
            </a:graphic>
          </wp:inline>
        </w:drawing>
      </w:r>
      <w:commentRangeStart w:id="18"/>
      <w:r w:rsidDel="00000000" w:rsidR="00000000" w:rsidRPr="00000000">
        <w:rPr>
          <w:i w:val="1"/>
          <w:iCs w:val="1"/>
          <w:rtl w:val="0"/>
        </w:rPr>
        <w:t xml:space="preserve"> </w:t>
      </w:r>
    </w:p>
    <w:p w:rsidR="00000000" w:rsidDel="00000000" w:rsidP="00000000" w:rsidRDefault="00000000" w:rsidRPr="00000000" w14:paraId="0000009E">
      <w:pPr>
        <w:pageBreakBefore w:val="0"/>
        <w:jc w:val="center"/>
        <w:rPr/>
      </w:pPr>
      <w:r w:rsidDel="00000000" w:rsidR="00000000" w:rsidRPr="00000000">
        <w:rPr>
          <w:rtl w:val="0"/>
        </w:rPr>
        <w:t xml:space="preserve">Table 3: Realized Industry Development (RID) of UK (2019-2021)</w:t>
      </w:r>
    </w:p>
    <w:p w:rsidR="00000000" w:rsidDel="00000000" w:rsidP="00000000" w:rsidRDefault="00000000" w:rsidRPr="00000000" w14:paraId="0000009F">
      <w:pPr>
        <w:pageBreakBefore w:val="0"/>
        <w:jc w:val="both"/>
        <w:rPr>
          <w:b w:val="1"/>
          <w:bCs w:val="1"/>
        </w:rPr>
      </w:pPr>
      <w:commentRangeEnd w:id="18"/>
      <w:r w:rsidDel="00000000" w:rsidR="00000000" w:rsidRPr="00000000">
        <w:commentReference w:id="18"/>
      </w:r>
      <w:commentRangeStart w:id="19"/>
      <w:r w:rsidDel="00000000" w:rsidR="00000000" w:rsidRPr="00000000">
        <w:rPr>
          <w:rtl w:val="0"/>
        </w:rPr>
      </w:r>
    </w:p>
    <w:p w:rsidR="00000000" w:rsidDel="00000000" w:rsidP="00000000" w:rsidRDefault="00000000" w:rsidRPr="00000000" w14:paraId="000000A0">
      <w:pPr>
        <w:pageBreakBefore w:val="0"/>
        <w:jc w:val="both"/>
        <w:rPr/>
      </w:pPr>
      <w:r w:rsidDel="00000000" w:rsidR="00000000" w:rsidRPr="00000000">
        <w:rPr>
          <w:rtl w:val="0"/>
        </w:rPr>
        <w:t xml:space="preserve">Between 2013 and 2018, the UK shows advancement in around half of the product groups, with negative RIDs pertaining mostly to low-complexity industries. However, the UK demonstrates a regressive trend in ECI between 2019 and 2021, as every previously positive RID industry changes to negative, and most other industries’ RIDs increase in negativity.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A1">
      <w:pPr>
        <w:pageBreakBefore w:val="0"/>
        <w:jc w:val="both"/>
        <w:rPr/>
      </w:pPr>
      <w:r w:rsidDel="00000000" w:rsidR="00000000" w:rsidRPr="00000000">
        <w:rPr>
          <w:rtl w:val="0"/>
        </w:rPr>
      </w:r>
    </w:p>
    <w:p w:rsidR="00000000" w:rsidDel="00000000" w:rsidP="00000000" w:rsidRDefault="00000000" w:rsidRPr="00000000" w14:paraId="000000A2">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A3">
      <w:pPr>
        <w:pageBreakBefore w:val="0"/>
        <w:jc w:val="both"/>
        <w:rPr/>
      </w:pPr>
      <w:r w:rsidDel="00000000" w:rsidR="00000000" w:rsidRPr="00000000">
        <w:rPr>
          <w:rtl w:val="0"/>
        </w:rPr>
        <w:t xml:space="preserve">Table 3 and 4 below summarize how the production strategy adopted by the UK compares with leading economies and a selected group of emerging economies in the world, as measured in RID. </w:t>
      </w:r>
    </w:p>
    <w:p w:rsidR="00000000" w:rsidDel="00000000" w:rsidP="00000000" w:rsidRDefault="00000000" w:rsidRPr="00000000" w14:paraId="000000A4">
      <w:pPr>
        <w:pageBreakBefore w:val="0"/>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tbl>
      <w:tblPr>
        <w:tblStyle w:val="Table4"/>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A6">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A7">
            <w:pPr>
              <w:jc w:val="both"/>
              <w:rPr/>
            </w:pPr>
            <w:r w:rsidDel="00000000" w:rsidR="00000000" w:rsidRPr="00000000">
              <w:rPr>
                <w:rtl w:val="0"/>
              </w:rPr>
              <w:t xml:space="preserve">France</w:t>
            </w:r>
          </w:p>
        </w:tc>
        <w:tc>
          <w:tcPr>
            <w:vAlign w:val="center"/>
          </w:tcPr>
          <w:p w:rsidR="00000000" w:rsidDel="00000000" w:rsidP="00000000" w:rsidRDefault="00000000" w:rsidRPr="00000000" w14:paraId="000000A8">
            <w:pPr>
              <w:jc w:val="both"/>
              <w:rPr/>
            </w:pPr>
            <w:r w:rsidDel="00000000" w:rsidR="00000000" w:rsidRPr="00000000">
              <w:rPr>
                <w:rtl w:val="0"/>
              </w:rPr>
              <w:t xml:space="preserve">the UK</w:t>
            </w:r>
          </w:p>
        </w:tc>
        <w:tc>
          <w:tcPr>
            <w:vAlign w:val="center"/>
          </w:tcPr>
          <w:p w:rsidR="00000000" w:rsidDel="00000000" w:rsidP="00000000" w:rsidRDefault="00000000" w:rsidRPr="00000000" w14:paraId="000000A9">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AA">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AE">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B2">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B6">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BA">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BE">
      <w:pPr>
        <w:jc w:val="center"/>
        <w:rPr/>
      </w:pPr>
      <w:commentRangeStart w:id="20"/>
      <w:r w:rsidDel="00000000" w:rsidR="00000000" w:rsidRPr="00000000">
        <w:rPr>
          <w:rtl w:val="0"/>
        </w:rPr>
        <w:t xml:space="preserve">Table 4a:</w:t>
      </w:r>
      <w:commentRangeEnd w:id="20"/>
      <w:r w:rsidDel="00000000" w:rsidR="00000000" w:rsidRPr="00000000">
        <w:commentReference w:id="20"/>
      </w:r>
      <w:r w:rsidDel="00000000" w:rsidR="00000000" w:rsidRPr="00000000">
        <w:rPr>
          <w:rtl w:val="0"/>
        </w:rPr>
        <w:t xml:space="preserve"> RID Comparison across Leading Economies (2018)</w:t>
      </w:r>
    </w:p>
    <w:p w:rsidR="00000000" w:rsidDel="00000000" w:rsidP="00000000" w:rsidRDefault="00000000" w:rsidRPr="00000000" w14:paraId="000000BF">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C0">
            <w:pPr>
              <w:jc w:val="both"/>
              <w:rPr/>
            </w:pPr>
            <w:commentRangeStart w:id="21"/>
            <w:r w:rsidDel="00000000" w:rsidR="00000000" w:rsidRPr="00000000">
              <w:rPr>
                <w:rtl w:val="0"/>
              </w:rPr>
              <w:t xml:space="preserve">Ranking</w:t>
            </w:r>
          </w:p>
        </w:tc>
        <w:tc>
          <w:tcPr/>
          <w:p w:rsidR="00000000" w:rsidDel="00000000" w:rsidP="00000000" w:rsidRDefault="00000000" w:rsidRPr="00000000" w14:paraId="000000C1">
            <w:pPr>
              <w:jc w:val="both"/>
              <w:rPr/>
            </w:pPr>
            <w:r w:rsidDel="00000000" w:rsidR="00000000" w:rsidRPr="00000000">
              <w:rPr>
                <w:rtl w:val="0"/>
              </w:rPr>
              <w:t xml:space="preserve">France</w:t>
            </w:r>
          </w:p>
        </w:tc>
        <w:tc>
          <w:tcPr/>
          <w:p w:rsidR="00000000" w:rsidDel="00000000" w:rsidP="00000000" w:rsidRDefault="00000000" w:rsidRPr="00000000" w14:paraId="000000C2">
            <w:pPr>
              <w:jc w:val="both"/>
              <w:rPr/>
            </w:pPr>
            <w:r w:rsidDel="00000000" w:rsidR="00000000" w:rsidRPr="00000000">
              <w:rPr>
                <w:rtl w:val="0"/>
              </w:rPr>
              <w:t xml:space="preserve">the UK</w:t>
            </w:r>
          </w:p>
        </w:tc>
        <w:tc>
          <w:tcPr/>
          <w:p w:rsidR="00000000" w:rsidDel="00000000" w:rsidP="00000000" w:rsidRDefault="00000000" w:rsidRPr="00000000" w14:paraId="000000C3">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C4">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5">
            <w:pPr>
              <w:ind w:left="90" w:firstLine="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6">
            <w:pPr>
              <w:ind w:firstLine="90"/>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7">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C8">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9">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A">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B">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CC">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D">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E">
            <w:pPr>
              <w:ind w:firstLine="9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F">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D0">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1">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2">
            <w:pPr>
              <w:ind w:firstLine="9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3">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D4">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5">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6">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7">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0D8">
      <w:pPr>
        <w:jc w:val="center"/>
        <w:rPr/>
      </w:pPr>
      <w:r w:rsidDel="00000000" w:rsidR="00000000" w:rsidRPr="00000000">
        <w:rPr>
          <w:rtl w:val="0"/>
        </w:rPr>
        <w:t xml:space="preserve">Table 4b: RID Comparison across Leading Economies (2021)</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1"/>
        </w:trPr>
        <w:tc>
          <w:tcPr/>
          <w:p w:rsidR="00000000" w:rsidDel="00000000" w:rsidP="00000000" w:rsidRDefault="00000000" w:rsidRPr="00000000" w14:paraId="000000DA">
            <w:pPr>
              <w:jc w:val="both"/>
              <w:rPr/>
            </w:pPr>
            <w:r w:rsidDel="00000000" w:rsidR="00000000" w:rsidRPr="00000000">
              <w:rPr>
                <w:rtl w:val="0"/>
              </w:rPr>
              <w:t xml:space="preserve">Ranking</w:t>
            </w:r>
          </w:p>
        </w:tc>
        <w:tc>
          <w:tcPr/>
          <w:p w:rsidR="00000000" w:rsidDel="00000000" w:rsidP="00000000" w:rsidRDefault="00000000" w:rsidRPr="00000000" w14:paraId="000000DB">
            <w:pPr>
              <w:jc w:val="both"/>
              <w:rPr/>
            </w:pPr>
            <w:r w:rsidDel="00000000" w:rsidR="00000000" w:rsidRPr="00000000">
              <w:rPr>
                <w:rtl w:val="0"/>
              </w:rPr>
              <w:t xml:space="preserve">China</w:t>
            </w:r>
          </w:p>
        </w:tc>
        <w:tc>
          <w:tcPr/>
          <w:p w:rsidR="00000000" w:rsidDel="00000000" w:rsidP="00000000" w:rsidRDefault="00000000" w:rsidRPr="00000000" w14:paraId="000000DC">
            <w:pPr>
              <w:jc w:val="both"/>
              <w:rPr/>
            </w:pPr>
            <w:r w:rsidDel="00000000" w:rsidR="00000000" w:rsidRPr="00000000">
              <w:rPr>
                <w:rtl w:val="0"/>
              </w:rPr>
              <w:t xml:space="preserve">South Korea</w:t>
            </w:r>
          </w:p>
        </w:tc>
        <w:tc>
          <w:tcPr/>
          <w:p w:rsidR="00000000" w:rsidDel="00000000" w:rsidP="00000000" w:rsidRDefault="00000000" w:rsidRPr="00000000" w14:paraId="000000DD">
            <w:pPr>
              <w:jc w:val="both"/>
              <w:rPr/>
            </w:pPr>
            <w:r w:rsidDel="00000000" w:rsidR="00000000" w:rsidRPr="00000000">
              <w:rPr>
                <w:rtl w:val="0"/>
              </w:rPr>
              <w:t xml:space="preserve">Singapore</w:t>
            </w:r>
          </w:p>
        </w:tc>
      </w:tr>
      <w:tr>
        <w:trPr>
          <w:cantSplit w:val="0"/>
          <w:trHeight w:val="275.00000000000006" w:hRule="atLeast"/>
          <w:tblHeader w:val="1"/>
        </w:trPr>
        <w:tc>
          <w:tcPr/>
          <w:p w:rsidR="00000000" w:rsidDel="00000000" w:rsidP="00000000" w:rsidRDefault="00000000" w:rsidRPr="00000000" w14:paraId="000000DE">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1"/>
        </w:trPr>
        <w:tc>
          <w:tcPr>
            <w:shd w:fill="ffffff" w:val="clear"/>
          </w:tcPr>
          <w:p w:rsidR="00000000" w:rsidDel="00000000" w:rsidP="00000000" w:rsidRDefault="00000000" w:rsidRPr="00000000" w14:paraId="000000E2">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1"/>
        </w:trPr>
        <w:tc>
          <w:tcPr/>
          <w:p w:rsidR="00000000" w:rsidDel="00000000" w:rsidP="00000000" w:rsidRDefault="00000000" w:rsidRPr="00000000" w14:paraId="000000E6">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0EA">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EC">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0EE">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F0">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F1">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F2">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0F4">
            <w:pPr>
              <w:jc w:val="both"/>
              <w:rPr/>
            </w:pPr>
            <w:commentRangeStart w:id="22"/>
            <w:r w:rsidDel="00000000" w:rsidR="00000000" w:rsidRPr="00000000">
              <w:rPr>
                <w:rtl w:val="0"/>
              </w:rPr>
              <w:t xml:space="preserve">Ranking</w:t>
            </w:r>
          </w:p>
        </w:tc>
        <w:tc>
          <w:tcPr/>
          <w:p w:rsidR="00000000" w:rsidDel="00000000" w:rsidP="00000000" w:rsidRDefault="00000000" w:rsidRPr="00000000" w14:paraId="000000F5">
            <w:pPr>
              <w:jc w:val="both"/>
              <w:rPr/>
            </w:pPr>
            <w:r w:rsidDel="00000000" w:rsidR="00000000" w:rsidRPr="00000000">
              <w:rPr>
                <w:rtl w:val="0"/>
              </w:rPr>
              <w:t xml:space="preserve">China</w:t>
            </w:r>
          </w:p>
        </w:tc>
        <w:tc>
          <w:tcPr/>
          <w:p w:rsidR="00000000" w:rsidDel="00000000" w:rsidP="00000000" w:rsidRDefault="00000000" w:rsidRPr="00000000" w14:paraId="000000F6">
            <w:pPr>
              <w:jc w:val="both"/>
              <w:rPr/>
            </w:pPr>
            <w:r w:rsidDel="00000000" w:rsidR="00000000" w:rsidRPr="00000000">
              <w:rPr>
                <w:rtl w:val="0"/>
              </w:rPr>
              <w:t xml:space="preserve">South Korea</w:t>
            </w:r>
          </w:p>
        </w:tc>
        <w:tc>
          <w:tcPr/>
          <w:p w:rsidR="00000000" w:rsidDel="00000000" w:rsidP="00000000" w:rsidRDefault="00000000" w:rsidRPr="00000000" w14:paraId="000000F7">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0F8">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9">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A">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B">
            <w:pPr>
              <w:ind w:left="90" w:right="-165" w:firstLine="0"/>
              <w:jc w:val="both"/>
              <w:rPr>
                <w:sz w:val="20"/>
                <w:szCs w:val="20"/>
              </w:rPr>
            </w:pPr>
            <w:r w:rsidDel="00000000" w:rsidR="00000000" w:rsidRPr="00000000">
              <w:rPr>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0FC">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FD">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FE">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FF">
            <w:pPr>
              <w:ind w:left="90" w:right="-165" w:firstLine="0"/>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100">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1">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2">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03">
            <w:pPr>
              <w:ind w:left="90" w:right="-165" w:firstLine="0"/>
              <w:jc w:val="both"/>
              <w:rPr>
                <w:sz w:val="20"/>
                <w:szCs w:val="20"/>
              </w:rPr>
            </w:pPr>
            <w:r w:rsidDel="00000000" w:rsidR="00000000" w:rsidRPr="00000000">
              <w:rPr>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104">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05">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06">
            <w:pPr>
              <w:ind w:left="90" w:right="-165" w:firstLine="0"/>
              <w:jc w:val="both"/>
              <w:rPr>
                <w:sz w:val="20"/>
                <w:szCs w:val="20"/>
              </w:rPr>
            </w:pPr>
            <w:r w:rsidDel="00000000" w:rsidR="00000000" w:rsidRPr="00000000">
              <w:rPr>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07">
            <w:pPr>
              <w:ind w:left="90" w:right="-165" w:firstLine="0"/>
              <w:jc w:val="both"/>
              <w:rPr>
                <w:sz w:val="20"/>
                <w:szCs w:val="20"/>
              </w:rPr>
            </w:pPr>
            <w:r w:rsidDel="00000000" w:rsidR="00000000" w:rsidRPr="00000000">
              <w:rPr>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108">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9">
            <w:pPr>
              <w:ind w:left="90" w:right="-165" w:firstLine="0"/>
              <w:jc w:val="both"/>
              <w:rPr>
                <w:sz w:val="20"/>
                <w:szCs w:val="20"/>
              </w:rPr>
            </w:pPr>
            <w:r w:rsidDel="00000000" w:rsidR="00000000" w:rsidRPr="00000000">
              <w:rPr>
                <w:sz w:val="20"/>
                <w:szCs w:val="2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A">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0B">
            <w:pPr>
              <w:ind w:left="90" w:right="-165" w:firstLine="0"/>
              <w:jc w:val="both"/>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10C">
      <w:pPr>
        <w:jc w:val="center"/>
        <w:rPr/>
      </w:pPr>
      <w:r w:rsidDel="00000000" w:rsidR="00000000" w:rsidRPr="00000000">
        <w:rPr>
          <w:sz w:val="22"/>
          <w:szCs w:val="22"/>
          <w:rtl w:val="0"/>
        </w:rPr>
        <w:t xml:space="preserve">Table 4d: RID Comparison across Emerging Economies (2021)</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r>
    </w:p>
    <w:p w:rsidR="00000000" w:rsidDel="00000000" w:rsidP="00000000" w:rsidRDefault="00000000" w:rsidRPr="00000000" w14:paraId="0000010E">
      <w:pPr>
        <w:pageBreakBefore w:val="0"/>
        <w:jc w:val="both"/>
        <w:rPr>
          <w:rFonts w:ascii="Times" w:cs="Times" w:eastAsia="Times" w:hAnsi="Times"/>
          <w:b w:val="1"/>
          <w:bCs w:val="1"/>
          <w:sz w:val="28"/>
          <w:szCs w:val="28"/>
        </w:rPr>
      </w:pPr>
      <w:commentRangeStart w:id="23"/>
      <w:r w:rsidDel="00000000" w:rsidR="00000000" w:rsidRPr="00000000">
        <w:rPr>
          <w:rtl w:val="0"/>
        </w:rPr>
        <w:t xml:space="preserve">Tables 4c and 4d </w:t>
      </w:r>
      <w:commentRangeEnd w:id="23"/>
      <w:r w:rsidDel="00000000" w:rsidR="00000000" w:rsidRPr="00000000">
        <w:commentReference w:id="23"/>
      </w:r>
      <w:r w:rsidDel="00000000" w:rsidR="00000000" w:rsidRPr="00000000">
        <w:rPr>
          <w:rtl w:val="0"/>
        </w:rPr>
        <w:t xml:space="preserve">further examines UK’s development strategy against those of emerging economies on a global scale. Reasonably, emerging economies such as China, South Korea, Singapore, and India have devoted the majority of their efforts into intermediate industry groups </w:t>
      </w:r>
      <w:commentRangeStart w:id="24"/>
      <w:r w:rsidDel="00000000" w:rsidR="00000000" w:rsidRPr="00000000">
        <w:rPr>
          <w:rtl w:val="0"/>
        </w:rPr>
        <w:t xml:space="preserve">while developed economies such as the UK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UK is indeed adopting a moderate but slightly out-of-phase strategy that seeks development in industry groups with a lower level of complexity than it should.</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0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10">
      <w:pPr>
        <w:pageBreakBefore w:val="0"/>
        <w:jc w:val="both"/>
        <w:rPr>
          <w:b w:val="1"/>
          <w:bCs w:val="1"/>
        </w:rPr>
      </w:pPr>
      <w:r w:rsidDel="00000000" w:rsidR="00000000" w:rsidRPr="00000000">
        <w:rPr>
          <w:rtl w:val="0"/>
        </w:rPr>
      </w:r>
    </w:p>
    <w:p w:rsidR="00000000" w:rsidDel="00000000" w:rsidP="00000000" w:rsidRDefault="00000000" w:rsidRPr="00000000" w14:paraId="0000011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1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13">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14">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15">
      <w:pPr>
        <w:pageBreakBefore w:val="0"/>
        <w:jc w:val="both"/>
        <w:rPr/>
      </w:pPr>
      <w:r w:rsidDel="00000000" w:rsidR="00000000" w:rsidRPr="00000000">
        <w:rPr>
          <w:rtl w:val="0"/>
        </w:rPr>
      </w:r>
    </w:p>
    <w:p w:rsidR="00000000" w:rsidDel="00000000" w:rsidP="00000000" w:rsidRDefault="00000000" w:rsidRPr="00000000" w14:paraId="00000116">
      <w:pPr>
        <w:pageBreakBefore w:val="0"/>
        <w:jc w:val="center"/>
        <w:rPr/>
      </w:pPr>
      <w:r w:rsidDel="00000000" w:rsidR="00000000" w:rsidRPr="00000000">
        <w:rPr>
          <w:rtl w:val="0"/>
        </w:rPr>
      </w:r>
    </w:p>
    <w:p w:rsidR="00000000" w:rsidDel="00000000" w:rsidP="00000000" w:rsidRDefault="00000000" w:rsidRPr="00000000" w14:paraId="00000117">
      <w:pPr>
        <w:pageBreakBefore w:val="0"/>
        <w:jc w:val="center"/>
        <w:rPr/>
      </w:pPr>
      <w:r w:rsidDel="00000000" w:rsidR="00000000" w:rsidRPr="00000000">
        <w:rPr/>
        <w:drawing>
          <wp:inline distB="114300" distT="114300" distL="114300" distR="114300">
            <wp:extent cx="5731200" cy="15621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1562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8">
      <w:pPr>
        <w:pageBreakBefore w:val="0"/>
        <w:jc w:val="center"/>
        <w:rPr/>
      </w:pPr>
      <w:r w:rsidDel="00000000" w:rsidR="00000000" w:rsidRPr="00000000">
        <w:rPr>
          <w:rtl w:val="0"/>
        </w:rPr>
        <w:t xml:space="preserve">  </w:t>
      </w:r>
    </w:p>
    <w:p w:rsidR="00000000" w:rsidDel="00000000" w:rsidP="00000000" w:rsidRDefault="00000000" w:rsidRPr="00000000" w14:paraId="00000119">
      <w:pPr>
        <w:pageBreakBefore w:val="0"/>
        <w:jc w:val="center"/>
        <w:rPr/>
      </w:pPr>
      <w:r w:rsidDel="00000000" w:rsidR="00000000" w:rsidRPr="00000000">
        <w:rPr/>
        <w:drawing>
          <wp:inline distB="114300" distT="114300" distL="114300" distR="114300">
            <wp:extent cx="5731200" cy="1600200"/>
            <wp:effectExtent b="0" l="0" r="0" t="0"/>
            <wp:docPr id="3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ageBreakBefore w:val="0"/>
        <w:jc w:val="center"/>
        <w:rPr/>
      </w:pPr>
      <w:r w:rsidDel="00000000" w:rsidR="00000000" w:rsidRPr="00000000">
        <w:rPr>
          <w:rtl w:val="0"/>
        </w:rPr>
      </w:r>
    </w:p>
    <w:p w:rsidR="00000000" w:rsidDel="00000000" w:rsidP="00000000" w:rsidRDefault="00000000" w:rsidRPr="00000000" w14:paraId="0000011B">
      <w:pPr>
        <w:pageBreakBefore w:val="0"/>
        <w:jc w:val="center"/>
        <w:rPr/>
      </w:pPr>
      <w:commentRangeStart w:id="25"/>
      <w:commentRangeStart w:id="26"/>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11C">
      <w:pPr>
        <w:pageBreakBefore w:val="0"/>
        <w:jc w:val="center"/>
        <w:rPr/>
      </w:pPr>
      <w:r w:rsidDel="00000000" w:rsidR="00000000" w:rsidRPr="00000000">
        <w:rPr>
          <w:rtl w:val="0"/>
        </w:rPr>
      </w:r>
    </w:p>
    <w:p w:rsidR="00000000" w:rsidDel="00000000" w:rsidP="00000000" w:rsidRDefault="00000000" w:rsidRPr="00000000" w14:paraId="0000011D">
      <w:pPr>
        <w:pageBreakBefore w:val="0"/>
        <w:jc w:val="both"/>
        <w:rPr/>
      </w:pPr>
      <w:r w:rsidDel="00000000" w:rsidR="00000000" w:rsidRPr="00000000">
        <w:rPr>
          <w:rtl w:val="0"/>
        </w:rP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ECI, such as South Africas and Colombia, all need to develop High-complexity Products, Machinery and Construction and Daily Instruments, those with median ECI are facing a more complicated and diverse situation, such as Italy and Spain. </w:t>
      </w:r>
      <w:commentRangeStart w:id="27"/>
      <w:r w:rsidDel="00000000" w:rsidR="00000000" w:rsidRPr="00000000">
        <w:rPr>
          <w:rtl w:val="0"/>
        </w:rPr>
        <w:t xml:space="preserve">We focus on SDV results for 2018 because they give the most accurate snapshot of complexity for global comparison in the absence of the irregular effects of the COVID-19 pandemic observed in 2021. </w:t>
      </w:r>
    </w:p>
    <w:p w:rsidR="00000000" w:rsidDel="00000000" w:rsidP="00000000" w:rsidRDefault="00000000" w:rsidRPr="00000000" w14:paraId="0000011E">
      <w:pPr>
        <w:pageBreakBefore w:val="0"/>
        <w:jc w:val="both"/>
        <w:rPr/>
      </w:pP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rtl w:val="0"/>
        </w:rPr>
        <w:t xml:space="preserve">It can be concluded that the United Kingdom is categorized to be a highly complex country as compared with the world’s leading economies and other major economies in Europe. </w:t>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drawing>
          <wp:inline distB="114300" distT="114300" distL="114300" distR="114300">
            <wp:extent cx="5734050" cy="2273300"/>
            <wp:effectExtent b="0" l="0" r="0" t="0"/>
            <wp:docPr id="3"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center"/>
        <w:rPr/>
      </w:pPr>
      <w:r w:rsidDel="00000000" w:rsidR="00000000" w:rsidRPr="00000000">
        <w:rPr>
          <w:rtl w:val="0"/>
        </w:rPr>
        <w:t xml:space="preserve">Table 6: SDV of Other Typical Countries</w:t>
      </w:r>
      <w:commentRangeStart w:id="28"/>
      <w:r w:rsidDel="00000000" w:rsidR="00000000" w:rsidRPr="00000000">
        <w:rPr>
          <w:rtl w:val="0"/>
        </w:rPr>
        <w:t xml:space="preserve"> 2013</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24">
      <w:pPr>
        <w:pageBreakBefore w:val="0"/>
        <w:jc w:val="center"/>
        <w:rPr/>
      </w:pPr>
      <w:r w:rsidDel="00000000" w:rsidR="00000000" w:rsidRPr="00000000">
        <w:rPr>
          <w:rtl w:val="0"/>
        </w:rPr>
      </w:r>
    </w:p>
    <w:p w:rsidR="00000000" w:rsidDel="00000000" w:rsidP="00000000" w:rsidRDefault="00000000" w:rsidRPr="00000000" w14:paraId="00000125">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center"/>
        <w:rPr/>
      </w:pPr>
      <w:r w:rsidDel="00000000" w:rsidR="00000000" w:rsidRPr="00000000">
        <w:rPr/>
        <w:drawing>
          <wp:inline distB="114300" distT="114300" distL="114300" distR="114300">
            <wp:extent cx="2528888" cy="1141284"/>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ageBreakBefore w:val="0"/>
        <w:jc w:val="center"/>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12C">
      <w:pPr>
        <w:pageBreakBefore w:val="0"/>
        <w:jc w:val="both"/>
        <w:rPr/>
      </w:pPr>
      <w:r w:rsidDel="00000000" w:rsidR="00000000" w:rsidRPr="00000000">
        <w:rPr>
          <w:rtl w:val="0"/>
        </w:rPr>
        <w:t xml:space="preserve"> </w:t>
      </w:r>
    </w:p>
    <w:p w:rsidR="00000000" w:rsidDel="00000000" w:rsidP="00000000" w:rsidRDefault="00000000" w:rsidRPr="00000000" w14:paraId="0000012D">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2E">
      <w:pPr>
        <w:pageBreakBefore w:val="0"/>
        <w:jc w:val="both"/>
        <w:rPr/>
      </w:pPr>
      <w:r w:rsidDel="00000000" w:rsidR="00000000" w:rsidRPr="00000000">
        <w:rPr>
          <w:rtl w:val="0"/>
        </w:rPr>
        <w:t xml:space="preserve"> </w:t>
      </w:r>
    </w:p>
    <w:p w:rsidR="00000000" w:rsidDel="00000000" w:rsidP="00000000" w:rsidRDefault="00000000" w:rsidRPr="00000000" w14:paraId="0000012F">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jc w:val="center"/>
        <w:rPr/>
      </w:pPr>
      <w:r w:rsidDel="00000000" w:rsidR="00000000" w:rsidRPr="00000000">
        <w:rPr/>
        <w:drawing>
          <wp:inline distB="114300" distT="114300" distL="114300" distR="114300">
            <wp:extent cx="2138363" cy="71863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135">
      <w:pPr>
        <w:pageBreakBefore w:val="0"/>
        <w:rPr/>
      </w:pPr>
      <w:r w:rsidDel="00000000" w:rsidR="00000000" w:rsidRPr="00000000">
        <w:rPr>
          <w:rtl w:val="0"/>
        </w:rPr>
        <w:t xml:space="preserve"> </w:t>
      </w:r>
    </w:p>
    <w:p w:rsidR="00000000" w:rsidDel="00000000" w:rsidP="00000000" w:rsidRDefault="00000000" w:rsidRPr="00000000" w14:paraId="00000136">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137">
      <w:pPr>
        <w:pageBreakBefore w:val="0"/>
        <w:jc w:val="both"/>
        <w:rPr>
          <w:b w:val="1"/>
          <w:bCs w:val="1"/>
        </w:rPr>
      </w:pPr>
      <w:r w:rsidDel="00000000" w:rsidR="00000000" w:rsidRPr="00000000">
        <w:rPr>
          <w:rtl w:val="0"/>
        </w:rPr>
      </w:r>
    </w:p>
    <w:p w:rsidR="00000000" w:rsidDel="00000000" w:rsidP="00000000" w:rsidRDefault="00000000" w:rsidRPr="00000000" w14:paraId="00000138">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39">
      <w:pPr>
        <w:pageBreakBefore w:val="0"/>
        <w:jc w:val="both"/>
        <w:rPr>
          <w:b w:val="1"/>
          <w:bCs w:val="1"/>
        </w:rPr>
      </w:pPr>
      <w:r w:rsidDel="00000000" w:rsidR="00000000" w:rsidRPr="00000000">
        <w:rPr>
          <w:rtl w:val="0"/>
        </w:rPr>
      </w:r>
    </w:p>
    <w:p w:rsidR="00000000" w:rsidDel="00000000" w:rsidP="00000000" w:rsidRDefault="00000000" w:rsidRPr="00000000" w14:paraId="0000013A">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13B">
      <w:pPr>
        <w:pageBreakBefore w:val="0"/>
        <w:jc w:val="center"/>
        <w:rPr/>
      </w:pPr>
      <w:r w:rsidDel="00000000" w:rsidR="00000000" w:rsidRPr="00000000">
        <w:rPr>
          <w:b w:val="1"/>
          <w:bCs w:val="1"/>
          <w:rtl w:val="0"/>
        </w:rPr>
        <w:t xml:space="preserve"> </w:t>
      </w:r>
      <w:r w:rsidDel="00000000" w:rsidR="00000000" w:rsidRPr="00000000">
        <w:rPr>
          <w:rtl w:val="0"/>
        </w:rPr>
      </w:r>
    </w:p>
    <w:tbl>
      <w:tblPr>
        <w:tblStyle w:val="Table8"/>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C">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D">
            <w:pPr>
              <w:jc w:val="both"/>
              <w:rPr>
                <w:b w:val="1"/>
                <w:bCs w:val="1"/>
                <w:color w:val="ffffff"/>
                <w:sz w:val="22"/>
                <w:szCs w:val="22"/>
              </w:rPr>
            </w:pPr>
            <w:r w:rsidDel="00000000" w:rsidR="00000000" w:rsidRPr="00000000">
              <w:rPr>
                <w:b w:val="1"/>
                <w:bCs w:val="1"/>
                <w:color w:val="ffffff"/>
                <w:sz w:val="22"/>
                <w:szCs w:val="22"/>
                <w:rtl w:val="0"/>
              </w:rPr>
              <w:t xml:space="preserve">Product Nam</w:t>
            </w:r>
            <w:commentRangeStart w:id="29"/>
            <w:r w:rsidDel="00000000" w:rsidR="00000000" w:rsidRPr="00000000">
              <w:rPr>
                <w:b w:val="1"/>
                <w:bCs w:val="1"/>
                <w:color w:val="ffffff"/>
                <w:sz w:val="22"/>
                <w:szCs w:val="22"/>
                <w:rtl w:val="0"/>
              </w:rPr>
              <w:t xml:space="preserve">es</w:t>
            </w:r>
            <w:commentRangeEnd w:id="29"/>
            <w:r w:rsidDel="00000000" w:rsidR="00000000" w:rsidRPr="00000000">
              <w:commentReference w:id="29"/>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E">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F">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0">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1">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2">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3">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4">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5">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6">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7">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8">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9">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A">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B">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C">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D">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E">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F">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0">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1">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2">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3">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4">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5">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6">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7">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8">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9">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A">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B">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C">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D">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E">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F">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0">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1">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62">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63">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64">
      <w:pPr>
        <w:pageBreakBefore w:val="0"/>
        <w:jc w:val="both"/>
        <w:rPr>
          <w:b w:val="1"/>
          <w:bCs w:val="1"/>
        </w:rPr>
      </w:pPr>
      <w:r w:rsidDel="00000000" w:rsidR="00000000" w:rsidRPr="00000000">
        <w:rPr>
          <w:rtl w:val="0"/>
        </w:rPr>
      </w:r>
    </w:p>
    <w:p w:rsidR="00000000" w:rsidDel="00000000" w:rsidP="00000000" w:rsidRDefault="00000000" w:rsidRPr="00000000" w14:paraId="00000165">
      <w:pPr>
        <w:pageBreakBefore w:val="0"/>
        <w:jc w:val="both"/>
        <w:rPr/>
      </w:pPr>
      <w:r w:rsidDel="00000000" w:rsidR="00000000" w:rsidRPr="00000000">
        <w:rPr>
          <w:rtl w:val="0"/>
        </w:rPr>
        <w:t xml:space="preserve">Below is the economic panel for the UK in 2013. We can see that for different percentages of heuristic total export growth, the ECIs of the United Kingdom actually have similar amounts of increments. Overall, 5, 10, 15, and 20 percent export growth result in a similar ECI improvement pattern, which starts from around 0.92 and ends at around 1.09. </w:t>
      </w:r>
    </w:p>
    <w:p w:rsidR="00000000" w:rsidDel="00000000" w:rsidP="00000000" w:rsidRDefault="00000000" w:rsidRPr="00000000" w14:paraId="00000166">
      <w:pPr>
        <w:pageBreakBefore w:val="0"/>
        <w:jc w:val="both"/>
        <w:rPr/>
      </w:pPr>
      <w:r w:rsidDel="00000000" w:rsidR="00000000" w:rsidRPr="00000000">
        <w:rPr>
          <w:rtl w:val="0"/>
        </w:rPr>
        <w:t xml:space="preserve"> </w:t>
      </w:r>
    </w:p>
    <w:p w:rsidR="00000000" w:rsidDel="00000000" w:rsidP="00000000" w:rsidRDefault="00000000" w:rsidRPr="00000000" w14:paraId="00000167">
      <w:pPr>
        <w:pageBreakBefore w:val="0"/>
        <w:jc w:val="both"/>
        <w:rPr/>
      </w:pPr>
      <w:r w:rsidDel="00000000" w:rsidR="00000000" w:rsidRPr="00000000">
        <w:rPr>
          <w:rtl w:val="0"/>
        </w:rPr>
        <w:t xml:space="preserve">Among all four cases (5, 10, 15 and 20 percent export growth), energy drilling and mining, vegetables, daily instruments and chemicals account for the allocation portfolio. Compared with the solution of other countries, it is obvious that there is not so much room for ECI improvement, which can be reasoned by the pretty well-rounded economic structure of the United Kingdom. Therefore, carrying on the current production pattern is sufficient for maintaining the ECI at an advanced level. Additionally, given that there is a pretty developed economic structure, the United Kingdom should focus more on the development of energy drilling and mining, which can be beneficial for the production of other industries.</w:t>
      </w:r>
    </w:p>
    <w:p w:rsidR="00000000" w:rsidDel="00000000" w:rsidP="00000000" w:rsidRDefault="00000000" w:rsidRPr="00000000" w14:paraId="00000168">
      <w:pPr>
        <w:pageBreakBefore w:val="0"/>
        <w:jc w:val="both"/>
        <w:rPr/>
      </w:pPr>
      <w:r w:rsidDel="00000000" w:rsidR="00000000" w:rsidRPr="00000000">
        <w:rPr>
          <w:rtl w:val="0"/>
        </w:rPr>
      </w:r>
    </w:p>
    <w:p w:rsidR="00000000" w:rsidDel="00000000" w:rsidP="00000000" w:rsidRDefault="00000000" w:rsidRPr="00000000" w14:paraId="00000169">
      <w:pPr>
        <w:pageBreakBefore w:val="0"/>
        <w:jc w:val="both"/>
        <w:rPr/>
      </w:pPr>
      <w:r w:rsidDel="00000000" w:rsidR="00000000" w:rsidRPr="00000000">
        <w:rPr>
          <w:rtl w:val="0"/>
        </w:rPr>
      </w:r>
    </w:p>
    <w:p w:rsidR="00000000" w:rsidDel="00000000" w:rsidP="00000000" w:rsidRDefault="00000000" w:rsidRPr="00000000" w14:paraId="0000016A">
      <w:pPr>
        <w:pageBreakBefore w:val="0"/>
        <w:jc w:val="both"/>
        <w:rPr/>
      </w:pPr>
      <w:r w:rsidDel="00000000" w:rsidR="00000000" w:rsidRPr="00000000">
        <w:rPr/>
        <w:drawing>
          <wp:inline distB="114300" distT="114300" distL="114300" distR="114300">
            <wp:extent cx="5859919" cy="1995488"/>
            <wp:effectExtent b="0" l="0" r="0" t="0"/>
            <wp:docPr id="27"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859919" cy="1995488"/>
                    </a:xfrm>
                    <a:prstGeom prst="rect"/>
                    <a:ln/>
                  </pic:spPr>
                </pic:pic>
              </a:graphicData>
            </a:graphic>
          </wp:inline>
        </w:drawing>
      </w:r>
      <w:r w:rsidDel="00000000" w:rsidR="00000000" w:rsidRPr="00000000">
        <w:rPr/>
        <w:drawing>
          <wp:inline distB="114300" distT="114300" distL="114300" distR="114300">
            <wp:extent cx="5657850" cy="1876425"/>
            <wp:effectExtent b="0" l="0" r="0" t="0"/>
            <wp:docPr id="18" name="image9.png"/>
            <a:graphic>
              <a:graphicData uri="http://schemas.openxmlformats.org/drawingml/2006/picture">
                <pic:pic>
                  <pic:nvPicPr>
                    <pic:cNvPr id="0" name="image9.png"/>
                    <pic:cNvPicPr preferRelativeResize="0"/>
                  </pic:nvPicPr>
                  <pic:blipFill>
                    <a:blip r:embed="rId23"/>
                    <a:srcRect b="3902" l="1329" r="0" t="0"/>
                    <a:stretch>
                      <a:fillRect/>
                    </a:stretch>
                  </pic:blipFill>
                  <pic:spPr>
                    <a:xfrm>
                      <a:off x="0" y="0"/>
                      <a:ext cx="565785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ageBreakBefore w:val="0"/>
        <w:jc w:val="center"/>
        <w:rPr/>
      </w:pPr>
      <w:r w:rsidDel="00000000" w:rsidR="00000000" w:rsidRPr="00000000">
        <w:rPr>
          <w:rtl w:val="0"/>
        </w:rPr>
        <w:t xml:space="preserve">Figure 5: Greedy Based ECI Improvement Results of the United Kingdom in 2013 with Different Budgets</w:t>
      </w:r>
    </w:p>
    <w:p w:rsidR="00000000" w:rsidDel="00000000" w:rsidP="00000000" w:rsidRDefault="00000000" w:rsidRPr="00000000" w14:paraId="0000016C">
      <w:pPr>
        <w:pageBreakBefore w:val="0"/>
        <w:jc w:val="both"/>
        <w:rPr/>
      </w:pPr>
      <w:r w:rsidDel="00000000" w:rsidR="00000000" w:rsidRPr="00000000">
        <w:rPr>
          <w:rtl w:val="0"/>
        </w:rPr>
      </w:r>
    </w:p>
    <w:p w:rsidR="00000000" w:rsidDel="00000000" w:rsidP="00000000" w:rsidRDefault="00000000" w:rsidRPr="00000000" w14:paraId="0000016D">
      <w:pPr>
        <w:pageBreakBefore w:val="0"/>
        <w:jc w:val="both"/>
        <w:rPr/>
      </w:pPr>
      <w:r w:rsidDel="00000000" w:rsidR="00000000" w:rsidRPr="00000000">
        <w:rPr/>
        <w:drawing>
          <wp:inline distB="114300" distT="114300" distL="114300" distR="114300">
            <wp:extent cx="5731200" cy="901700"/>
            <wp:effectExtent b="0" l="0" r="0" t="0"/>
            <wp:docPr id="39"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jc w:val="both"/>
        <w:rPr/>
      </w:pPr>
      <w:r w:rsidDel="00000000" w:rsidR="00000000" w:rsidRPr="00000000">
        <w:rPr>
          <w:rtl w:val="0"/>
        </w:rPr>
      </w:r>
    </w:p>
    <w:p w:rsidR="00000000" w:rsidDel="00000000" w:rsidP="00000000" w:rsidRDefault="00000000" w:rsidRPr="00000000" w14:paraId="0000016F">
      <w:pPr>
        <w:pageBreakBefore w:val="0"/>
        <w:jc w:val="center"/>
        <w:rPr/>
      </w:pPr>
      <w:r w:rsidDel="00000000" w:rsidR="00000000" w:rsidRPr="00000000">
        <w:rPr>
          <w:rtl w:val="0"/>
        </w:rPr>
        <w:t xml:space="preserve">Table 8: Portfolio of the United Kingdom in 2013</w:t>
      </w:r>
    </w:p>
    <w:p w:rsidR="00000000" w:rsidDel="00000000" w:rsidP="00000000" w:rsidRDefault="00000000" w:rsidRPr="00000000" w14:paraId="00000170">
      <w:pPr>
        <w:pageBreakBefore w:val="0"/>
        <w:jc w:val="both"/>
        <w:rPr/>
      </w:pPr>
      <w:r w:rsidDel="00000000" w:rsidR="00000000" w:rsidRPr="00000000">
        <w:rPr>
          <w:rtl w:val="0"/>
        </w:rPr>
      </w:r>
    </w:p>
    <w:p w:rsidR="00000000" w:rsidDel="00000000" w:rsidP="00000000" w:rsidRDefault="00000000" w:rsidRPr="00000000" w14:paraId="00000171">
      <w:pPr>
        <w:pageBreakBefore w:val="0"/>
        <w:jc w:val="both"/>
        <w:rPr/>
      </w:pPr>
      <w:r w:rsidDel="00000000" w:rsidR="00000000" w:rsidRPr="00000000">
        <w:rPr>
          <w:rtl w:val="0"/>
        </w:rPr>
        <w:t xml:space="preserve">For further suggestions on the United Kingdom’s development in the future. We also offer the optimization result based on export data in 2018. Below is the economic panel for the United Kingdom in 2018. We can see that there is a similar pattern for the ECI improvement trajectories, which is that the improvements in 5, 10, 15 and 20 percent export growth all result in the ECI growth from 1.31 to 1.86. Again, since the United Kingdom is a pretty developed economic entity, the optimization result is very sparse and there are not so many suggestions for future development in terms of ECI improvement. However, one difference between 2013 and 2018 is that energy drilling and mining, which accounts for most of the portfolio in 2013, is now replaced by services and utilities. Additionally, transportations and high-complexity products become more and more important and serve as the second and third largest component in all scenarios. This can be resulted by the growing demand of technology innovation in nowadays society. A more detailed numerical representation of the portfolio is shown in Table 9. </w:t>
      </w:r>
    </w:p>
    <w:p w:rsidR="00000000" w:rsidDel="00000000" w:rsidP="00000000" w:rsidRDefault="00000000" w:rsidRPr="00000000" w14:paraId="00000172">
      <w:pPr>
        <w:pageBreakBefore w:val="0"/>
        <w:jc w:val="both"/>
        <w:rPr/>
      </w:pPr>
      <w:r w:rsidDel="00000000" w:rsidR="00000000" w:rsidRPr="00000000">
        <w:rPr>
          <w:rtl w:val="0"/>
        </w:rPr>
      </w:r>
    </w:p>
    <w:p w:rsidR="00000000" w:rsidDel="00000000" w:rsidP="00000000" w:rsidRDefault="00000000" w:rsidRPr="00000000" w14:paraId="00000173">
      <w:pPr>
        <w:pageBreakBefore w:val="0"/>
        <w:jc w:val="both"/>
        <w:rPr/>
      </w:pPr>
      <w:r w:rsidDel="00000000" w:rsidR="00000000" w:rsidRPr="00000000">
        <w:rPr>
          <w:rtl w:val="0"/>
        </w:rPr>
      </w:r>
    </w:p>
    <w:p w:rsidR="00000000" w:rsidDel="00000000" w:rsidP="00000000" w:rsidRDefault="00000000" w:rsidRPr="00000000" w14:paraId="00000174">
      <w:pPr>
        <w:pageBreakBefore w:val="0"/>
        <w:jc w:val="both"/>
        <w:rPr/>
      </w:pPr>
      <w:r w:rsidDel="00000000" w:rsidR="00000000" w:rsidRPr="00000000">
        <w:rPr/>
        <w:drawing>
          <wp:inline distB="114300" distT="114300" distL="114300" distR="114300">
            <wp:extent cx="5767388" cy="1969814"/>
            <wp:effectExtent b="0" l="0" r="0" t="0"/>
            <wp:docPr id="5"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67388" cy="1969814"/>
                    </a:xfrm>
                    <a:prstGeom prst="rect"/>
                    <a:ln/>
                  </pic:spPr>
                </pic:pic>
              </a:graphicData>
            </a:graphic>
          </wp:inline>
        </w:drawing>
      </w:r>
      <w:r w:rsidDel="00000000" w:rsidR="00000000" w:rsidRPr="00000000">
        <w:rPr/>
        <w:drawing>
          <wp:inline distB="114300" distT="114300" distL="114300" distR="114300">
            <wp:extent cx="5600700" cy="1809750"/>
            <wp:effectExtent b="0" l="0" r="0" t="0"/>
            <wp:docPr id="15" name="image7.png"/>
            <a:graphic>
              <a:graphicData uri="http://schemas.openxmlformats.org/drawingml/2006/picture">
                <pic:pic>
                  <pic:nvPicPr>
                    <pic:cNvPr id="0" name="image7.png"/>
                    <pic:cNvPicPr preferRelativeResize="0"/>
                  </pic:nvPicPr>
                  <pic:blipFill>
                    <a:blip r:embed="rId26"/>
                    <a:srcRect b="7317" l="2326" r="0" t="0"/>
                    <a:stretch>
                      <a:fillRect/>
                    </a:stretch>
                  </pic:blipFill>
                  <pic:spPr>
                    <a:xfrm>
                      <a:off x="0" y="0"/>
                      <a:ext cx="56007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ageBreakBefore w:val="0"/>
        <w:jc w:val="both"/>
        <w:rPr/>
      </w:pPr>
      <w:r w:rsidDel="00000000" w:rsidR="00000000" w:rsidRPr="00000000">
        <w:rPr>
          <w:rtl w:val="0"/>
        </w:rPr>
      </w:r>
    </w:p>
    <w:p w:rsidR="00000000" w:rsidDel="00000000" w:rsidP="00000000" w:rsidRDefault="00000000" w:rsidRPr="00000000" w14:paraId="00000176">
      <w:pPr>
        <w:pageBreakBefore w:val="0"/>
        <w:jc w:val="center"/>
        <w:rPr/>
      </w:pPr>
      <w:r w:rsidDel="00000000" w:rsidR="00000000" w:rsidRPr="00000000">
        <w:rPr>
          <w:rtl w:val="0"/>
        </w:rPr>
        <w:t xml:space="preserve">Figure 6: Greedy Based ECI Improvement Results of the United Kingdom in 2018 with Different Budgets</w:t>
      </w:r>
    </w:p>
    <w:p w:rsidR="00000000" w:rsidDel="00000000" w:rsidP="00000000" w:rsidRDefault="00000000" w:rsidRPr="00000000" w14:paraId="00000177">
      <w:pPr>
        <w:pageBreakBefore w:val="0"/>
        <w:jc w:val="both"/>
        <w:rPr/>
      </w:pPr>
      <w:r w:rsidDel="00000000" w:rsidR="00000000" w:rsidRPr="00000000">
        <w:rPr>
          <w:rtl w:val="0"/>
        </w:rPr>
      </w:r>
    </w:p>
    <w:p w:rsidR="00000000" w:rsidDel="00000000" w:rsidP="00000000" w:rsidRDefault="00000000" w:rsidRPr="00000000" w14:paraId="00000178">
      <w:pPr>
        <w:pageBreakBefore w:val="0"/>
        <w:jc w:val="both"/>
        <w:rPr/>
      </w:pPr>
      <w:r w:rsidDel="00000000" w:rsidR="00000000" w:rsidRPr="00000000">
        <w:rPr/>
        <w:drawing>
          <wp:inline distB="114300" distT="114300" distL="114300" distR="114300">
            <wp:extent cx="5731200" cy="889000"/>
            <wp:effectExtent b="0" l="0" r="0" t="0"/>
            <wp:docPr id="2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ageBreakBefore w:val="0"/>
        <w:jc w:val="both"/>
        <w:rPr/>
      </w:pPr>
      <w:r w:rsidDel="00000000" w:rsidR="00000000" w:rsidRPr="00000000">
        <w:rPr>
          <w:rtl w:val="0"/>
        </w:rPr>
      </w:r>
    </w:p>
    <w:p w:rsidR="00000000" w:rsidDel="00000000" w:rsidP="00000000" w:rsidRDefault="00000000" w:rsidRPr="00000000" w14:paraId="0000017A">
      <w:pPr>
        <w:pageBreakBefore w:val="0"/>
        <w:jc w:val="center"/>
        <w:rPr/>
      </w:pPr>
      <w:r w:rsidDel="00000000" w:rsidR="00000000" w:rsidRPr="00000000">
        <w:rPr>
          <w:rtl w:val="0"/>
        </w:rPr>
        <w:t xml:space="preserve">Table 9: Portfolio of the United Kingdom in 2018</w:t>
      </w:r>
    </w:p>
    <w:p w:rsidR="00000000" w:rsidDel="00000000" w:rsidP="00000000" w:rsidRDefault="00000000" w:rsidRPr="00000000" w14:paraId="0000017B">
      <w:pPr>
        <w:pageBreakBefore w:val="0"/>
        <w:jc w:val="center"/>
        <w:rPr/>
      </w:pPr>
      <w:r w:rsidDel="00000000" w:rsidR="00000000" w:rsidRPr="00000000">
        <w:rPr>
          <w:rtl w:val="0"/>
        </w:rPr>
      </w:r>
    </w:p>
    <w:p w:rsidR="00000000" w:rsidDel="00000000" w:rsidP="00000000" w:rsidRDefault="00000000" w:rsidRPr="00000000" w14:paraId="0000017C">
      <w:pPr>
        <w:jc w:val="both"/>
        <w:rPr/>
      </w:pPr>
      <w:commentRangeStart w:id="30"/>
      <w:r w:rsidDel="00000000" w:rsidR="00000000" w:rsidRPr="00000000">
        <w:rPr>
          <w:rtl w:val="0"/>
        </w:rPr>
        <w:t xml:space="preserve">Updated export data for 2021 yields the following ECI improvement trajectories for the United Kingdom. A new pattern thus emerges with improvements in 5, 10, 15 and 20 percent export growth, as all result in distinct ECI growth, with maximum growth of 1.21 (up from -0.892) reached at 15% export growth. Given the necessary change in exports as a result of the COVID-19 pandemic, 2021 data presents greater potential for development, or more accurately “recovery” development. As in 2013, Energy Drilling and Mining composes as significant part of the portfolio in all scenarios, but unlike in 2018, Services and Utilities contributes minimally. Interestingly, more rudimentary industries like Vegetables, Fruits, and Plants and Precious Stones are shown to contribute significantly, suggesting that in their export strategy in reaction to COVID-19, the UK regressed in terms of complexity, and the next steps to optimize its ECI growth require moving through less complex businesses as in the case of a less developed country.</w:t>
      </w:r>
    </w:p>
    <w:p w:rsidR="00000000" w:rsidDel="00000000" w:rsidP="00000000" w:rsidRDefault="00000000" w:rsidRPr="00000000" w14:paraId="0000017D">
      <w:pPr>
        <w:pageBreakBefore w:val="0"/>
        <w:jc w:val="center"/>
        <w:rPr/>
      </w:pPr>
      <w:r w:rsidDel="00000000" w:rsidR="00000000" w:rsidRPr="00000000">
        <w:rPr>
          <w:rtl w:val="0"/>
        </w:rPr>
      </w:r>
    </w:p>
    <w:p w:rsidR="00000000" w:rsidDel="00000000" w:rsidP="00000000" w:rsidRDefault="00000000" w:rsidRPr="00000000" w14:paraId="0000017E">
      <w:pPr>
        <w:pageBreakBefore w:val="0"/>
        <w:jc w:val="center"/>
        <w:rPr/>
      </w:pPr>
      <w:r w:rsidDel="00000000" w:rsidR="00000000" w:rsidRPr="00000000">
        <w:rPr/>
        <w:drawing>
          <wp:inline distB="114300" distT="114300" distL="114300" distR="114300">
            <wp:extent cx="5734050" cy="2171700"/>
            <wp:effectExtent b="0" l="0" r="0" t="0"/>
            <wp:docPr id="36" name="image30.png"/>
            <a:graphic>
              <a:graphicData uri="http://schemas.openxmlformats.org/drawingml/2006/picture">
                <pic:pic>
                  <pic:nvPicPr>
                    <pic:cNvPr id="0" name="image30.png"/>
                    <pic:cNvPicPr preferRelativeResize="0"/>
                  </pic:nvPicPr>
                  <pic:blipFill>
                    <a:blip r:embed="rId28"/>
                    <a:srcRect b="24252" l="0" r="0" t="0"/>
                    <a:stretch>
                      <a:fillRect/>
                    </a:stretch>
                  </pic:blipFill>
                  <pic:spPr>
                    <a:xfrm>
                      <a:off x="0" y="0"/>
                      <a:ext cx="57340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ageBreakBefore w:val="0"/>
        <w:jc w:val="center"/>
        <w:rPr/>
      </w:pPr>
      <w:r w:rsidDel="00000000" w:rsidR="00000000" w:rsidRPr="00000000">
        <w:rPr/>
        <w:drawing>
          <wp:inline distB="114300" distT="114300" distL="114300" distR="114300">
            <wp:extent cx="5731200" cy="2159000"/>
            <wp:effectExtent b="0" l="0" r="0" t="0"/>
            <wp:docPr id="4"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center"/>
        <w:rPr/>
      </w:pPr>
      <w:r w:rsidDel="00000000" w:rsidR="00000000" w:rsidRPr="00000000">
        <w:rPr>
          <w:rtl w:val="0"/>
        </w:rPr>
        <w:t xml:space="preserve">Figure 7: Greedy Based ECI Improvement Results of the United Kingdom in 2021 with Different Budgets</w:t>
      </w:r>
    </w:p>
    <w:p w:rsidR="00000000" w:rsidDel="00000000" w:rsidP="00000000" w:rsidRDefault="00000000" w:rsidRPr="00000000" w14:paraId="00000181">
      <w:pPr>
        <w:pageBreakBefore w:val="0"/>
        <w:jc w:val="center"/>
        <w:rPr/>
      </w:pPr>
      <w:r w:rsidDel="00000000" w:rsidR="00000000" w:rsidRPr="00000000">
        <w:rPr/>
        <w:drawing>
          <wp:inline distB="114300" distT="114300" distL="114300" distR="114300">
            <wp:extent cx="5731200" cy="1358900"/>
            <wp:effectExtent b="0" l="0" r="0" t="0"/>
            <wp:docPr id="33"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center"/>
        <w:rPr/>
      </w:pPr>
      <w:r w:rsidDel="00000000" w:rsidR="00000000" w:rsidRPr="00000000">
        <w:rPr>
          <w:rtl w:val="0"/>
        </w:rPr>
      </w:r>
    </w:p>
    <w:p w:rsidR="00000000" w:rsidDel="00000000" w:rsidP="00000000" w:rsidRDefault="00000000" w:rsidRPr="00000000" w14:paraId="00000183">
      <w:pPr>
        <w:jc w:val="center"/>
        <w:rPr/>
      </w:pPr>
      <w:r w:rsidDel="00000000" w:rsidR="00000000" w:rsidRPr="00000000">
        <w:rPr>
          <w:rtl w:val="0"/>
        </w:rPr>
        <w:t xml:space="preserve">Table 10: Portfolio of the United Kingdom in 2021</w:t>
      </w:r>
    </w:p>
    <w:p w:rsidR="00000000" w:rsidDel="00000000" w:rsidP="00000000" w:rsidRDefault="00000000" w:rsidRPr="00000000" w14:paraId="00000184">
      <w:pPr>
        <w:pageBreakBefore w:val="0"/>
        <w:jc w:val="center"/>
        <w:rPr/>
      </w:pPr>
      <w:r w:rsidDel="00000000" w:rsidR="00000000" w:rsidRPr="00000000">
        <w:rPr>
          <w:rtl w:val="0"/>
        </w:rPr>
      </w:r>
    </w:p>
    <w:p w:rsidR="00000000" w:rsidDel="00000000" w:rsidP="00000000" w:rsidRDefault="00000000" w:rsidRPr="00000000" w14:paraId="00000185">
      <w:pPr>
        <w:pageBreakBefore w:val="0"/>
        <w:spacing w:after="240" w:before="240" w:line="276" w:lineRule="auto"/>
        <w:rPr>
          <w:i w:val="1"/>
          <w:iCs w:val="1"/>
          <w:sz w:val="28"/>
          <w:szCs w:val="28"/>
        </w:rPr>
      </w:pP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86">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87">
      <w:pPr>
        <w:pageBreakBefore w:val="0"/>
        <w:spacing w:after="240" w:before="240" w:line="276" w:lineRule="auto"/>
        <w:rPr/>
      </w:pPr>
      <w:r w:rsidDel="00000000" w:rsidR="00000000" w:rsidRPr="00000000">
        <w:rPr>
          <w:rtl w:val="0"/>
        </w:rPr>
        <w:t xml:space="preserve">In the following section our broad aim is to understand how sensitive the UK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88">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89">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8A">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8B">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7" name="image1.jpg"/>
            <a:graphic>
              <a:graphicData uri="http://schemas.openxmlformats.org/drawingml/2006/picture">
                <pic:pic>
                  <pic:nvPicPr>
                    <pic:cNvPr id="0" name="image1.jpg"/>
                    <pic:cNvPicPr preferRelativeResize="0"/>
                  </pic:nvPicPr>
                  <pic:blipFill>
                    <a:blip r:embed="rId3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8D">
      <w:pPr>
        <w:pageBreakBefore w:val="0"/>
        <w:jc w:val="both"/>
        <w:rPr>
          <w:b w:val="1"/>
          <w:bCs w:val="1"/>
        </w:rPr>
      </w:pPr>
      <w:r w:rsidDel="00000000" w:rsidR="00000000" w:rsidRPr="00000000">
        <w:rPr>
          <w:rtl w:val="0"/>
        </w:rPr>
      </w:r>
    </w:p>
    <w:p w:rsidR="00000000" w:rsidDel="00000000" w:rsidP="00000000" w:rsidRDefault="00000000" w:rsidRPr="00000000" w14:paraId="0000018E">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8F">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90">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91">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92">
      <w:pPr>
        <w:pageBreakBefore w:val="0"/>
        <w:spacing w:line="276" w:lineRule="auto"/>
        <w:rPr/>
      </w:pP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drawing>
          <wp:inline distB="114300" distT="114300" distL="114300" distR="114300">
            <wp:extent cx="5734050" cy="1739900"/>
            <wp:effectExtent b="0" l="0" r="0" t="0"/>
            <wp:docPr id="11" name="image15.jpg"/>
            <a:graphic>
              <a:graphicData uri="http://schemas.openxmlformats.org/drawingml/2006/picture">
                <pic:pic>
                  <pic:nvPicPr>
                    <pic:cNvPr id="0" name="image15.jpg"/>
                    <pic:cNvPicPr preferRelativeResize="0"/>
                  </pic:nvPicPr>
                  <pic:blipFill>
                    <a:blip r:embed="rId32"/>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95">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96">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97">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98">
      <w:pPr>
        <w:pageBreakBefore w:val="0"/>
        <w:spacing w:line="276" w:lineRule="auto"/>
        <w:rPr/>
      </w:pPr>
      <w:r w:rsidDel="00000000" w:rsidR="00000000" w:rsidRPr="00000000">
        <w:rPr>
          <w:rtl w:val="0"/>
        </w:rPr>
      </w:r>
    </w:p>
    <w:p w:rsidR="00000000" w:rsidDel="00000000" w:rsidP="00000000" w:rsidRDefault="00000000" w:rsidRPr="00000000" w14:paraId="00000199">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6" name="image4.jpg"/>
            <a:graphic>
              <a:graphicData uri="http://schemas.openxmlformats.org/drawingml/2006/picture">
                <pic:pic>
                  <pic:nvPicPr>
                    <pic:cNvPr id="0" name="image4.jpg"/>
                    <pic:cNvPicPr preferRelativeResize="0"/>
                  </pic:nvPicPr>
                  <pic:blipFill>
                    <a:blip r:embed="rId33"/>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9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E">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9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t xml:space="preserve">Below is the United Kingdom’s 2018 ECI Sensitivity Charts. Firstly in the positive chart, we notice immediately that an increase in export in the majority of industries actually causes decreases in ECI. Only Transportation seems to give an immediate increase in ECI level. A large increase in High Complexity Products would also lead to an increase in the ECI level.  </w:t>
      </w:r>
    </w:p>
    <w:p w:rsidR="00000000" w:rsidDel="00000000" w:rsidP="00000000" w:rsidRDefault="00000000" w:rsidRPr="00000000" w14:paraId="000001A1">
      <w:pPr>
        <w:pageBreakBefore w:val="0"/>
        <w:jc w:val="both"/>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Next we consider the United Kingdom’s 2018 Negative Shock chart. We see that for the UK decreasing the export of Food and Preparation could drastically increase the overall ECI for the country. Similarly large decreases in Precious Stones could also increase ECI level. The Uk is most sensitive to decreases in export of High Complexity Products and Machinery and Construction.</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jc w:val="both"/>
        <w:rPr>
          <w:b w:val="1"/>
          <w:bCs w:val="1"/>
        </w:rPr>
      </w:pPr>
      <w:r w:rsidDel="00000000" w:rsidR="00000000" w:rsidRPr="00000000">
        <w:rPr>
          <w:b w:val="1"/>
          <w:bCs w:val="1"/>
        </w:rPr>
        <w:drawing>
          <wp:inline distB="114300" distT="114300" distL="114300" distR="114300">
            <wp:extent cx="5731200" cy="2870200"/>
            <wp:effectExtent b="0" l="0" r="0" t="0"/>
            <wp:docPr id="37" name="image21.jpg"/>
            <a:graphic>
              <a:graphicData uri="http://schemas.openxmlformats.org/drawingml/2006/picture">
                <pic:pic>
                  <pic:nvPicPr>
                    <pic:cNvPr id="0" name="image21.jpg"/>
                    <pic:cNvPicPr preferRelativeResize="0"/>
                  </pic:nvPicPr>
                  <pic:blipFill>
                    <a:blip r:embed="rId3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ageBreakBefore w:val="0"/>
        <w:jc w:val="center"/>
        <w:rPr>
          <w:b w:val="1"/>
          <w:bCs w:val="1"/>
        </w:rPr>
      </w:pPr>
      <w:r w:rsidDel="00000000" w:rsidR="00000000" w:rsidRPr="00000000">
        <w:rPr>
          <w:rtl w:val="0"/>
        </w:rPr>
        <w:t xml:space="preserve">United Kingdom 2018 (Incremental ECI Sensitivity)</w:t>
      </w:r>
      <w:r w:rsidDel="00000000" w:rsidR="00000000" w:rsidRPr="00000000">
        <w:rPr>
          <w:rtl w:val="0"/>
        </w:rPr>
      </w:r>
    </w:p>
    <w:p w:rsidR="00000000" w:rsidDel="00000000" w:rsidP="00000000" w:rsidRDefault="00000000" w:rsidRPr="00000000" w14:paraId="000001A6">
      <w:pPr>
        <w:pageBreakBefore w:val="0"/>
        <w:jc w:val="both"/>
        <w:rPr>
          <w:b w:val="1"/>
          <w:bCs w:val="1"/>
        </w:rPr>
      </w:pPr>
      <w:r w:rsidDel="00000000" w:rsidR="00000000" w:rsidRPr="00000000">
        <w:rPr>
          <w:rtl w:val="0"/>
        </w:rPr>
      </w:r>
    </w:p>
    <w:p w:rsidR="00000000" w:rsidDel="00000000" w:rsidP="00000000" w:rsidRDefault="00000000" w:rsidRPr="00000000" w14:paraId="000001A7">
      <w:pPr>
        <w:pageBreakBefore w:val="0"/>
        <w:jc w:val="both"/>
        <w:rPr>
          <w:b w:val="1"/>
          <w:bCs w:val="1"/>
        </w:rPr>
      </w:pPr>
      <w:r w:rsidDel="00000000" w:rsidR="00000000" w:rsidRPr="00000000">
        <w:rPr>
          <w:b w:val="1"/>
          <w:bCs w:val="1"/>
        </w:rPr>
        <w:drawing>
          <wp:inline distB="114300" distT="114300" distL="114300" distR="114300">
            <wp:extent cx="5731200" cy="2997200"/>
            <wp:effectExtent b="0" l="0" r="0" t="0"/>
            <wp:docPr id="1" name="image2.jpg"/>
            <a:graphic>
              <a:graphicData uri="http://schemas.openxmlformats.org/drawingml/2006/picture">
                <pic:pic>
                  <pic:nvPicPr>
                    <pic:cNvPr id="0" name="image2.jpg"/>
                    <pic:cNvPicPr preferRelativeResize="0"/>
                  </pic:nvPicPr>
                  <pic:blipFill>
                    <a:blip r:embed="rId3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ageBreakBefore w:val="0"/>
        <w:jc w:val="both"/>
        <w:rPr>
          <w:b w:val="1"/>
          <w:bCs w:val="1"/>
        </w:rPr>
      </w:pPr>
      <w:r w:rsidDel="00000000" w:rsidR="00000000" w:rsidRPr="00000000">
        <w:rPr>
          <w:rtl w:val="0"/>
        </w:rPr>
      </w:r>
    </w:p>
    <w:p w:rsidR="00000000" w:rsidDel="00000000" w:rsidP="00000000" w:rsidRDefault="00000000" w:rsidRPr="00000000" w14:paraId="000001A9">
      <w:pPr>
        <w:pageBreakBefore w:val="0"/>
        <w:jc w:val="center"/>
        <w:rPr/>
      </w:pPr>
      <w:r w:rsidDel="00000000" w:rsidR="00000000" w:rsidRPr="00000000">
        <w:rPr>
          <w:rtl w:val="0"/>
        </w:rPr>
        <w:t xml:space="preserve">United Kingdom 2018 (Decremental  ECI Sensitivity)</w:t>
      </w:r>
    </w:p>
    <w:p w:rsidR="00000000" w:rsidDel="00000000" w:rsidP="00000000" w:rsidRDefault="00000000" w:rsidRPr="00000000" w14:paraId="000001AA">
      <w:pPr>
        <w:pageBreakBefore w:val="0"/>
        <w:jc w:val="center"/>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Next we consider the 2013 ECI Sensitivity graphs. We see that in the positive shocking case, even a small increase in High Complexity Products could drastically improve the ECI index. Similarly to 2018, an increase in Transportation would also increase ECI level. Increases in export of most other industries lead to decreasing ECI scores.  </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In the 2013 negative shocking case, we see that again the UK could benefit from a decrease in Transportation and Precious Stones. In addition, large decreases in Energy, Drilling, and Mining could increase the ECI score. In 2013, the UK was incredibly sensitive to reductions in Machinery and Construction. </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drawing>
          <wp:inline distB="114300" distT="114300" distL="114300" distR="114300">
            <wp:extent cx="5731200" cy="2857500"/>
            <wp:effectExtent b="0" l="0" r="0" t="0"/>
            <wp:docPr id="32" name="image24.jpg"/>
            <a:graphic>
              <a:graphicData uri="http://schemas.openxmlformats.org/drawingml/2006/picture">
                <pic:pic>
                  <pic:nvPicPr>
                    <pic:cNvPr id="0" name="image24.jpg"/>
                    <pic:cNvPicPr preferRelativeResize="0"/>
                  </pic:nvPicPr>
                  <pic:blipFill>
                    <a:blip r:embed="rId3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ageBreakBefore w:val="0"/>
        <w:jc w:val="both"/>
        <w:rPr>
          <w:b w:val="1"/>
          <w:bCs w:val="1"/>
        </w:rPr>
      </w:pPr>
      <w:r w:rsidDel="00000000" w:rsidR="00000000" w:rsidRPr="00000000">
        <w:rPr>
          <w:rtl w:val="0"/>
        </w:rPr>
      </w:r>
    </w:p>
    <w:p w:rsidR="00000000" w:rsidDel="00000000" w:rsidP="00000000" w:rsidRDefault="00000000" w:rsidRPr="00000000" w14:paraId="000001B2">
      <w:pPr>
        <w:pageBreakBefore w:val="0"/>
        <w:jc w:val="center"/>
        <w:rPr/>
      </w:pPr>
      <w:r w:rsidDel="00000000" w:rsidR="00000000" w:rsidRPr="00000000">
        <w:rPr>
          <w:rtl w:val="0"/>
        </w:rPr>
        <w:t xml:space="preserve">United Kingdom 2013 (Incremental ECI Sensitivity)</w:t>
      </w:r>
    </w:p>
    <w:p w:rsidR="00000000" w:rsidDel="00000000" w:rsidP="00000000" w:rsidRDefault="00000000" w:rsidRPr="00000000" w14:paraId="000001B3">
      <w:pPr>
        <w:pageBreakBefore w:val="0"/>
        <w:jc w:val="center"/>
        <w:rPr/>
      </w:pPr>
      <w:r w:rsidDel="00000000" w:rsidR="00000000" w:rsidRPr="00000000">
        <w:rPr>
          <w:rtl w:val="0"/>
        </w:rPr>
      </w:r>
    </w:p>
    <w:p w:rsidR="00000000" w:rsidDel="00000000" w:rsidP="00000000" w:rsidRDefault="00000000" w:rsidRPr="00000000" w14:paraId="000001B4">
      <w:pPr>
        <w:pageBreakBefore w:val="0"/>
        <w:jc w:val="both"/>
        <w:rPr>
          <w:b w:val="1"/>
          <w:bCs w:val="1"/>
        </w:rPr>
      </w:pPr>
      <w:r w:rsidDel="00000000" w:rsidR="00000000" w:rsidRPr="00000000">
        <w:rPr>
          <w:b w:val="1"/>
          <w:bCs w:val="1"/>
        </w:rPr>
        <w:drawing>
          <wp:inline distB="114300" distT="114300" distL="114300" distR="114300">
            <wp:extent cx="5731200" cy="2997200"/>
            <wp:effectExtent b="0" l="0" r="0" t="0"/>
            <wp:docPr id="28" name="image17.jpg"/>
            <a:graphic>
              <a:graphicData uri="http://schemas.openxmlformats.org/drawingml/2006/picture">
                <pic:pic>
                  <pic:nvPicPr>
                    <pic:cNvPr id="0" name="image17.jpg"/>
                    <pic:cNvPicPr preferRelativeResize="0"/>
                  </pic:nvPicPr>
                  <pic:blipFill>
                    <a:blip r:embed="rId3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ageBreakBefore w:val="0"/>
        <w:jc w:val="center"/>
        <w:rPr/>
      </w:pPr>
      <w:r w:rsidDel="00000000" w:rsidR="00000000" w:rsidRPr="00000000">
        <w:rPr>
          <w:rtl w:val="0"/>
        </w:rPr>
        <w:t xml:space="preserve">United Kingdom 2013 (Decremental  ECI Sensitivity)</w:t>
      </w:r>
    </w:p>
    <w:p w:rsidR="00000000" w:rsidDel="00000000" w:rsidP="00000000" w:rsidRDefault="00000000" w:rsidRPr="00000000" w14:paraId="000001B6">
      <w:pPr>
        <w:pageBreakBefore w:val="0"/>
        <w:jc w:val="both"/>
        <w:rPr>
          <w:b w:val="1"/>
          <w:bCs w:val="1"/>
        </w:rPr>
      </w:pPr>
      <w:r w:rsidDel="00000000" w:rsidR="00000000" w:rsidRPr="00000000">
        <w:rPr>
          <w:rtl w:val="0"/>
        </w:rPr>
      </w:r>
    </w:p>
    <w:p w:rsidR="00000000" w:rsidDel="00000000" w:rsidP="00000000" w:rsidRDefault="00000000" w:rsidRPr="00000000" w14:paraId="000001B7">
      <w:pPr>
        <w:pageBreakBefore w:val="0"/>
        <w:jc w:val="both"/>
        <w:rPr>
          <w:b w:val="1"/>
          <w:bCs w:val="1"/>
        </w:rPr>
      </w:pPr>
      <w:r w:rsidDel="00000000" w:rsidR="00000000" w:rsidRPr="00000000">
        <w:rPr>
          <w:rtl w:val="0"/>
        </w:rPr>
      </w:r>
    </w:p>
    <w:p w:rsidR="00000000" w:rsidDel="00000000" w:rsidP="00000000" w:rsidRDefault="00000000" w:rsidRPr="00000000" w14:paraId="000001B8">
      <w:pPr>
        <w:pageBreakBefore w:val="0"/>
        <w:jc w:val="both"/>
        <w:rPr>
          <w:b w:val="1"/>
          <w:bCs w:val="1"/>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Below we see the SDV sensitivity charts for High Complexity Products and Food and Preparations</w:t>
      </w:r>
      <w:commentRangeStart w:id="31"/>
      <w:r w:rsidDel="00000000" w:rsidR="00000000" w:rsidRPr="00000000">
        <w:rPr>
          <w:rtl w:val="0"/>
        </w:rPr>
        <w:t xml:space="preserve"> in 2018</w:t>
      </w:r>
      <w:commentRangeEnd w:id="31"/>
      <w:r w:rsidDel="00000000" w:rsidR="00000000" w:rsidRPr="00000000">
        <w:commentReference w:id="31"/>
      </w:r>
      <w:r w:rsidDel="00000000" w:rsidR="00000000" w:rsidRPr="00000000">
        <w:rPr>
          <w:rtl w:val="0"/>
        </w:rPr>
        <w:t xml:space="preserve">. </w:t>
      </w:r>
      <w:commentRangeStart w:id="32"/>
      <w:r w:rsidDel="00000000" w:rsidR="00000000" w:rsidRPr="00000000">
        <w:rPr>
          <w:rtl w:val="0"/>
        </w:rPr>
        <w:t xml:space="preserve">The UK’s SDV was shown to be quite sensitive to decrements to export level in High Complexity Products in 2018. This helps explain the decrease in the UK’s ECI over the course of the pandemic, as demand for High Complexity Products decreased globally, thus decreasing the UK’s export of these</w:t>
      </w:r>
      <w:commentRangeStart w:id="33"/>
      <w:r w:rsidDel="00000000" w:rsidR="00000000" w:rsidRPr="00000000">
        <w:rPr>
          <w:rtl w:val="0"/>
        </w:rPr>
        <w:t xml:space="preserve">. </w:t>
      </w:r>
      <w:commentRangeEnd w:id="32"/>
      <w:r w:rsidDel="00000000" w:rsidR="00000000" w:rsidRPr="00000000">
        <w:commentReference w:id="32"/>
      </w:r>
      <w:r w:rsidDel="00000000" w:rsidR="00000000" w:rsidRPr="00000000">
        <w:rPr>
          <w:rtl w:val="0"/>
        </w:rPr>
        <w:t xml:space="preserve">In 2018, Vegetables,</w:t>
      </w:r>
      <w:commentRangeEnd w:id="33"/>
      <w:r w:rsidDel="00000000" w:rsidR="00000000" w:rsidRPr="00000000">
        <w:commentReference w:id="33"/>
      </w:r>
      <w:r w:rsidDel="00000000" w:rsidR="00000000" w:rsidRPr="00000000">
        <w:rPr>
          <w:rtl w:val="0"/>
        </w:rPr>
        <w:t xml:space="preserve"> Fruits, and Plants seems to be the leading industry if a drawdown in High Complexity Products is experienced. In fact it becomes the only positive opportunity gain industry after major drawdowns in High Complexity products.</w:t>
      </w:r>
      <w:commentRangeStart w:id="34"/>
      <w:r w:rsidDel="00000000" w:rsidR="00000000" w:rsidRPr="00000000">
        <w:rPr>
          <w:rtl w:val="0"/>
        </w:rPr>
        <w:t xml:space="preserve"> Again, this helps explain why the UK’s GDP grew despite a decrease in ECI: it focused on Vegetables, Fruits, and Plants as major exports given the drawdown in High Complexity Products, despite its low contribution to ECI.</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The UK’s SDV is fairly insensitive to changes in health of the Food and Preparations industry </w:t>
      </w:r>
      <w:commentRangeStart w:id="35"/>
      <w:r w:rsidDel="00000000" w:rsidR="00000000" w:rsidRPr="00000000">
        <w:rPr>
          <w:rtl w:val="0"/>
        </w:rPr>
        <w:t xml:space="preserve">in 2018</w:t>
      </w:r>
      <w:commentRangeEnd w:id="35"/>
      <w:r w:rsidDel="00000000" w:rsidR="00000000" w:rsidRPr="00000000">
        <w:commentReference w:id="35"/>
      </w:r>
      <w:r w:rsidDel="00000000" w:rsidR="00000000" w:rsidRPr="00000000">
        <w:rPr>
          <w:rtl w:val="0"/>
        </w:rPr>
        <w:t xml:space="preserve">, since this is not a major industry for the UK. We need to see very large increases in export to cause any change in the SDV. On the decremental side, we see that the SDV again is fairly stable with respect to decreases in export. Vegetables, Fruits, and Plants again seem to be the highest opportunity gain industries. </w:t>
      </w:r>
    </w:p>
    <w:p w:rsidR="00000000" w:rsidDel="00000000" w:rsidP="00000000" w:rsidRDefault="00000000" w:rsidRPr="00000000" w14:paraId="000001BC">
      <w:pPr>
        <w:pageBreakBefore w:val="0"/>
        <w:jc w:val="both"/>
        <w:rPr>
          <w:b w:val="1"/>
          <w:bCs w:val="1"/>
        </w:rPr>
      </w:pPr>
      <w:r w:rsidDel="00000000" w:rsidR="00000000" w:rsidRPr="00000000">
        <w:rPr>
          <w:rtl w:val="0"/>
        </w:rPr>
      </w:r>
    </w:p>
    <w:p w:rsidR="00000000" w:rsidDel="00000000" w:rsidP="00000000" w:rsidRDefault="00000000" w:rsidRPr="00000000" w14:paraId="000001BD">
      <w:pPr>
        <w:pageBreakBefore w:val="0"/>
        <w:jc w:val="center"/>
        <w:rPr>
          <w:b w:val="1"/>
          <w:bCs w:val="1"/>
        </w:rPr>
      </w:pPr>
      <w:r w:rsidDel="00000000" w:rsidR="00000000" w:rsidRPr="00000000">
        <w:rPr>
          <w:b w:val="1"/>
          <w:bCs w:val="1"/>
        </w:rPr>
        <w:drawing>
          <wp:inline distB="114300" distT="114300" distL="114300" distR="114300">
            <wp:extent cx="4759163" cy="2499560"/>
            <wp:effectExtent b="0" l="0" r="0" t="0"/>
            <wp:docPr id="26" name="image25.jpg"/>
            <a:graphic>
              <a:graphicData uri="http://schemas.openxmlformats.org/drawingml/2006/picture">
                <pic:pic>
                  <pic:nvPicPr>
                    <pic:cNvPr id="0" name="image25.jpg"/>
                    <pic:cNvPicPr preferRelativeResize="0"/>
                  </pic:nvPicPr>
                  <pic:blipFill>
                    <a:blip r:embed="rId38"/>
                    <a:srcRect b="0" l="0" r="0" t="0"/>
                    <a:stretch>
                      <a:fillRect/>
                    </a:stretch>
                  </pic:blipFill>
                  <pic:spPr>
                    <a:xfrm>
                      <a:off x="0" y="0"/>
                      <a:ext cx="4759163" cy="249956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ageBreakBefore w:val="0"/>
        <w:ind w:left="720" w:firstLine="720"/>
        <w:jc w:val="center"/>
        <w:rPr/>
      </w:pPr>
      <w:r w:rsidDel="00000000" w:rsidR="00000000" w:rsidRPr="00000000">
        <w:rPr>
          <w:rtl w:val="0"/>
        </w:rPr>
        <w:t xml:space="preserve">United Kingdom High-complexity Products 2018 (Incremental SDV Sensitivity)</w:t>
      </w:r>
    </w:p>
    <w:p w:rsidR="00000000" w:rsidDel="00000000" w:rsidP="00000000" w:rsidRDefault="00000000" w:rsidRPr="00000000" w14:paraId="000001BF">
      <w:pPr>
        <w:pageBreakBefore w:val="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228600</wp:posOffset>
            </wp:positionV>
            <wp:extent cx="7148513" cy="1554469"/>
            <wp:effectExtent b="0" l="0" r="0" t="0"/>
            <wp:wrapSquare wrapText="bothSides" distB="114300" distT="114300" distL="114300" distR="114300"/>
            <wp:docPr id="16" name="image11.jpg"/>
            <a:graphic>
              <a:graphicData uri="http://schemas.openxmlformats.org/drawingml/2006/picture">
                <pic:pic>
                  <pic:nvPicPr>
                    <pic:cNvPr id="0" name="image11.jpg"/>
                    <pic:cNvPicPr preferRelativeResize="0"/>
                  </pic:nvPicPr>
                  <pic:blipFill>
                    <a:blip r:embed="rId39"/>
                    <a:srcRect b="0" l="0" r="0" t="0"/>
                    <a:stretch>
                      <a:fillRect/>
                    </a:stretch>
                  </pic:blipFill>
                  <pic:spPr>
                    <a:xfrm>
                      <a:off x="0" y="0"/>
                      <a:ext cx="7148513" cy="1554469"/>
                    </a:xfrm>
                    <a:prstGeom prst="rect"/>
                    <a:ln/>
                  </pic:spPr>
                </pic:pic>
              </a:graphicData>
            </a:graphic>
          </wp:anchor>
        </w:drawing>
      </w:r>
    </w:p>
    <w:p w:rsidR="00000000" w:rsidDel="00000000" w:rsidP="00000000" w:rsidRDefault="00000000" w:rsidRPr="00000000" w14:paraId="000001C0">
      <w:pPr>
        <w:pageBreakBefore w:val="0"/>
        <w:ind w:left="720" w:firstLine="720"/>
        <w:jc w:val="center"/>
        <w:rPr/>
      </w:pPr>
      <w:r w:rsidDel="00000000" w:rsidR="00000000" w:rsidRPr="00000000">
        <w:rPr>
          <w:rtl w:val="0"/>
        </w:rPr>
        <w:t xml:space="preserve">United Kingdom</w:t>
      </w:r>
      <w:r w:rsidDel="00000000" w:rsidR="00000000" w:rsidRPr="00000000">
        <w:rPr>
          <w:rtl w:val="0"/>
        </w:rPr>
        <w:t xml:space="preserve"> High-complexity Products 2018 (Decremental SDV Sensitivity)</w:t>
      </w:r>
    </w:p>
    <w:p w:rsidR="00000000" w:rsidDel="00000000" w:rsidP="00000000" w:rsidRDefault="00000000" w:rsidRPr="00000000" w14:paraId="000001C1">
      <w:pPr>
        <w:pageBreakBefore w:val="0"/>
        <w:ind w:left="720" w:firstLine="720"/>
        <w:jc w:val="center"/>
        <w:rPr/>
      </w:pPr>
      <w:r w:rsidDel="00000000" w:rsidR="00000000" w:rsidRPr="00000000">
        <w:rPr>
          <w:rtl w:val="0"/>
        </w:rPr>
      </w:r>
    </w:p>
    <w:p w:rsidR="00000000" w:rsidDel="00000000" w:rsidP="00000000" w:rsidRDefault="00000000" w:rsidRPr="00000000" w14:paraId="000001C2">
      <w:pPr>
        <w:pageBreakBefore w:val="0"/>
        <w:ind w:left="720" w:firstLine="720"/>
        <w:jc w:val="center"/>
        <w:rPr/>
      </w:pPr>
      <w:r w:rsidDel="00000000" w:rsidR="00000000" w:rsidRPr="00000000">
        <w:rPr/>
        <w:drawing>
          <wp:inline distB="114300" distT="114300" distL="114300" distR="114300">
            <wp:extent cx="2692238" cy="2726753"/>
            <wp:effectExtent b="0" l="0" r="0" t="0"/>
            <wp:docPr id="38" name="image23.jpg"/>
            <a:graphic>
              <a:graphicData uri="http://schemas.openxmlformats.org/drawingml/2006/picture">
                <pic:pic>
                  <pic:nvPicPr>
                    <pic:cNvPr id="0" name="image23.jpg"/>
                    <pic:cNvPicPr preferRelativeResize="0"/>
                  </pic:nvPicPr>
                  <pic:blipFill>
                    <a:blip r:embed="rId40"/>
                    <a:srcRect b="0" l="0" r="0" t="0"/>
                    <a:stretch>
                      <a:fillRect/>
                    </a:stretch>
                  </pic:blipFill>
                  <pic:spPr>
                    <a:xfrm>
                      <a:off x="0" y="0"/>
                      <a:ext cx="2692238" cy="2726753"/>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ageBreakBefore w:val="0"/>
        <w:jc w:val="both"/>
        <w:rPr>
          <w:b w:val="1"/>
          <w:bCs w:val="1"/>
        </w:rPr>
      </w:pPr>
      <w:r w:rsidDel="00000000" w:rsidR="00000000" w:rsidRPr="00000000">
        <w:rPr>
          <w:rtl w:val="0"/>
        </w:rPr>
      </w:r>
    </w:p>
    <w:p w:rsidR="00000000" w:rsidDel="00000000" w:rsidP="00000000" w:rsidRDefault="00000000" w:rsidRPr="00000000" w14:paraId="000001C4">
      <w:pPr>
        <w:pageBreakBefore w:val="0"/>
        <w:ind w:left="720" w:firstLine="720"/>
        <w:jc w:val="center"/>
        <w:rPr/>
      </w:pPr>
      <w:r w:rsidDel="00000000" w:rsidR="00000000" w:rsidRPr="00000000">
        <w:rPr>
          <w:rtl w:val="0"/>
        </w:rPr>
        <w:t xml:space="preserve">United Kingdom Food &amp; Preparations 2018 (Incremental SDV Sensitivity)</w:t>
      </w:r>
    </w:p>
    <w:p w:rsidR="00000000" w:rsidDel="00000000" w:rsidP="00000000" w:rsidRDefault="00000000" w:rsidRPr="00000000" w14:paraId="000001C5">
      <w:pPr>
        <w:pageBreakBefore w:val="0"/>
        <w:ind w:left="720" w:firstLine="720"/>
        <w:jc w:val="center"/>
        <w:rPr/>
      </w:pPr>
      <w:r w:rsidDel="00000000" w:rsidR="00000000" w:rsidRPr="00000000">
        <w:rPr>
          <w:rtl w:val="0"/>
        </w:rPr>
      </w:r>
    </w:p>
    <w:p w:rsidR="00000000" w:rsidDel="00000000" w:rsidP="00000000" w:rsidRDefault="00000000" w:rsidRPr="00000000" w14:paraId="000001C6">
      <w:pPr>
        <w:pageBreakBefore w:val="0"/>
        <w:ind w:left="720" w:firstLine="720"/>
        <w:jc w:val="center"/>
        <w:rPr/>
      </w:pPr>
      <w:r w:rsidDel="00000000" w:rsidR="00000000" w:rsidRPr="00000000">
        <w:rPr/>
        <w:drawing>
          <wp:inline distB="114300" distT="114300" distL="114300" distR="114300">
            <wp:extent cx="3816927" cy="2624138"/>
            <wp:effectExtent b="0" l="0" r="0" t="0"/>
            <wp:docPr id="34" name="image22.jpg"/>
            <a:graphic>
              <a:graphicData uri="http://schemas.openxmlformats.org/drawingml/2006/picture">
                <pic:pic>
                  <pic:nvPicPr>
                    <pic:cNvPr id="0" name="image22.jpg"/>
                    <pic:cNvPicPr preferRelativeResize="0"/>
                  </pic:nvPicPr>
                  <pic:blipFill>
                    <a:blip r:embed="rId41"/>
                    <a:srcRect b="0" l="0" r="0" t="0"/>
                    <a:stretch>
                      <a:fillRect/>
                    </a:stretch>
                  </pic:blipFill>
                  <pic:spPr>
                    <a:xfrm>
                      <a:off x="0" y="0"/>
                      <a:ext cx="3816927"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ageBreakBefore w:val="0"/>
        <w:ind w:left="720" w:firstLine="720"/>
        <w:jc w:val="center"/>
        <w:rPr/>
      </w:pPr>
      <w:r w:rsidDel="00000000" w:rsidR="00000000" w:rsidRPr="00000000">
        <w:rPr>
          <w:rtl w:val="0"/>
        </w:rPr>
      </w:r>
    </w:p>
    <w:p w:rsidR="00000000" w:rsidDel="00000000" w:rsidP="00000000" w:rsidRDefault="00000000" w:rsidRPr="00000000" w14:paraId="000001C8">
      <w:pPr>
        <w:pageBreakBefore w:val="0"/>
        <w:ind w:left="720" w:firstLine="720"/>
        <w:jc w:val="center"/>
        <w:rPr/>
      </w:pPr>
      <w:r w:rsidDel="00000000" w:rsidR="00000000" w:rsidRPr="00000000">
        <w:rPr>
          <w:rtl w:val="0"/>
        </w:rPr>
        <w:t xml:space="preserve">United Kingdom Food &amp; Preparations 2018 (Decremental SDV Sensitivity)</w:t>
      </w:r>
    </w:p>
    <w:p w:rsidR="00000000" w:rsidDel="00000000" w:rsidP="00000000" w:rsidRDefault="00000000" w:rsidRPr="00000000" w14:paraId="000001C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B">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C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D">
      <w:pPr>
        <w:pageBreakBefore w:val="0"/>
        <w:jc w:val="both"/>
        <w:rPr>
          <w:b w:val="1"/>
          <w:bCs w:val="1"/>
          <w:sz w:val="28"/>
          <w:szCs w:val="28"/>
        </w:rPr>
      </w:pPr>
      <w:r w:rsidDel="00000000" w:rsidR="00000000" w:rsidRPr="00000000">
        <w:rPr>
          <w:rtl w:val="0"/>
        </w:rPr>
        <w:t xml:space="preserve">Decreasing export of each industry in UK’s </w:t>
      </w:r>
      <w:commentRangeStart w:id="36"/>
      <w:r w:rsidDel="00000000" w:rsidR="00000000" w:rsidRPr="00000000">
        <w:rPr>
          <w:rtl w:val="0"/>
        </w:rPr>
        <w:t xml:space="preserve">2018</w:t>
      </w:r>
      <w:commentRangeEnd w:id="36"/>
      <w:r w:rsidDel="00000000" w:rsidR="00000000" w:rsidRPr="00000000">
        <w:commentReference w:id="36"/>
      </w:r>
      <w:r w:rsidDel="00000000" w:rsidR="00000000" w:rsidRPr="00000000">
        <w:rPr>
          <w:rtl w:val="0"/>
        </w:rPr>
        <w:t xml:space="preserve"> production space by 60% respectively, we derive the contingency strategy shown below.  </w:t>
      </w:r>
      <w:r w:rsidDel="00000000" w:rsidR="00000000" w:rsidRPr="00000000">
        <w:rPr>
          <w:rtl w:val="0"/>
        </w:rPr>
      </w:r>
    </w:p>
    <w:p w:rsidR="00000000" w:rsidDel="00000000" w:rsidP="00000000" w:rsidRDefault="00000000" w:rsidRPr="00000000" w14:paraId="000001C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F">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498755" cy="2852738"/>
            <wp:effectExtent b="0" l="0" r="0" t="0"/>
            <wp:docPr id="21" name="image5.jpg"/>
            <a:graphic>
              <a:graphicData uri="http://schemas.openxmlformats.org/drawingml/2006/picture">
                <pic:pic>
                  <pic:nvPicPr>
                    <pic:cNvPr id="0" name="image5.jpg"/>
                    <pic:cNvPicPr preferRelativeResize="0"/>
                  </pic:nvPicPr>
                  <pic:blipFill>
                    <a:blip r:embed="rId42"/>
                    <a:srcRect b="0" l="0" r="0" t="0"/>
                    <a:stretch>
                      <a:fillRect/>
                    </a:stretch>
                  </pic:blipFill>
                  <pic:spPr>
                    <a:xfrm>
                      <a:off x="0" y="0"/>
                      <a:ext cx="5498755"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D1">
      <w:pPr>
        <w:pageBreakBefore w:val="0"/>
        <w:jc w:val="center"/>
        <w:rPr>
          <w:sz w:val="22"/>
          <w:szCs w:val="22"/>
        </w:rPr>
      </w:pPr>
      <w:r w:rsidDel="00000000" w:rsidR="00000000" w:rsidRPr="00000000">
        <w:rPr>
          <w:sz w:val="22"/>
          <w:szCs w:val="22"/>
          <w:rtl w:val="0"/>
        </w:rPr>
        <w:t xml:space="preserve">United Kingdom Contingency Strategy 2018</w:t>
      </w:r>
    </w:p>
    <w:p w:rsidR="00000000" w:rsidDel="00000000" w:rsidP="00000000" w:rsidRDefault="00000000" w:rsidRPr="00000000" w14:paraId="000001D2">
      <w:pPr>
        <w:pageBreakBefore w:val="0"/>
        <w:jc w:val="center"/>
        <w:rPr>
          <w:sz w:val="22"/>
          <w:szCs w:val="22"/>
        </w:rPr>
      </w:pPr>
      <w:r w:rsidDel="00000000" w:rsidR="00000000" w:rsidRPr="00000000">
        <w:rPr>
          <w:rtl w:val="0"/>
        </w:rPr>
      </w:r>
    </w:p>
    <w:p w:rsidR="00000000" w:rsidDel="00000000" w:rsidP="00000000" w:rsidRDefault="00000000" w:rsidRPr="00000000" w14:paraId="000001D3">
      <w:pPr>
        <w:pageBreakBefore w:val="0"/>
        <w:rPr>
          <w:sz w:val="22"/>
          <w:szCs w:val="22"/>
        </w:rPr>
      </w:pPr>
      <w:commentRangeStart w:id="37"/>
      <w:r w:rsidDel="00000000" w:rsidR="00000000" w:rsidRPr="00000000">
        <w:rPr>
          <w:sz w:val="22"/>
          <w:szCs w:val="22"/>
          <w:rtl w:val="0"/>
        </w:rPr>
        <w:t xml:space="preserve">Based on the UK’s RID for 2021, we note that the contingency strategy recommended by our algorithm in 2018 is mirrored by the UK’s development strategy over the course of the pandemic. As such, it supports the reasoning behind the UK’s increase in GDP between 2019 and 2021. </w:t>
      </w:r>
    </w:p>
    <w:p w:rsidR="00000000" w:rsidDel="00000000" w:rsidP="00000000" w:rsidRDefault="00000000" w:rsidRPr="00000000" w14:paraId="000001D4">
      <w:pPr>
        <w:pageBreakBefore w:val="0"/>
        <w:jc w:val="both"/>
        <w:rPr>
          <w:b w:val="1"/>
          <w:bCs w:val="1"/>
        </w:rPr>
      </w:pPr>
      <w:r w:rsidDel="00000000" w:rsidR="00000000" w:rsidRPr="00000000">
        <w:rPr>
          <w:rtl w:val="0"/>
        </w:rPr>
      </w:r>
    </w:p>
    <w:p w:rsidR="00000000" w:rsidDel="00000000" w:rsidP="00000000" w:rsidRDefault="00000000" w:rsidRPr="00000000" w14:paraId="000001D5">
      <w:pPr>
        <w:pageBreakBefore w:val="0"/>
        <w:jc w:val="both"/>
        <w:rPr>
          <w:b w:val="1"/>
          <w:bCs w:val="1"/>
        </w:rPr>
      </w:pP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D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D7">
      <w:pPr>
        <w:pageBreakBefore w:val="0"/>
        <w:jc w:val="both"/>
        <w:rPr>
          <w:b w:val="1"/>
          <w:bCs w:val="1"/>
        </w:rPr>
      </w:pPr>
      <w:r w:rsidDel="00000000" w:rsidR="00000000" w:rsidRPr="00000000">
        <w:rPr>
          <w:rtl w:val="0"/>
        </w:rPr>
      </w:r>
    </w:p>
    <w:p w:rsidR="00000000" w:rsidDel="00000000" w:rsidP="00000000" w:rsidRDefault="00000000" w:rsidRPr="00000000" w14:paraId="000001D8">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D9">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DA">
      <w:pPr>
        <w:pageBreakBefore w:val="0"/>
        <w:jc w:val="both"/>
        <w:rPr/>
      </w:pPr>
      <w:r w:rsidDel="00000000" w:rsidR="00000000" w:rsidRPr="00000000">
        <w:rPr>
          <w:rtl w:val="0"/>
        </w:rPr>
      </w:r>
    </w:p>
    <w:p w:rsidR="00000000" w:rsidDel="00000000" w:rsidP="00000000" w:rsidRDefault="00000000" w:rsidRPr="00000000" w14:paraId="000001DB">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DC">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jc w:val="center"/>
              <w:rPr>
                <w:sz w:val="22"/>
                <w:szCs w:val="22"/>
              </w:rPr>
            </w:pPr>
            <w:r w:rsidDel="00000000" w:rsidR="00000000" w:rsidRPr="00000000">
              <w:rPr>
                <w:sz w:val="22"/>
                <w:szCs w:val="22"/>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rPr>
                <w:sz w:val="22"/>
                <w:szCs w:val="22"/>
              </w:rPr>
            </w:pPr>
            <w:r w:rsidDel="00000000" w:rsidR="00000000" w:rsidRPr="00000000">
              <w:rPr>
                <w:b w:val="1"/>
                <w:bCs w:val="1"/>
                <w:sz w:val="22"/>
                <w:szCs w:val="22"/>
                <w:rtl w:val="0"/>
              </w:rPr>
              <w:t xml:space="preserve">Dep. Variable: </w:t>
            </w:r>
            <w:r w:rsidDel="00000000" w:rsidR="00000000" w:rsidRPr="00000000">
              <w:rPr>
                <w:sz w:val="22"/>
                <w:szCs w:val="22"/>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widowControl w:val="0"/>
              <w:rPr>
                <w:sz w:val="22"/>
                <w:szCs w:val="22"/>
              </w:rPr>
            </w:pPr>
            <w:r w:rsidDel="00000000" w:rsidR="00000000" w:rsidRPr="00000000">
              <w:rPr>
                <w:b w:val="1"/>
                <w:bCs w:val="1"/>
                <w:sz w:val="22"/>
                <w:szCs w:val="22"/>
                <w:rtl w:val="0"/>
              </w:rPr>
              <w:t xml:space="preserve">F-Statistic: </w:t>
            </w:r>
            <w:r w:rsidDel="00000000" w:rsidR="00000000" w:rsidRPr="00000000">
              <w:rPr>
                <w:sz w:val="22"/>
                <w:szCs w:val="22"/>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widowControl w:val="0"/>
              <w:rPr>
                <w:sz w:val="22"/>
                <w:szCs w:val="22"/>
              </w:rPr>
            </w:pPr>
            <w:r w:rsidDel="00000000" w:rsidR="00000000" w:rsidRPr="00000000">
              <w:rPr>
                <w:b w:val="1"/>
                <w:bCs w:val="1"/>
                <w:sz w:val="22"/>
                <w:szCs w:val="22"/>
                <w:rtl w:val="0"/>
              </w:rPr>
              <w:t xml:space="preserve">R</w:t>
            </w:r>
            <w:r w:rsidDel="00000000" w:rsidR="00000000" w:rsidRPr="00000000">
              <w:rPr>
                <w:b w:val="1"/>
                <w:bCs w:val="1"/>
                <w:sz w:val="22"/>
                <w:szCs w:val="22"/>
                <w:vertAlign w:val="superscript"/>
                <w:rtl w:val="0"/>
              </w:rPr>
              <w:t xml:space="preserve">2</w:t>
            </w:r>
            <w:r w:rsidDel="00000000" w:rsidR="00000000" w:rsidRPr="00000000">
              <w:rPr>
                <w:b w:val="1"/>
                <w:bCs w:val="1"/>
                <w:sz w:val="22"/>
                <w:szCs w:val="22"/>
                <w:rtl w:val="0"/>
              </w:rPr>
              <w:t xml:space="preserve">: </w:t>
            </w:r>
            <w:r w:rsidDel="00000000" w:rsidR="00000000" w:rsidRPr="00000000">
              <w:rPr>
                <w:sz w:val="22"/>
                <w:szCs w:val="22"/>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widowControl w:val="0"/>
              <w:rPr>
                <w:sz w:val="22"/>
                <w:szCs w:val="22"/>
              </w:rPr>
            </w:pPr>
            <w:r w:rsidDel="00000000" w:rsidR="00000000" w:rsidRPr="00000000">
              <w:rPr>
                <w:b w:val="1"/>
                <w:bCs w:val="1"/>
                <w:sz w:val="22"/>
                <w:szCs w:val="22"/>
                <w:rtl w:val="0"/>
              </w:rPr>
              <w:t xml:space="preserve">Prob (F-Stat):</w:t>
            </w:r>
            <w:r w:rsidDel="00000000" w:rsidR="00000000" w:rsidRPr="00000000">
              <w:rPr>
                <w:sz w:val="22"/>
                <w:szCs w:val="22"/>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rPr>
                <w:sz w:val="22"/>
                <w:szCs w:val="22"/>
              </w:rPr>
            </w:pPr>
            <w:r w:rsidDel="00000000" w:rsidR="00000000" w:rsidRPr="00000000">
              <w:rPr>
                <w:b w:val="1"/>
                <w:bCs w:val="1"/>
                <w:sz w:val="22"/>
                <w:szCs w:val="22"/>
                <w:rtl w:val="0"/>
              </w:rPr>
              <w:t xml:space="preserve">Adj R</w:t>
            </w:r>
            <w:r w:rsidDel="00000000" w:rsidR="00000000" w:rsidRPr="00000000">
              <w:rPr>
                <w:b w:val="1"/>
                <w:bCs w:val="1"/>
                <w:sz w:val="22"/>
                <w:szCs w:val="22"/>
                <w:vertAlign w:val="superscript"/>
                <w:rtl w:val="0"/>
              </w:rPr>
              <w:t xml:space="preserve">2</w:t>
            </w:r>
            <w:r w:rsidDel="00000000" w:rsidR="00000000" w:rsidRPr="00000000">
              <w:rPr>
                <w:b w:val="1"/>
                <w:bCs w:val="1"/>
                <w:sz w:val="22"/>
                <w:szCs w:val="22"/>
                <w:rtl w:val="0"/>
              </w:rPr>
              <w:t xml:space="preserve">: </w:t>
            </w:r>
            <w:r w:rsidDel="00000000" w:rsidR="00000000" w:rsidRPr="00000000">
              <w:rPr>
                <w:sz w:val="22"/>
                <w:szCs w:val="22"/>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pageBreakBefore w:val="0"/>
              <w:widowControl w:val="0"/>
              <w:rPr>
                <w:sz w:val="22"/>
                <w:szCs w:val="22"/>
              </w:rPr>
            </w:pPr>
            <w:r w:rsidDel="00000000" w:rsidR="00000000" w:rsidRPr="00000000">
              <w:rPr>
                <w:b w:val="1"/>
                <w:bCs w:val="1"/>
                <w:sz w:val="22"/>
                <w:szCs w:val="22"/>
                <w:rtl w:val="0"/>
              </w:rPr>
              <w:t xml:space="preserve">No. Observations: </w:t>
            </w:r>
            <w:r w:rsidDel="00000000" w:rsidR="00000000" w:rsidRPr="00000000">
              <w:rPr>
                <w:sz w:val="22"/>
                <w:szCs w:val="22"/>
                <w:rtl w:val="0"/>
              </w:rPr>
              <w:t xml:space="preserve">106</w:t>
            </w:r>
          </w:p>
        </w:tc>
      </w:tr>
    </w:tbl>
    <w:p w:rsidR="00000000" w:rsidDel="00000000" w:rsidP="00000000" w:rsidRDefault="00000000" w:rsidRPr="00000000" w14:paraId="000001E5">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1"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E6">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E7">
      <w:pPr>
        <w:pageBreakBefore w:val="0"/>
        <w:jc w:val="both"/>
        <w:rPr/>
      </w:pPr>
      <w:r w:rsidDel="00000000" w:rsidR="00000000" w:rsidRPr="00000000">
        <w:rPr>
          <w:rtl w:val="0"/>
        </w:rPr>
      </w:r>
    </w:p>
    <w:p w:rsidR="00000000" w:rsidDel="00000000" w:rsidP="00000000" w:rsidRDefault="00000000" w:rsidRPr="00000000" w14:paraId="000001E8">
      <w:pPr>
        <w:pageBreakBefore w:val="0"/>
        <w:jc w:val="both"/>
        <w:rPr>
          <w:b w:val="1"/>
          <w:bCs w:val="1"/>
        </w:rPr>
      </w:pPr>
      <w:r w:rsidDel="00000000" w:rsidR="00000000" w:rsidRPr="00000000">
        <w:rPr>
          <w:b w:val="1"/>
          <w:bCs w:val="1"/>
          <w:rtl w:val="0"/>
        </w:rPr>
        <w:t xml:space="preserve">5.2 SOI of United Kingdom and Its Implications</w:t>
      </w:r>
    </w:p>
    <w:p w:rsidR="00000000" w:rsidDel="00000000" w:rsidP="00000000" w:rsidRDefault="00000000" w:rsidRPr="00000000" w14:paraId="000001E9">
      <w:pPr>
        <w:pageBreakBefore w:val="0"/>
        <w:jc w:val="both"/>
        <w:rPr/>
      </w:pPr>
      <w:r w:rsidDel="00000000" w:rsidR="00000000" w:rsidRPr="00000000">
        <w:rPr>
          <w:rtl w:val="0"/>
        </w:rPr>
        <w:t xml:space="preserve">The United Kingdom, for instance, has a low level of structural optimality as compared with its developed peers. As the regression in Figure 7 suggests (the orange curve represents export increase and the blue curve stands for opportunity gain of the corresponding industry), UK demonstrates a low level of correlation with the suggested developmental path, having an adjusted R-square of around 1.84% </w:t>
      </w:r>
      <w:commentRangeStart w:id="38"/>
      <w:r w:rsidDel="00000000" w:rsidR="00000000" w:rsidRPr="00000000">
        <w:rPr>
          <w:rtl w:val="0"/>
        </w:rPr>
        <w:t xml:space="preserve">in 2018 and 5.07% in 2021</w:t>
      </w:r>
      <w:commentRangeEnd w:id="38"/>
      <w:r w:rsidDel="00000000" w:rsidR="00000000" w:rsidRPr="00000000">
        <w:commentReference w:id="38"/>
      </w:r>
      <w:r w:rsidDel="00000000" w:rsidR="00000000" w:rsidRPr="00000000">
        <w:rPr>
          <w:rtl w:val="0"/>
        </w:rPr>
        <w:t xml:space="preserve">. The U.K. </w:t>
      </w:r>
      <w:r w:rsidDel="00000000" w:rsidR="00000000" w:rsidRPr="00000000">
        <w:rPr>
          <w:rtl w:val="0"/>
        </w:rPr>
        <w:t xml:space="preserve">ranks</w:t>
      </w:r>
      <w:r w:rsidDel="00000000" w:rsidR="00000000" w:rsidRPr="00000000">
        <w:rPr>
          <w:rtl w:val="0"/>
        </w:rPr>
        <w:t xml:space="preserve"> in the 4th quartile among all countries in terms of SOI </w:t>
      </w:r>
      <w:commentRangeStart w:id="39"/>
      <w:r w:rsidDel="00000000" w:rsidR="00000000" w:rsidRPr="00000000">
        <w:rPr>
          <w:rtl w:val="0"/>
        </w:rPr>
        <w:t xml:space="preserve">and ma</w:t>
      </w:r>
      <w:commentRangeEnd w:id="39"/>
      <w:r w:rsidDel="00000000" w:rsidR="00000000" w:rsidRPr="00000000">
        <w:commentReference w:id="39"/>
      </w:r>
      <w:r w:rsidDel="00000000" w:rsidR="00000000" w:rsidRPr="00000000">
        <w:rPr>
          <w:rtl w:val="0"/>
        </w:rPr>
        <w:t xml:space="preserve">kes an average rate of economic progress lower than its  developed peers from 2013 to 2018 with an average 5-year GDP growth rate of 3.03%, which is consistent with the regression result in Figure 6. This is in direct contrast to emerging economies such as Turkey, where there is high SOI of around 21.8% and a corresponding GDP growth of 36.7% from 2013 to 2018, making it one of the fastest developing economies during the period. In sum, the U.K.’s slow economic progress from 2013 to 2018 can be at least partially explained by a development strategy that demonstrates a low level of similarity with our suggested developmental path. In specific, the U.K. invested heavily in the Chemicals and Machinery industry, while it should have focused more on industry groups such as Energy &amp; Drilling, and Precious Stones. </w:t>
      </w:r>
    </w:p>
    <w:p w:rsidR="00000000" w:rsidDel="00000000" w:rsidP="00000000" w:rsidRDefault="00000000" w:rsidRPr="00000000" w14:paraId="000001EA">
      <w:pPr>
        <w:pageBreakBefore w:val="0"/>
        <w:jc w:val="both"/>
        <w:rPr/>
      </w:pPr>
      <w:r w:rsidDel="00000000" w:rsidR="00000000" w:rsidRPr="00000000">
        <w:rPr>
          <w:rtl w:val="0"/>
        </w:rPr>
      </w:r>
    </w:p>
    <w:p w:rsidR="00000000" w:rsidDel="00000000" w:rsidP="00000000" w:rsidRDefault="00000000" w:rsidRPr="00000000" w14:paraId="000001EB">
      <w:pPr>
        <w:pageBreakBefore w:val="0"/>
        <w:jc w:val="both"/>
        <w:rPr/>
      </w:pPr>
      <w:r w:rsidDel="00000000" w:rsidR="00000000" w:rsidRPr="00000000">
        <w:rPr/>
        <w:drawing>
          <wp:inline distB="114300" distT="114300" distL="114300" distR="114300">
            <wp:extent cx="6100033" cy="2295525"/>
            <wp:effectExtent b="0" l="0" r="0" t="0"/>
            <wp:docPr id="13"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6100033"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ageBreakBefore w:val="0"/>
        <w:jc w:val="center"/>
        <w:rPr/>
      </w:pPr>
      <w:r w:rsidDel="00000000" w:rsidR="00000000" w:rsidRPr="00000000">
        <w:rPr>
          <w:rtl w:val="0"/>
        </w:rPr>
        <w:t xml:space="preserve">Figure 7: SOI of UK (2013-2018)</w:t>
      </w:r>
    </w:p>
    <w:p w:rsidR="00000000" w:rsidDel="00000000" w:rsidP="00000000" w:rsidRDefault="00000000" w:rsidRPr="00000000" w14:paraId="000001ED">
      <w:pPr>
        <w:pageBreakBefore w:val="0"/>
        <w:jc w:val="center"/>
        <w:rPr/>
      </w:pPr>
      <w:r w:rsidDel="00000000" w:rsidR="00000000" w:rsidRPr="00000000">
        <w:rPr>
          <w:rtl w:val="0"/>
        </w:rPr>
      </w:r>
    </w:p>
    <w:p w:rsidR="00000000" w:rsidDel="00000000" w:rsidP="00000000" w:rsidRDefault="00000000" w:rsidRPr="00000000" w14:paraId="000001EE">
      <w:pPr>
        <w:pageBreakBefore w:val="0"/>
        <w:rPr/>
      </w:pPr>
      <w:commentRangeStart w:id="40"/>
      <w:r w:rsidDel="00000000" w:rsidR="00000000" w:rsidRPr="00000000">
        <w:rPr>
          <w:rtl w:val="0"/>
        </w:rPr>
        <w:t xml:space="preserve">In 2021, the UK ranks in the second</w:t>
      </w:r>
      <w:commentRangeStart w:id="41"/>
      <w:r w:rsidDel="00000000" w:rsidR="00000000" w:rsidRPr="00000000">
        <w:rPr>
          <w:rtl w:val="0"/>
        </w:rPr>
        <w:t xml:space="preserve"> quartile</w:t>
      </w:r>
      <w:commentRangeEnd w:id="41"/>
      <w:r w:rsidDel="00000000" w:rsidR="00000000" w:rsidRPr="00000000">
        <w:commentReference w:id="41"/>
      </w:r>
      <w:r w:rsidDel="00000000" w:rsidR="00000000" w:rsidRPr="00000000">
        <w:rPr>
          <w:rtl w:val="0"/>
        </w:rPr>
        <w:t xml:space="preserve"> among all countries in terms of SOI and obtains an average 3-year GDP growth rate of 3.79% between 2019 and 2021. Progress is slow on a global scale during this period, but the UK demonstrates a greater ability to adjust to negative economic shocks by improving SOI and increasing GDP growth.</w:t>
      </w:r>
    </w:p>
    <w:p w:rsidR="00000000" w:rsidDel="00000000" w:rsidP="00000000" w:rsidRDefault="00000000" w:rsidRPr="00000000" w14:paraId="000001EF">
      <w:pPr>
        <w:pageBreakBefore w:val="0"/>
        <w:jc w:val="both"/>
        <w:rPr/>
      </w:pPr>
      <w:commentRangeStart w:id="42"/>
      <w:r w:rsidDel="00000000" w:rsidR="00000000" w:rsidRPr="00000000">
        <w:rPr>
          <w:i w:val="1"/>
          <w:iCs w:val="1"/>
        </w:rPr>
        <w:drawing>
          <wp:inline distB="114300" distT="114300" distL="114300" distR="114300">
            <wp:extent cx="5731200" cy="2298700"/>
            <wp:effectExtent b="0" l="0" r="0" t="0"/>
            <wp:docPr id="29"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5731200" cy="2298700"/>
                    </a:xfrm>
                    <a:prstGeom prst="rect"/>
                    <a:ln/>
                  </pic:spPr>
                </pic:pic>
              </a:graphicData>
            </a:graphic>
          </wp:inline>
        </w:drawing>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1F0">
      <w:pPr>
        <w:pageBreakBefore w:val="0"/>
        <w:jc w:val="center"/>
        <w:rPr/>
      </w:pPr>
      <w:r w:rsidDel="00000000" w:rsidR="00000000" w:rsidRPr="00000000">
        <w:rPr>
          <w:rtl w:val="0"/>
        </w:rPr>
        <w:t xml:space="preserve">Figure 8: SOI of UK (2019-2021)</w:t>
      </w:r>
    </w:p>
    <w:p w:rsidR="00000000" w:rsidDel="00000000" w:rsidP="00000000" w:rsidRDefault="00000000" w:rsidRPr="00000000" w14:paraId="000001F1">
      <w:pPr>
        <w:pageBreakBefore w:val="0"/>
        <w:jc w:val="center"/>
        <w:rPr/>
      </w:pP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1F2">
      <w:pPr>
        <w:pageBreakBefore w:val="0"/>
        <w:jc w:val="center"/>
        <w:rPr/>
      </w:pPr>
      <w:r w:rsidDel="00000000" w:rsidR="00000000" w:rsidRPr="00000000">
        <w:rPr>
          <w:rtl w:val="0"/>
        </w:rPr>
      </w:r>
    </w:p>
    <w:p w:rsidR="00000000" w:rsidDel="00000000" w:rsidP="00000000" w:rsidRDefault="00000000" w:rsidRPr="00000000" w14:paraId="000001F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F4">
      <w:pPr>
        <w:pageBreakBefore w:val="0"/>
        <w:jc w:val="both"/>
        <w:rPr/>
      </w:pPr>
      <w:r w:rsidDel="00000000" w:rsidR="00000000" w:rsidRPr="00000000">
        <w:rPr>
          <w:rtl w:val="0"/>
        </w:rPr>
      </w:r>
    </w:p>
    <w:p w:rsidR="00000000" w:rsidDel="00000000" w:rsidP="00000000" w:rsidRDefault="00000000" w:rsidRPr="00000000" w14:paraId="000001F5">
      <w:pPr>
        <w:pageBreakBefore w:val="0"/>
        <w:jc w:val="both"/>
        <w:rPr/>
      </w:pPr>
      <w:r w:rsidDel="00000000" w:rsidR="00000000" w:rsidRPr="00000000">
        <w:rPr>
          <w:rtl w:val="0"/>
        </w:rPr>
        <w:t xml:space="preserve">In conclusion, the UK demonstrated a low level of economic growth in terms of annual GDP increase during the period from 2013 to 2018, concurrent with an increase in economic complexity as compared with other major developed economies. </w:t>
      </w:r>
      <w:commentRangeStart w:id="43"/>
      <w:r w:rsidDel="00000000" w:rsidR="00000000" w:rsidRPr="00000000">
        <w:rPr>
          <w:rtl w:val="0"/>
        </w:rPr>
        <w:t xml:space="preserve">In 2021, the economic effects of the COVID-19 pandemic can be seen in the UK’s regression in terms of economic complexity despite a considerable increase in GDP.</w:t>
      </w:r>
    </w:p>
    <w:p w:rsidR="00000000" w:rsidDel="00000000" w:rsidP="00000000" w:rsidRDefault="00000000" w:rsidRPr="00000000" w14:paraId="000001F6">
      <w:pPr>
        <w:pageBreakBefore w:val="0"/>
        <w:jc w:val="both"/>
        <w:rPr/>
      </w:pP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1F7">
      <w:pPr>
        <w:pageBreakBefore w:val="0"/>
        <w:jc w:val="both"/>
        <w:rPr/>
      </w:pPr>
      <w:r w:rsidDel="00000000" w:rsidR="00000000" w:rsidRPr="00000000">
        <w:rPr>
          <w:rtl w:val="0"/>
        </w:rPr>
        <w:t xml:space="preserve">The mixed progress during the period between 2013 and 2018, we believe, can be partially explained through analysis of the economic and product complexity structure of the UK on the industry group level. The product classification system we adopt allows us to measure the realized industry development for various industry groups and to observe that the UK co</w:t>
      </w:r>
      <w:r w:rsidDel="00000000" w:rsidR="00000000" w:rsidRPr="00000000">
        <w:rPr>
          <w:rtl w:val="0"/>
        </w:rPr>
        <w:t xml:space="preserve">nsistently relied on developing the Chemicals, Machinery and Construction, and Daily Instruments industries during this period, while some of its developed counterparts and emerging economies around the globe adopted much more complex and progressive paths. </w:t>
      </w:r>
      <w:commentRangeStart w:id="44"/>
      <w:r w:rsidDel="00000000" w:rsidR="00000000" w:rsidRPr="00000000">
        <w:rPr>
          <w:rtl w:val="0"/>
        </w:rPr>
        <w:t xml:space="preserve">In 2021, the mixed progress is a result of global demand for basic, low-complexity products, which the UK positions itself to meet. As such, its ECI decreases, but its GDP increases at a faster rate, in average, than its developed counterparts. </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1F8">
      <w:pPr>
        <w:pageBreakBefore w:val="0"/>
        <w:jc w:val="both"/>
        <w:rPr/>
      </w:pPr>
      <w:r w:rsidDel="00000000" w:rsidR="00000000" w:rsidRPr="00000000">
        <w:rPr>
          <w:rtl w:val="0"/>
        </w:rPr>
      </w:r>
    </w:p>
    <w:p w:rsidR="00000000" w:rsidDel="00000000" w:rsidP="00000000" w:rsidRDefault="00000000" w:rsidRPr="00000000" w14:paraId="000001F9">
      <w:pPr>
        <w:pageBreakBefore w:val="0"/>
        <w:jc w:val="both"/>
        <w:rPr/>
      </w:pPr>
      <w:commentRangeStart w:id="45"/>
      <w:r w:rsidDel="00000000" w:rsidR="00000000" w:rsidRPr="00000000">
        <w:rPr>
          <w:rtl w:val="0"/>
        </w:rPr>
        <w:t xml:space="preserve">Based on our analysis of the opportunity gain and a sensitivity analysis of major industry groups, the UK could further its gains by prioritizing High-Complexity Products and Transportation prior to the pandemic. Given the economic effects of COVID-19, the UK’s regression in terms of complexity leads us to suggest the UK further its gains by focusing on Energy, Drilling, and Mining; Precious Stones; and Vegetables, Fruits, and Plants. We further note that the UK had a heavily mismatched development strategy in 2013-2018 that indicated a low level of structural optimality (compared to other developed countries) on the complexity level, having an adjusted R-square of around 1.84%. In 2021, adjusted R-square is 5.07% and ranks higher in terms of structural optimality amongst other countries. Since a significant positive correlation exists between five-year GDP growth and the structural optimality index of an economy as we define and calculate, the UK indeed has a suboptimal growth experience as compared with fast-growing economies both on a regional scale and on a global scale, and has the potential to further its economic gains through industrial structure optimization as suggested in the paper.</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1F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FB">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F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FD">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F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F">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00">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1">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02">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3">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04">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5">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06">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7">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08">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9">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0A">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B">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0C">
      <w:pPr>
        <w:pageBreakBefore w:val="0"/>
        <w:jc w:val="both"/>
        <w:rPr/>
      </w:pPr>
      <w:r w:rsidDel="00000000" w:rsidR="00000000" w:rsidRPr="00000000">
        <w:rPr>
          <w:rtl w:val="0"/>
        </w:rPr>
      </w:r>
    </w:p>
    <w:sectPr>
      <w:headerReference r:id="rId46" w:type="default"/>
      <w:footerReference r:id="rId47" w:type="default"/>
      <w:footerReference r:id="rId48" w:type="first"/>
      <w:footerReference r:id="rId49"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ra Maria Chang Garcia" w:id="10" w:date="2023-01-02T12:10:26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22" w:date="2023-01-05T13:18:23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6" w:date="2023-01-02T00:49:32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7" w:date="2023-01-02T00:49:39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27" w:date="2023-01-06T12:50:17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17" w:date="2023-01-02T23:15:27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31" w:date="2023-01-04T12:56:30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16" w:date="2023-01-05T16:42:05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Margarita Demkina" w:id="20" w:date="2023-01-04T21:55:11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18" w:date="2023-01-02T23:16:10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38" w:date="2023-01-06T19:03:37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Kelly Mi" w:id="25" w:date="2023-01-05T03:17:52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the SDV in 2019 and 2021 too?</w:t>
      </w:r>
    </w:p>
  </w:comment>
  <w:comment w:author="Alexandra Maria Chang Garcia" w:id="26" w:date="2023-01-05T13:40:10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nope</w:t>
      </w:r>
    </w:p>
  </w:comment>
  <w:comment w:author="Alexandra Maria Chang Garcia" w:id="36" w:date="2023-01-02T23:30:35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41" w:date="2023-01-07T12:38:11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comprehensive coding script, look at the ranking for soi produced above this chart.</w:t>
      </w:r>
    </w:p>
  </w:comment>
  <w:comment w:author="Margarita Demkina" w:id="29" w:date="2023-01-04T22:28:02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format</w:t>
      </w:r>
    </w:p>
  </w:comment>
  <w:comment w:author="Alexandra Maria Chang Garcia" w:id="42" w:date="2023-01-02T23:35:56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0" w:date="2023-01-13T13:47:25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24" w:date="2023-01-14T08:51:28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37" w:date="2023-01-02T23:34:52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3" w:date="2023-01-02T00:37:04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34" w:date="2023-01-04T13:03:33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15" w:date="2023-01-02T16:39:59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4" w:date="2023-01-02T00:37:26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 if needed</w:t>
      </w:r>
    </w:p>
  </w:comment>
  <w:comment w:author="Alexandra Maria Chang Garcia" w:id="5" w:date="2023-01-02T00:37:37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40" w:date="2023-01-08T00:01:38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39" w:date="2023-01-06T19:04:21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35" w:date="2023-01-04T13:03:47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45" w:date="2023-01-02T23:39:22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through, modify and add as needed</w:t>
      </w:r>
    </w:p>
  </w:comment>
  <w:comment w:author="Alexandra Maria Chang Garcia" w:id="44" w:date="2023-01-10T21:43:12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32" w:date="2023-01-04T12:59:20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and add</w:t>
      </w:r>
    </w:p>
  </w:comment>
  <w:comment w:author="Alexandra Maria Chang Garcia" w:id="43" w:date="2023-01-10T21:38:02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19" w:date="2023-01-06T05:08:35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14" w:date="2023-01-02T12:11:01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 modify location of figure</w:t>
      </w:r>
    </w:p>
  </w:comment>
  <w:comment w:author="Alexandra Maria Chang Garcia" w:id="13" w:date="2023-01-02T12:11:16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33" w:date="2023-01-04T13:01:25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12" w:date="2023-01-02T12:10:38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23" w:date="2023-01-05T13:20:59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8" w:date="2023-01-02T00:49:51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21" w:date="2023-01-05T13:18:15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9" w:date="2023-01-02T00:52:21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Alexandra Maria Chang Garcia" w:id="1" w:date="2023-01-02T00:36:43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30" w:date="2023-01-10T13:39:29Z">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Alexandra Maria Chang Garcia" w:id="11" w:date="2023-01-02T00:53:44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Margarita Demkina" w:id="28" w:date="2023-01-04T22:22:47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couldn't find "Thailand" in the output by adi</w:t>
      </w:r>
    </w:p>
  </w:comment>
  <w:comment w:author="Alexandra Maria Chang Garcia" w:id="2" w:date="2023-01-02T00:36:51Z">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jpg"/><Relationship Id="rId42" Type="http://schemas.openxmlformats.org/officeDocument/2006/relationships/image" Target="media/image5.jpg"/><Relationship Id="rId41" Type="http://schemas.openxmlformats.org/officeDocument/2006/relationships/image" Target="media/image22.jpg"/><Relationship Id="rId44" Type="http://schemas.openxmlformats.org/officeDocument/2006/relationships/image" Target="media/image38.png"/><Relationship Id="rId43" Type="http://schemas.openxmlformats.org/officeDocument/2006/relationships/image" Target="media/image20.png"/><Relationship Id="rId46" Type="http://schemas.openxmlformats.org/officeDocument/2006/relationships/header" Target="header1.xml"/><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48" Type="http://schemas.openxmlformats.org/officeDocument/2006/relationships/footer" Target="footer3.xml"/><Relationship Id="rId47" Type="http://schemas.openxmlformats.org/officeDocument/2006/relationships/footer" Target="footer2.xml"/><Relationship Id="rId4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3.png"/><Relationship Id="rId8" Type="http://schemas.openxmlformats.org/officeDocument/2006/relationships/image" Target="media/image33.png"/><Relationship Id="rId31" Type="http://schemas.openxmlformats.org/officeDocument/2006/relationships/image" Target="media/image1.jpg"/><Relationship Id="rId30" Type="http://schemas.openxmlformats.org/officeDocument/2006/relationships/image" Target="media/image39.png"/><Relationship Id="rId33" Type="http://schemas.openxmlformats.org/officeDocument/2006/relationships/image" Target="media/image4.jpg"/><Relationship Id="rId32" Type="http://schemas.openxmlformats.org/officeDocument/2006/relationships/image" Target="media/image15.jpg"/><Relationship Id="rId35" Type="http://schemas.openxmlformats.org/officeDocument/2006/relationships/image" Target="media/image2.jpg"/><Relationship Id="rId34" Type="http://schemas.openxmlformats.org/officeDocument/2006/relationships/image" Target="media/image21.jpg"/><Relationship Id="rId37" Type="http://schemas.openxmlformats.org/officeDocument/2006/relationships/image" Target="media/image17.jpg"/><Relationship Id="rId36" Type="http://schemas.openxmlformats.org/officeDocument/2006/relationships/image" Target="media/image24.jpg"/><Relationship Id="rId39" Type="http://schemas.openxmlformats.org/officeDocument/2006/relationships/image" Target="media/image11.jpg"/><Relationship Id="rId38" Type="http://schemas.openxmlformats.org/officeDocument/2006/relationships/image" Target="media/image25.jpg"/><Relationship Id="rId20" Type="http://schemas.openxmlformats.org/officeDocument/2006/relationships/image" Target="media/image8.png"/><Relationship Id="rId22" Type="http://schemas.openxmlformats.org/officeDocument/2006/relationships/image" Target="media/image26.png"/><Relationship Id="rId21" Type="http://schemas.openxmlformats.org/officeDocument/2006/relationships/image" Target="media/image12.png"/><Relationship Id="rId24" Type="http://schemas.openxmlformats.org/officeDocument/2006/relationships/image" Target="media/image28.png"/><Relationship Id="rId23" Type="http://schemas.openxmlformats.org/officeDocument/2006/relationships/image" Target="media/image9.png"/><Relationship Id="rId26" Type="http://schemas.openxmlformats.org/officeDocument/2006/relationships/image" Target="media/image7.png"/><Relationship Id="rId25" Type="http://schemas.openxmlformats.org/officeDocument/2006/relationships/image" Target="media/image18.png"/><Relationship Id="rId28" Type="http://schemas.openxmlformats.org/officeDocument/2006/relationships/image" Target="media/image30.png"/><Relationship Id="rId27" Type="http://schemas.openxmlformats.org/officeDocument/2006/relationships/image" Target="media/image10.png"/><Relationship Id="rId29" Type="http://schemas.openxmlformats.org/officeDocument/2006/relationships/image" Target="media/image29.png"/><Relationship Id="rId11" Type="http://schemas.openxmlformats.org/officeDocument/2006/relationships/image" Target="media/image37.png"/><Relationship Id="rId10" Type="http://schemas.openxmlformats.org/officeDocument/2006/relationships/image" Target="media/image34.png"/><Relationship Id="rId13" Type="http://schemas.openxmlformats.org/officeDocument/2006/relationships/image" Target="media/image3.png"/><Relationship Id="rId12" Type="http://schemas.openxmlformats.org/officeDocument/2006/relationships/image" Target="media/image27.png"/><Relationship Id="rId15" Type="http://schemas.openxmlformats.org/officeDocument/2006/relationships/image" Target="media/image35.png"/><Relationship Id="rId14" Type="http://schemas.openxmlformats.org/officeDocument/2006/relationships/image" Target="media/image31.png"/><Relationship Id="rId17" Type="http://schemas.openxmlformats.org/officeDocument/2006/relationships/image" Target="media/image6.png"/><Relationship Id="rId16" Type="http://schemas.openxmlformats.org/officeDocument/2006/relationships/image" Target="media/image36.png"/><Relationship Id="rId19" Type="http://schemas.openxmlformats.org/officeDocument/2006/relationships/image" Target="media/image14.jp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