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customXmlProperties+xml" PartName="/customXML/itemProps1.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package.core-properties+xml" PartName="/docProps/core.xml"/>
  <Override ContentType="application/xml" PartName="/customXML/item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-609599</wp:posOffset>
                </wp:positionH>
                <wp:positionV relativeFrom="paragraph">
                  <wp:posOffset>-914399</wp:posOffset>
                </wp:positionV>
                <wp:extent cx="2194560" cy="9125712"/>
                <wp:effectExtent b="0" l="0" r="0" t="0"/>
                <wp:wrapSquare wrapText="bothSides" distB="0" distT="0" distL="0" distR="0"/>
                <wp:docPr id="160" name=""/>
                <a:graphic>
                  <a:graphicData uri="http://schemas.microsoft.com/office/word/2010/wordprocessingGroup">
                    <wpg:wgp>
                      <wpg:cNvGrpSpPr/>
                      <wpg:grpSpPr>
                        <a:xfrm>
                          <a:off x="4248720" y="0"/>
                          <a:ext cx="2194560" cy="9125712"/>
                          <a:chOff x="4248720" y="0"/>
                          <a:chExt cx="2194560" cy="7560000"/>
                        </a:xfrm>
                      </wpg:grpSpPr>
                      <wpg:grpSp>
                        <wpg:cNvGrpSpPr/>
                        <wpg:grpSpPr>
                          <a:xfrm>
                            <a:off x="4248720" y="0"/>
                            <a:ext cx="2194560" cy="7560000"/>
                            <a:chOff x="0" y="0"/>
                            <a:chExt cx="2194560" cy="9125712"/>
                          </a:xfrm>
                        </wpg:grpSpPr>
                        <wps:wsp>
                          <wps:cNvSpPr/>
                          <wps:cNvPr id="4" name="Shape 4"/>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10/17/2019</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-609599</wp:posOffset>
                </wp:positionH>
                <wp:positionV relativeFrom="paragraph">
                  <wp:posOffset>-914399</wp:posOffset>
                </wp:positionV>
                <wp:extent cx="2194560" cy="9125712"/>
                <wp:effectExtent b="0" l="0" r="0" t="0"/>
                <wp:wrapSquare wrapText="bothSides" distB="0" distT="0" distL="0" distR="0"/>
                <wp:docPr id="160"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194560" cy="9125712"/>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1879600</wp:posOffset>
                </wp:positionV>
                <wp:extent cx="4427869" cy="892175"/>
                <wp:effectExtent b="0" l="0" r="0" t="0"/>
                <wp:wrapNone/>
                <wp:docPr id="159" name=""/>
                <a:graphic>
                  <a:graphicData uri="http://schemas.microsoft.com/office/word/2010/wordprocessingShape">
                    <wps:wsp>
                      <wps:cNvSpPr/>
                      <wps:cNvPr id="2" name="Shape 2"/>
                      <wps:spPr>
                        <a:xfrm>
                          <a:off x="3136828" y="3338675"/>
                          <a:ext cx="4418344" cy="882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Optimal Country-specific Industry Development Strategies Using an Economic and Product Complexity Framework</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1879600</wp:posOffset>
                </wp:positionV>
                <wp:extent cx="4427869" cy="892175"/>
                <wp:effectExtent b="0" l="0" r="0" t="0"/>
                <wp:wrapNone/>
                <wp:docPr id="159"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4427869" cy="892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8864600</wp:posOffset>
                </wp:positionV>
                <wp:extent cx="4090643" cy="663548"/>
                <wp:effectExtent b="0" l="0" r="0" t="0"/>
                <wp:wrapNone/>
                <wp:docPr id="161" name=""/>
                <a:graphic>
                  <a:graphicData uri="http://schemas.microsoft.com/office/word/2010/wordprocessingShape">
                    <wps:wsp>
                      <wps:cNvSpPr/>
                      <wps:cNvPr id="33" name="Shape 33"/>
                      <wps:spPr>
                        <a:xfrm>
                          <a:off x="3305441" y="3452989"/>
                          <a:ext cx="4081118" cy="65402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472c4"/>
                                <w:sz w:val="26"/>
                                <w:vertAlign w:val="baseline"/>
                              </w:rPr>
                              <w:t xml:space="preserve">Heyang Huang, Soulaymane Kachani, Lun Li, Jiayu Zhao</w:t>
                            </w:r>
                            <w:r w:rsidDel="00000000" w:rsidR="00000000" w:rsidRPr="00000000">
                              <w:rPr>
                                <w:rFonts w:ascii="Times New Roman" w:cs="Times New Roman" w:eastAsia="Times New Roman" w:hAnsi="Times New Roman"/>
                                <w:b w:val="0"/>
                                <w:i w:val="0"/>
                                <w:smallCaps w:val="1"/>
                                <w:strike w:val="0"/>
                                <w:color w:val="595959"/>
                                <w:sz w:val="20"/>
                                <w:vertAlign w:val="baseline"/>
                              </w:rPr>
                              <w:t xml:space="preserve"> ECONOMIC COMPLEXITY LAB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595959"/>
                                <w:sz w:val="20"/>
                                <w:vertAlign w:val="baseline"/>
                              </w:rPr>
                            </w:r>
                            <w:r w:rsidDel="00000000" w:rsidR="00000000" w:rsidRPr="00000000">
                              <w:rPr>
                                <w:rFonts w:ascii="Times New Roman" w:cs="Times New Roman" w:eastAsia="Times New Roman" w:hAnsi="Times New Roman"/>
                                <w:b w:val="0"/>
                                <w:i w:val="0"/>
                                <w:smallCaps w:val="1"/>
                                <w:strike w:val="0"/>
                                <w:color w:val="595959"/>
                                <w:sz w:val="20"/>
                                <w:vertAlign w:val="baseline"/>
                              </w:rPr>
                              <w:t xml:space="preserve">COLUMBIA UNIVERSITY</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8864600</wp:posOffset>
                </wp:positionV>
                <wp:extent cx="4090643" cy="663548"/>
                <wp:effectExtent b="0" l="0" r="0" t="0"/>
                <wp:wrapNone/>
                <wp:docPr id="161"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4090643" cy="663548"/>
                        </a:xfrm>
                        <a:prstGeom prst="rect"/>
                        <a:ln/>
                      </pic:spPr>
                    </pic:pic>
                  </a:graphicData>
                </a:graphic>
              </wp:anchor>
            </w:drawing>
          </mc:Fallback>
        </mc:AlternateContent>
      </w:r>
    </w:p>
    <w:p w:rsidR="00000000" w:rsidDel="00000000" w:rsidP="00000000" w:rsidRDefault="00000000" w:rsidRPr="00000000" w14:paraId="00000003">
      <w:pPr>
        <w:pStyle w:val="Title"/>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Contents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Contents Overview                                                                                   3</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Economic Complexity Index Framework                                              4</w:t>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Economic Complexity…………………………………………….4                                                              </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Production Matrix…………………………………………………4</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Diversity and Ubiquity…………………………………………….5</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Economic Complexity Index and Product Complexity Index…….6</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Proximity and Distance……………………………………………6</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Opportunity Gain………………………………………………….6</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Production Analysis                                                                                 7</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 Categorization…………………………………………….7</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Realized Industry Development………………………..………….8</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Regional and Global Comparison…………………………………9</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Product Space Design                                                                             10</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Suggested Development Vector………………………………….10</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Sequential Industry Development Strategy…..…………………..11</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Sensitivity Analysis………………………………………………14</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Contingency Plan………………………………………………...18</w:t>
      </w:r>
    </w:p>
    <w:p w:rsidR="00000000" w:rsidDel="00000000" w:rsidP="00000000" w:rsidRDefault="00000000" w:rsidRPr="00000000" w14:paraId="0000001C">
      <w:pPr>
        <w:ind w:left="1080"/>
        <w:rPr>
          <w:b w:val="1"/>
          <w:sz w:val="28"/>
          <w:szCs w:val="28"/>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Macro-level Predictions                                                                         19</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Structural Optimality Index (SOI) ………………………………19</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SOI Examples and Implications………………………………….20</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Concluding Remarks                                                                              21</w:t>
      </w:r>
    </w:p>
    <w:p w:rsidR="00000000" w:rsidDel="00000000" w:rsidP="00000000" w:rsidRDefault="00000000" w:rsidRPr="00000000" w14:paraId="00000023">
      <w:pPr>
        <w:ind w:left="360"/>
        <w:rPr>
          <w:b w:val="1"/>
          <w:sz w:val="28"/>
          <w:szCs w:val="28"/>
        </w:rPr>
      </w:pPr>
      <w:r w:rsidDel="00000000" w:rsidR="00000000" w:rsidRPr="00000000">
        <w:rPr>
          <w:rtl w:val="0"/>
        </w:rPr>
      </w:r>
    </w:p>
    <w:p w:rsidR="00000000" w:rsidDel="00000000" w:rsidP="00000000" w:rsidRDefault="00000000" w:rsidRPr="00000000" w14:paraId="00000024">
      <w:pPr>
        <w:ind w:left="360"/>
        <w:rPr>
          <w:b w:val="1"/>
          <w:sz w:val="28"/>
          <w:szCs w:val="28"/>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                                                                                               23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 Overview of Complexity-based </w:t>
      </w:r>
    </w:p>
    <w:p w:rsidR="00000000" w:rsidDel="00000000" w:rsidP="00000000" w:rsidRDefault="00000000" w:rsidRPr="00000000" w14:paraId="00000029">
      <w:pPr>
        <w:pStyle w:val="Title"/>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Economic Report and Production Analysis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1. Contents Overview</w:t>
      </w:r>
    </w:p>
    <w:p w:rsidR="00000000" w:rsidDel="00000000" w:rsidP="00000000" w:rsidRDefault="00000000" w:rsidRPr="00000000" w14:paraId="0000002C">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After centuries of scientific exploration and technological progress, the world is tightly connected and steps into the era of globalization. However, we are also in an era of diversification. Affected by an increasing volume of international trade and other factors, countries are more specialized than ever in production and have diversified into distinct production patterns. National specialization begets diversity at global level. For geopolitical and historical reasons, countries are facing different economic obstacles and have developed their own strategic solution though trials. Governments are always in need of a reliable metric to assess their strategy so that they can make proper adjustment promptly. That’s the exact metric we aim to establish in the report, which uncovers the economic path countries goes through and puts forward macro-level strategies and contingency plans for governments.  </w:t>
      </w:r>
    </w:p>
    <w:p w:rsidR="00000000" w:rsidDel="00000000" w:rsidP="00000000" w:rsidRDefault="00000000" w:rsidRPr="00000000" w14:paraId="0000002E">
      <w:pPr>
        <w:jc w:val="both"/>
        <w:rPr>
          <w:rFonts w:ascii="CaeciliaLTStd-Light" w:cs="CaeciliaLTStd-Light" w:eastAsia="CaeciliaLTStd-Light" w:hAnsi="CaeciliaLTStd-Light"/>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In this report, we examine the period of 2009 to 2014, from the perspective of Gross Domestic Production per Capita and product space. While GDP per Capita, the most popular monetary measure of the market value of all final goods and services produced divided by population, reflects countries’ production capability, it doesn’t take into account the structure of the product space. The product space is the set of industries a country has productive knowledge on, weighted by the relative abundance of such knowledge. Equivalently, we can define the product space as the set of products a country capable to produce. The structure of product space indicates the amount, quality and “shape” of productive knowledge amassed by countries. The product space determines the potential and sustainability of an economy, which can be exemplified by the prolonged challenges Arab oil exporting countries have been facing. Their heavy dependence on oil production and relative lack of other productive knowledge induce unemployment, vulnerability to oil prices changes, unsustainability of economic growth, and difficulty of shifting to high-end industries.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Countries have accumulated different production knowledge and industrial infrastructure. As a result, the underlying cost of developing an industry can vary extensively, while the profitability of investing in an unfamiliar product also differs to a great extent among countries. If a country doesn’t have a robust machinery manufacturing industry as support, it has to invest enormously to excel at developing high-end Weapons.  If the productive knowledge imbedded in the industry can unlock the door blocking a country from a wide variety of products of higher complexity, the significance of the industry is far beyond the monetary benefits added up to the GDP per Capita.</w:t>
      </w:r>
    </w:p>
    <w:p w:rsidR="00000000" w:rsidDel="00000000" w:rsidP="00000000" w:rsidRDefault="00000000" w:rsidRPr="00000000" w14:paraId="00000032">
      <w:pPr>
        <w:jc w:val="both"/>
        <w:rPr>
          <w:rFonts w:ascii="CaeciliaLTStd-Light" w:cs="CaeciliaLTStd-Light" w:eastAsia="CaeciliaLTStd-Light" w:hAnsi="CaeciliaLTStd-Light"/>
          <w:sz w:val="20"/>
          <w:szCs w:val="20"/>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Therefore, we implement the Economic Complexity Index framework established in </w:t>
      </w:r>
      <w:r w:rsidDel="00000000" w:rsidR="00000000" w:rsidRPr="00000000">
        <w:rPr>
          <w:i w:val="1"/>
          <w:rtl w:val="0"/>
        </w:rPr>
        <w:t xml:space="preserve">The Atlas of Economic Complexity Index Mapping Paths to Prosperity</w:t>
      </w:r>
      <w:r w:rsidDel="00000000" w:rsidR="00000000" w:rsidRPr="00000000">
        <w:rPr>
          <w:rtl w:val="0"/>
        </w:rPr>
        <w:t xml:space="preserve"> to evaluate the structure of product space and industries for countries, which are calculated as Economic Complexity Index (ECI) and Product Complexity Index (PCI) respectively. The specific mathematical definition and derivation will be covered in Section 2.</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We follow the steps discussed in later sections, to construct the ECI framework, derive optimal industry development strategy, and prove its relaxed optimality by contrasting it with the real-world industry development strategy. We put forward optimal sequential industry development strategy for less developed countries to optimize the expansion process of their product space. We also design sensitivity analysis and contingency plan to prepare developed and fast developing countries for upheavals in their product space, especially solutions to deal with a possible collapse of their cornerstone industries.</w:t>
      </w:r>
    </w:p>
    <w:p w:rsidR="00000000" w:rsidDel="00000000" w:rsidP="00000000" w:rsidRDefault="00000000" w:rsidRPr="00000000" w14:paraId="00000036">
      <w:pPr>
        <w:jc w:val="both"/>
        <w:rPr/>
      </w:pPr>
      <w:r w:rsidDel="00000000" w:rsidR="00000000" w:rsidRPr="00000000">
        <w:rPr>
          <w:rtl w:val="0"/>
        </w:rPr>
        <w:t xml:space="preserve"> </w:t>
      </w:r>
    </w:p>
    <w:p w:rsidR="00000000" w:rsidDel="00000000" w:rsidP="00000000" w:rsidRDefault="00000000" w:rsidRPr="00000000" w14:paraId="00000037">
      <w:pPr>
        <w:jc w:val="both"/>
        <w:rPr/>
      </w:pPr>
      <w:r w:rsidDel="00000000" w:rsidR="00000000" w:rsidRPr="00000000">
        <w:rPr>
          <w:rtl w:val="0"/>
        </w:rPr>
        <w:t xml:space="preserve">We attach the national report of fifteen characteristic countries to exemplify the metric and provide some intuition of what these countries are facing and how they resemble and differ from each other.  The path of economic development is rife with uncertainty and misleading signals. All strategies and description derived in national reports are not one hundred percent precise or determined. In fact, we have mentioned some key hindrance that engenders such bias later in the report. We hope our report can give politicians and scientists, especially those who have access to confidential national production data, some valuable reference on the effectiveness of economic development from a perspective of economic structure.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2. Economic Complexity Index Framework</w:t>
      </w:r>
    </w:p>
    <w:p w:rsidR="00000000" w:rsidDel="00000000" w:rsidP="00000000" w:rsidRDefault="00000000" w:rsidRPr="00000000" w14:paraId="0000003A">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B">
      <w:pPr>
        <w:jc w:val="both"/>
        <w:rPr>
          <w:b w:val="1"/>
        </w:rPr>
      </w:pPr>
      <w:r w:rsidDel="00000000" w:rsidR="00000000" w:rsidRPr="00000000">
        <w:rPr>
          <w:b w:val="1"/>
          <w:rtl w:val="0"/>
        </w:rPr>
        <w:t xml:space="preserve">2.1.1 Economic Complexity</w:t>
      </w:r>
    </w:p>
    <w:p w:rsidR="00000000" w:rsidDel="00000000" w:rsidP="00000000" w:rsidRDefault="00000000" w:rsidRPr="00000000" w14:paraId="0000003C">
      <w:pPr>
        <w:jc w:val="both"/>
        <w:rPr/>
      </w:pPr>
      <w:r w:rsidDel="00000000" w:rsidR="00000000" w:rsidRPr="00000000">
        <w:rPr>
          <w:rtl w:val="0"/>
        </w:rPr>
        <w:t xml:space="preserve">The production of goods can be decomposed into a bundle of productive knowledge pieces.  For instance, the production of a book requires papers and ink, etc. To further break it down, the production of paper replies on the agricultural knowledge of planting trees, machinery knowledge of building printers, and a wide range of expertise, such as papermaking. We can treat a product as a composition of relative productive knowledge, just as a manufactured combination of raw materials.  The total quantity and range of productive knowledge determines the product space and productivity of a country. The complexity of an economy is, therefore, related to the multiplicity of productive knowledge amassed. To be more specific, Economic Complexity is a measure of the capability for an economy to structure and utilize the productive knowledge it has acquired. </w:t>
      </w:r>
    </w:p>
    <w:p w:rsidR="00000000" w:rsidDel="00000000" w:rsidP="00000000" w:rsidRDefault="00000000" w:rsidRPr="00000000" w14:paraId="0000003D">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E">
      <w:pPr>
        <w:jc w:val="both"/>
        <w:rPr>
          <w:b w:val="1"/>
        </w:rPr>
      </w:pPr>
      <w:r w:rsidDel="00000000" w:rsidR="00000000" w:rsidRPr="00000000">
        <w:rPr>
          <w:b w:val="1"/>
          <w:rtl w:val="0"/>
        </w:rPr>
        <w:t xml:space="preserve">2.1.2 Explicit and Tacit Knowledge</w:t>
      </w:r>
    </w:p>
    <w:p w:rsidR="00000000" w:rsidDel="00000000" w:rsidP="00000000" w:rsidRDefault="00000000" w:rsidRPr="00000000" w14:paraId="0000003F">
      <w:pPr>
        <w:jc w:val="both"/>
        <w:rPr/>
      </w:pPr>
      <w:r w:rsidDel="00000000" w:rsidR="00000000" w:rsidRPr="00000000">
        <w:rPr>
          <w:rtl w:val="0"/>
        </w:rPr>
        <w:t xml:space="preserve">Productive knowledge can be classified into two categories based on the difficulty of transferring such knowledge. Explicit knowledge is the knowledge that can be transferred easily by reading and listening, while tacit knowledge requires systematic teaching and learning process. For instance, weather forecasting and bus schedule are typical explicit knowledge. In contrast, semiconductor manufacturing and shell oil drilling are examples of tacit knowledge. A lack of tacit knowledge is the source of hinderance that an economy faces in its development and growth. Embedding tacit knowledge is a long and costly process, so people are trained for specific tasks and organizations are geared towards specific goals.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rFonts w:ascii="Times" w:cs="Times" w:eastAsia="Times" w:hAnsi="Times"/>
          <w:b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jc w:val="both"/>
        <w:rPr>
          <w:b w:val="1"/>
        </w:rPr>
      </w:pPr>
      <w:r w:rsidDel="00000000" w:rsidR="00000000" w:rsidRPr="00000000">
        <w:rPr>
          <w:b w:val="1"/>
          <w:rtl w:val="0"/>
        </w:rPr>
        <w:t xml:space="preserve">2.1.3 Capability </w:t>
      </w:r>
    </w:p>
    <w:p w:rsidR="00000000" w:rsidDel="00000000" w:rsidP="00000000" w:rsidRDefault="00000000" w:rsidRPr="00000000" w14:paraId="00000043">
      <w:pPr>
        <w:jc w:val="both"/>
        <w:rPr/>
      </w:pPr>
      <w:r w:rsidDel="00000000" w:rsidR="00000000" w:rsidRPr="00000000">
        <w:rPr>
          <w:rtl w:val="0"/>
        </w:rPr>
        <w:t xml:space="preserve">We define capability as modularized chunks of knowledge that are fully necessary for someone to perform certain functions. Nowadays, the society coins more capability modules and further breaks down existing modules into branches to follow the rapid technological development.</w:t>
      </w:r>
    </w:p>
    <w:p w:rsidR="00000000" w:rsidDel="00000000" w:rsidP="00000000" w:rsidRDefault="00000000" w:rsidRPr="00000000" w14:paraId="00000044">
      <w:pPr>
        <w:jc w:val="both"/>
        <w:rPr/>
      </w:pPr>
      <w:r w:rsidDel="00000000" w:rsidR="00000000" w:rsidRPr="00000000">
        <w:rPr>
          <w:rtl w:val="0"/>
        </w:rPr>
        <w:t xml:space="preserve">As an analogy, to respond to the increasing knowledge and complexity of jobs, the university system doesn’t lengthen the time it takes to get a college degree. Instead the universities are splitting majors into more specific branches. For instance, breaking the natural philosophy into physics, chemistry, mathematics, etc. Moreover, the university is adding new subjects, such as financial engineering.</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rFonts w:ascii="Times" w:cs="Times" w:eastAsia="Times" w:hAnsi="Times"/>
          <w:b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b w:val="1"/>
          <w:rtl w:val="0"/>
        </w:rPr>
        <w:t xml:space="preserve">2.1.4 Personbyte </w:t>
      </w:r>
    </w:p>
    <w:p w:rsidR="00000000" w:rsidDel="00000000" w:rsidP="00000000" w:rsidRDefault="00000000" w:rsidRPr="00000000" w14:paraId="00000048">
      <w:pPr>
        <w:jc w:val="both"/>
        <w:rPr/>
      </w:pPr>
      <w:r w:rsidDel="00000000" w:rsidR="00000000" w:rsidRPr="00000000">
        <w:rPr>
          <w:rtl w:val="0"/>
        </w:rPr>
        <w:t xml:space="preserve">Most products, nevertheless, require more knowledge than that can be mastered by any individual. Therefore, those products require that individuals with different capabilities interact. A product that requires 100 different personbytes cannot be made by a micro-entrepreneur working on her own. Instead, it has to be made collectively either by an organization with at least 100 individuals or by a network of organizations that can aggregate these 100 personbytes of knowledge. A deep division of labor enables individuals to become experts in small pieces of the available knowledge. Then, the labor forces aggregate their personbytes into </w:t>
      </w:r>
      <w:r w:rsidDel="00000000" w:rsidR="00000000" w:rsidRPr="00000000">
        <w:rPr>
          <w:i w:val="1"/>
          <w:rtl w:val="0"/>
        </w:rPr>
        <w:t xml:space="preserve">peoplebytes </w:t>
      </w:r>
      <w:r w:rsidDel="00000000" w:rsidR="00000000" w:rsidRPr="00000000">
        <w:rPr>
          <w:rtl w:val="0"/>
        </w:rPr>
        <w:t xml:space="preserve">through cooperation across organizations.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rPr>
      </w:pPr>
      <w:r w:rsidDel="00000000" w:rsidR="00000000" w:rsidRPr="00000000">
        <w:rPr>
          <w:b w:val="1"/>
          <w:rtl w:val="0"/>
        </w:rPr>
        <w:t xml:space="preserve">2.1.5 Economic Complexity Index</w:t>
      </w:r>
    </w:p>
    <w:p w:rsidR="00000000" w:rsidDel="00000000" w:rsidP="00000000" w:rsidRDefault="00000000" w:rsidRPr="00000000" w14:paraId="0000004B">
      <w:pPr>
        <w:jc w:val="both"/>
        <w:rPr/>
      </w:pPr>
      <w:r w:rsidDel="00000000" w:rsidR="00000000" w:rsidRPr="00000000">
        <w:rPr>
          <w:rtl w:val="0"/>
        </w:rPr>
        <w:t xml:space="preserve">As aforementioned, Economic Complexity Index is a standardized measure of  the capacity of a country to hold and combine knowledge. Economic Complexity Index (ECI) can account</w:t>
      </w:r>
    </w:p>
    <w:p w:rsidR="00000000" w:rsidDel="00000000" w:rsidP="00000000" w:rsidRDefault="00000000" w:rsidRPr="00000000" w14:paraId="0000004C">
      <w:pPr>
        <w:jc w:val="both"/>
        <w:rPr/>
      </w:pPr>
      <w:r w:rsidDel="00000000" w:rsidR="00000000" w:rsidRPr="00000000">
        <w:rPr>
          <w:rtl w:val="0"/>
        </w:rPr>
        <w:t xml:space="preserve">for a significant fraction of the cross-country variation in income per capita and economic growth, and that the ECI is a much stronger predictor of growth than other</w:t>
      </w:r>
    </w:p>
    <w:p w:rsidR="00000000" w:rsidDel="00000000" w:rsidP="00000000" w:rsidRDefault="00000000" w:rsidRPr="00000000" w14:paraId="0000004D">
      <w:pPr>
        <w:jc w:val="both"/>
        <w:rPr/>
      </w:pPr>
      <w:r w:rsidDel="00000000" w:rsidR="00000000" w:rsidRPr="00000000">
        <w:rPr>
          <w:rtl w:val="0"/>
        </w:rPr>
        <w:t xml:space="preserve">commonly used indicators that measure human capital, governance or competitiveness.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rPr>
      </w:pPr>
      <w:r w:rsidDel="00000000" w:rsidR="00000000" w:rsidRPr="00000000">
        <w:rPr>
          <w:rtl w:val="0"/>
        </w:rPr>
      </w:r>
    </w:p>
    <w:p w:rsidR="00000000" w:rsidDel="00000000" w:rsidP="00000000" w:rsidRDefault="00000000" w:rsidRPr="00000000" w14:paraId="00000050">
      <w:pPr>
        <w:jc w:val="both"/>
        <w:rPr>
          <w:b w:val="1"/>
        </w:rPr>
      </w:pPr>
      <w:r w:rsidDel="00000000" w:rsidR="00000000" w:rsidRPr="00000000">
        <w:rPr>
          <w:b w:val="1"/>
          <w:rtl w:val="0"/>
        </w:rPr>
        <w:t xml:space="preserve">2.2 Production Matrix: M</w:t>
      </w:r>
      <w:r w:rsidDel="00000000" w:rsidR="00000000" w:rsidRPr="00000000">
        <w:rPr>
          <w:b w:val="1"/>
          <w:vertAlign w:val="subscript"/>
          <w:rtl w:val="0"/>
        </w:rPr>
        <w:t xml:space="preserve">cp</w:t>
      </w:r>
      <w:r w:rsidDel="00000000" w:rsidR="00000000" w:rsidRPr="00000000">
        <w:rPr>
          <w:b w:val="1"/>
          <w:rtl w:val="0"/>
        </w:rPr>
        <w:t xml:space="preserve"> </w:t>
      </w:r>
    </w:p>
    <w:p w:rsidR="00000000" w:rsidDel="00000000" w:rsidP="00000000" w:rsidRDefault="00000000" w:rsidRPr="00000000" w14:paraId="00000051">
      <w:pPr>
        <w:jc w:val="both"/>
        <w:rPr/>
      </w:pPr>
      <w:r w:rsidDel="00000000" w:rsidR="00000000" w:rsidRPr="00000000">
        <w:rPr>
          <w:rtl w:val="0"/>
        </w:rPr>
        <w:t xml:space="preserve">With no authoritative and universal data source regarding production by industries, we estimate the production by volume of export provided by UN COMTRADE.  This rough approximation is a major source of discrepancy. Export is affected by political, geographical and all kinds of factors, hence cannot precisely represent the production. In the scope of the report, the production and export are the same measurement. For those readers who indeed have access to the production data, replacing the export by production dataset should enhance the performance of the metric to a great extent.</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Instead if absolute advantage in production, we are more interested in the comparative advantage when we discuss how dominant a country is with respect to a product. Due to the size and population, China is likely to have a larger volume of export in almost every product compared to Cambodia. However, in practice, Cambodia is always comparatively dominant in some products of which the national production divided by the sum of national production of all products are higher than China. Similarly, we use comparative measure to offset the fact that some products are always produced in a larger quantity across countries.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i w:val="1"/>
        </w:rPr>
      </w:pPr>
      <w:r w:rsidDel="00000000" w:rsidR="00000000" w:rsidRPr="00000000">
        <w:rPr>
          <w:rtl w:val="0"/>
        </w:rPr>
        <w:t xml:space="preserve">Balassa defines Revealed Comparative Advantage (RCA) as </w:t>
      </w:r>
      <w:r w:rsidDel="00000000" w:rsidR="00000000" w:rsidRPr="00000000">
        <w:rPr>
          <w:i w:val="1"/>
          <w:rtl w:val="0"/>
        </w:rPr>
        <w:t xml:space="preserve">“a country has Revealed Comparative Advantage in a product if it exports more than its “fair” share, that is, a share that is equal to the share of total world trade that the product represents.” </w:t>
      </w:r>
    </w:p>
    <w:p w:rsidR="00000000" w:rsidDel="00000000" w:rsidP="00000000" w:rsidRDefault="00000000" w:rsidRPr="00000000" w14:paraId="00000056">
      <w:pPr>
        <w:jc w:val="both"/>
        <w:rPr/>
      </w:pPr>
      <w:r w:rsidDel="00000000" w:rsidR="00000000" w:rsidRPr="00000000">
        <w:rPr>
          <w:rtl w:val="0"/>
        </w:rPr>
        <w:t xml:space="preserve">Formally, given the volume of production for a pair of country c and product p, we define RCA</w:t>
      </w:r>
      <w:r w:rsidDel="00000000" w:rsidR="00000000" w:rsidRPr="00000000">
        <w:rPr>
          <w:vertAlign w:val="subscript"/>
          <w:rtl w:val="0"/>
        </w:rPr>
        <w:t xml:space="preserve">cp</w:t>
      </w:r>
      <w:r w:rsidDel="00000000" w:rsidR="00000000" w:rsidRPr="00000000">
        <w:rPr>
          <w:rtl w:val="0"/>
        </w:rPr>
        <w:t xml:space="preserve"> as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RCA</m:t>
            </m:r>
          </m:e>
          <m:sub>
            <m:r>
              <w:rPr>
                <w:rFonts w:ascii="Cambria Math" w:cs="Cambria Math" w:eastAsia="Cambria Math" w:hAnsi="Cambria Math"/>
              </w:rPr>
              <m:t xml:space="preserve">cp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den>
        </m:f>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c,p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den>
        </m:f>
      </m:oMath>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Accordingly, we define the matrix of comparative advantage in production for countries and products. “1” indicates the advantage, while “0” indicates the opposite.</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t>
        </m:r>
        <m:r>
          <w:rPr/>
          <m:t xml:space="preserve">{</m:t>
        </m:r>
        <m:r>
          <w:rPr>
            <w:rFonts w:ascii="Cambria Math" w:cs="Cambria Math" w:eastAsia="Cambria Math" w:hAnsi="Cambria Math"/>
          </w:rPr>
          <m:t xml:space="preserve"> 1  </m:t>
        </m:r>
        <m:sSub>
          <m:sSubPr>
            <m:ctrlPr>
              <w:rPr>
                <w:rFonts w:ascii="Cambria Math" w:cs="Cambria Math" w:eastAsia="Cambria Math" w:hAnsi="Cambria Math"/>
              </w:rPr>
            </m:ctrlPr>
          </m:sSubPr>
          <m:e>
            <m:r>
              <w:rPr>
                <w:rFonts w:ascii="Cambria Math" w:cs="Cambria Math" w:eastAsia="Cambria Math" w:hAnsi="Cambria Math"/>
              </w:rPr>
              <m:t xml:space="preserve">    RCA</m:t>
            </m:r>
          </m:e>
          <m:sub>
            <m:r>
              <w:rPr>
                <w:rFonts w:ascii="Cambria Math" w:cs="Cambria Math" w:eastAsia="Cambria Math" w:hAnsi="Cambria Math"/>
              </w:rPr>
              <m:t xml:space="preserve">cp</m:t>
            </m:r>
          </m:sub>
        </m:sSub>
        <m:r>
          <w:rPr>
            <w:rFonts w:ascii="Cambria Math" w:cs="Cambria Math" w:eastAsia="Cambria Math" w:hAnsi="Cambria Math"/>
          </w:rPr>
          <m:t xml:space="preserve">≥1</m:t>
        </m:r>
        <m:r>
          <w:rPr/>
          <m:t xml:space="preserve"> </m:t>
        </m:r>
        <m:r>
          <w:rPr>
            <w:rFonts w:ascii="Cambria Math" w:cs="Cambria Math" w:eastAsia="Cambria Math" w:hAnsi="Cambria Math"/>
          </w:rPr>
          <m:t xml:space="preserve">  0      Otherwise</m:t>
        </m:r>
        <m:r>
          <w:rPr/>
          <m:t xml:space="preserve"> </m:t>
        </m:r>
      </m:oMath>
      <w:r w:rsidDel="00000000" w:rsidR="00000000" w:rsidRPr="00000000">
        <w:rPr>
          <w:rtl w:val="0"/>
        </w:rPr>
      </w:r>
    </w:p>
    <w:p w:rsidR="00000000" w:rsidDel="00000000" w:rsidP="00000000" w:rsidRDefault="00000000" w:rsidRPr="00000000" w14:paraId="0000005D">
      <w:pPr>
        <w:jc w:val="both"/>
        <w:rPr>
          <w:b w:val="1"/>
        </w:rPr>
      </w:pPr>
      <w:r w:rsidDel="00000000" w:rsidR="00000000" w:rsidRPr="00000000">
        <w:rPr>
          <w:rtl w:val="0"/>
        </w:rPr>
      </w:r>
    </w:p>
    <w:p w:rsidR="00000000" w:rsidDel="00000000" w:rsidP="00000000" w:rsidRDefault="00000000" w:rsidRPr="00000000" w14:paraId="0000005E">
      <w:pPr>
        <w:jc w:val="both"/>
        <w:rPr>
          <w:b w:val="1"/>
        </w:rPr>
      </w:pPr>
      <w:r w:rsidDel="00000000" w:rsidR="00000000" w:rsidRPr="00000000">
        <w:rPr>
          <w:b w:val="1"/>
          <w:rtl w:val="0"/>
        </w:rPr>
        <w:t xml:space="preserve">2.3 Diversity and Ubiquity</w:t>
      </w:r>
    </w:p>
    <w:p w:rsidR="00000000" w:rsidDel="00000000" w:rsidP="00000000" w:rsidRDefault="00000000" w:rsidRPr="00000000" w14:paraId="0000005F">
      <w:pPr>
        <w:jc w:val="both"/>
        <w:rPr/>
      </w:pPr>
      <w:r w:rsidDel="00000000" w:rsidR="00000000" w:rsidRPr="00000000">
        <w:rPr>
          <w:rtl w:val="0"/>
        </w:rPr>
        <w:t xml:space="preserve">We definitely can use a sword to peel an apple, since the sword is sharp, portable and qualified in all extents for peeling an apple. Analogically, a sword has all the ‘productive knowledge’ required to peel an apple. In contrast, your laptop or Calculus textbook may not be good choices.</w:t>
      </w:r>
    </w:p>
    <w:p w:rsidR="00000000" w:rsidDel="00000000" w:rsidP="00000000" w:rsidRDefault="00000000" w:rsidRPr="00000000" w14:paraId="00000060">
      <w:pPr>
        <w:jc w:val="both"/>
        <w:rPr/>
      </w:pPr>
      <w:r w:rsidDel="00000000" w:rsidR="00000000" w:rsidRPr="00000000">
        <w:rPr>
          <w:rtl w:val="0"/>
        </w:rPr>
        <w:t xml:space="preserve">In contrast, as long as we have access to handy peelers and knives, we are less likely to use the sword, because peeling an apple doesn’t seem to be a difficult task and we have tons of options. However, if we live in a world with only a sword, laptop, Calculus textbook, and apples, then sword suddenly becomes the most “elegant” apple peeler.  Whether a sword is good at peeling apples also depends on the amount and competitiveness of other candidates.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Analogically, when we want to determine how dominant a country is in making a certain product, we have to consider the variety of productive knowledge the country holds, and the difficulty of making the product defined by the productive knowledge required in production.</w:t>
      </w:r>
    </w:p>
    <w:p w:rsidR="00000000" w:rsidDel="00000000" w:rsidP="00000000" w:rsidRDefault="00000000" w:rsidRPr="00000000" w14:paraId="00000063">
      <w:pPr>
        <w:jc w:val="both"/>
        <w:rPr/>
      </w:pPr>
      <w:r w:rsidDel="00000000" w:rsidR="00000000" w:rsidRPr="00000000">
        <w:rPr>
          <w:rtl w:val="0"/>
        </w:rPr>
        <w:t xml:space="preserve">Diversity and Ubiquity are respectively such crude estimators that are formally defined below:</w:t>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m:oMath>
        <m:r>
          <w:rPr>
            <w:rFonts w:ascii="Cambria Math" w:cs="Cambria Math" w:eastAsia="Cambria Math" w:hAnsi="Cambria Math"/>
          </w:rPr>
          <m:t xml:space="preserve">Diversity=</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oMath>
      <w:r w:rsidDel="00000000" w:rsidR="00000000" w:rsidRPr="00000000">
        <w:rPr>
          <w:rtl w:val="0"/>
        </w:rPr>
        <w:tab/>
        <w:tab/>
        <w:tab/>
        <w:t xml:space="preserve">(1)</w:t>
      </w:r>
    </w:p>
    <w:p w:rsidR="00000000" w:rsidDel="00000000" w:rsidP="00000000" w:rsidRDefault="00000000" w:rsidRPr="00000000" w14:paraId="00000066">
      <w:pPr>
        <w:jc w:val="center"/>
        <w:rPr/>
      </w:pPr>
      <m:oMath>
        <m:r>
          <w:rPr>
            <w:rFonts w:ascii="Cambria Math" w:cs="Cambria Math" w:eastAsia="Cambria Math" w:hAnsi="Cambria Math"/>
          </w:rPr>
          <m:t xml:space="preserve">Ubiquity=</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oMath>
      <w:r w:rsidDel="00000000" w:rsidR="00000000" w:rsidRPr="00000000">
        <w:rPr>
          <w:rtl w:val="0"/>
        </w:rPr>
        <w:t xml:space="preserve">                            (2)</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As shown in the apple peeler analogy, the Diversity and Ubiquity are a pair of complements and can be used to iteratively correct each other. For a country with high Diversity, we go through the Ubiquity of all products the country makes to determine whether the high Diversity attributes to exceptional productivity or a mass production of low-end products. For a product with high Ubiquity, we examine the Diversity of all its production sources to determine whether the high Ubiquity indicates the product to be high-end or just less demanded. In a few iterations, the effectiveness of correction converges to zero and the cross-correction process terminates.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 k</m:t>
            </m:r>
          </m:e>
          <m:sub>
            <m:r>
              <w:rPr>
                <w:rFonts w:ascii="Cambria Math" w:cs="Cambria Math" w:eastAsia="Cambria Math" w:hAnsi="Cambria Math"/>
              </w:rPr>
              <m:t xml:space="preserve">p,N-1</m:t>
            </m:r>
          </m:sub>
        </m:sSub>
        <m:r>
          <w:rPr>
            <w:rFonts w:ascii="Cambria Math" w:cs="Cambria Math" w:eastAsia="Cambria Math" w:hAnsi="Cambria Math"/>
          </w:rPr>
          <m:t xml:space="preserve"> </m:t>
        </m:r>
      </m:oMath>
      <w:r w:rsidDel="00000000" w:rsidR="00000000" w:rsidRPr="00000000">
        <w:rPr>
          <w:rtl w:val="0"/>
        </w:rPr>
        <w:t xml:space="preserve"> </w:t>
        <w:tab/>
        <w:tab/>
        <w:tab/>
        <w:t xml:space="preserve">(3)</w:t>
      </w:r>
    </w:p>
    <w:p w:rsidR="00000000" w:rsidDel="00000000" w:rsidP="00000000" w:rsidRDefault="00000000" w:rsidRPr="00000000" w14:paraId="0000006B">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p,N</m:t>
            </m:r>
          </m:sub>
        </m:sSub>
        <m:r>
          <w:rPr>
            <w:rFonts w:ascii="Cambria Math" w:cs="Cambria Math" w:eastAsia="Cambria Math" w:hAnsi="Cambria Math"/>
          </w:rPr>
          <m:t xml:space="preserve">=</m:t>
        </m:r>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 k</m:t>
            </m:r>
          </m:e>
          <m:sub>
            <m:r>
              <w:rPr>
                <w:rFonts w:ascii="Cambria Math" w:cs="Cambria Math" w:eastAsia="Cambria Math" w:hAnsi="Cambria Math"/>
              </w:rPr>
              <m:t xml:space="preserve">c,N-1</m:t>
            </m:r>
          </m:sub>
        </m:sSub>
      </m:oMath>
      <w:r w:rsidDel="00000000" w:rsidR="00000000" w:rsidRPr="00000000">
        <w:rPr>
          <w:rtl w:val="0"/>
        </w:rPr>
        <w:tab/>
        <w:tab/>
        <w:tab/>
        <w:t xml:space="preserve">(4)</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Plug the value of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p,N</m:t>
            </m:r>
          </m:sub>
        </m:sSub>
      </m:oMath>
      <w:r w:rsidDel="00000000" w:rsidR="00000000" w:rsidRPr="00000000">
        <w:rPr>
          <w:rtl w:val="0"/>
        </w:rPr>
        <w:t xml:space="preserve"> into the equation of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oMath>
      <w:r w:rsidDel="00000000" w:rsidR="00000000" w:rsidRPr="00000000">
        <w:rPr>
          <w:rtl w:val="0"/>
        </w:rPr>
        <w:t xml:space="preserve">, we derive</w:t>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 k</m:t>
            </m:r>
          </m:e>
          <m:sub>
            <m:r>
              <w:rPr>
                <w:rFonts w:ascii="Cambria Math" w:cs="Cambria Math" w:eastAsia="Cambria Math" w:hAnsi="Cambria Math"/>
              </w:rPr>
              <m:t xml:space="preserve">c',N-2</m:t>
            </m:r>
          </m:sub>
        </m:sSub>
      </m:oMath>
      <w:r w:rsidDel="00000000" w:rsidR="00000000" w:rsidRPr="00000000">
        <w:rPr>
          <w:rtl w:val="0"/>
        </w:rPr>
        <w:t xml:space="preserve"> </w:t>
        <w:tab/>
        <w:t xml:space="preserve">(5)</w:t>
      </w:r>
    </w:p>
    <w:p w:rsidR="00000000" w:rsidDel="00000000" w:rsidP="00000000" w:rsidRDefault="00000000" w:rsidRPr="00000000" w14:paraId="00000070">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k</m:t>
            </m:r>
          </m:e>
          <m: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m:t>
                </m:r>
              </m:sup>
            </m:sSup>
            <m:r>
              <w:rPr>
                <w:rFonts w:ascii="Cambria Math" w:cs="Cambria Math" w:eastAsia="Cambria Math" w:hAnsi="Cambria Math"/>
              </w:rPr>
              <m:t xml:space="preserve">,N-2</m:t>
            </m:r>
          </m:sub>
        </m:sSub>
        <m:nary>
          <m:naryPr>
            <m:chr m:val="∑"/>
            <m:ctrlPr>
              <w:rPr>
                <w:rFonts w:ascii="Cambria Math" w:cs="Cambria Math" w:eastAsia="Cambria Math" w:hAnsi="Cambria Math"/>
              </w:rPr>
            </m:ctrlPr>
          </m:naryPr>
          <m:sub/>
          <m:sup/>
        </m:nary>
        <m:f>
          <m:fPr>
            <m:ctrlPr>
              <w:rPr>
                <w:rFonts w:ascii="Cambria Math" w:cs="Cambria Math" w:eastAsia="Cambria Math" w:hAnsi="Cambria Math"/>
              </w:rPr>
            </m:ctrlPr>
          </m:fPr>
          <m:num>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m:t>
                </m:r>
              </m:e>
              <m:sub>
                <m:r>
                  <w:rPr>
                    <w:rFonts w:ascii="Cambria Math" w:cs="Cambria Math" w:eastAsia="Cambria Math" w:hAnsi="Cambria Math"/>
                  </w:rPr>
                  <m:t xml:space="preserve">c'p</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oMath>
      <w:r w:rsidDel="00000000" w:rsidR="00000000" w:rsidRPr="00000000">
        <w:rPr>
          <w:rtl w:val="0"/>
        </w:rPr>
        <w:t xml:space="preserve">  </w:t>
        <w:tab/>
        <w:tab/>
        <w:tab/>
        <w:t xml:space="preserve">(6)</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Or for simplicity,</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cc'</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m:t>
                </m:r>
              </m:sup>
            </m:sSup>
            <m:r>
              <w:rPr>
                <w:rFonts w:ascii="Cambria Math" w:cs="Cambria Math" w:eastAsia="Cambria Math" w:hAnsi="Cambria Math"/>
              </w:rPr>
              <m:t xml:space="preserve">,N-2</m:t>
            </m:r>
          </m:sub>
        </m:sSub>
      </m:oMath>
      <w:r w:rsidDel="00000000" w:rsidR="00000000" w:rsidRPr="00000000">
        <w:rPr>
          <w:rtl w:val="0"/>
        </w:rPr>
        <w:t xml:space="preserve"> </w:t>
        <w:tab/>
        <w:tab/>
        <w:tab/>
        <w:t xml:space="preserve">(7)</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where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cc'</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f>
          <m:fPr>
            <m:ctrlPr>
              <w:rPr>
                <w:rFonts w:ascii="Cambria Math" w:cs="Cambria Math" w:eastAsia="Cambria Math" w:hAnsi="Cambria Math"/>
              </w:rPr>
            </m:ctrlPr>
          </m:fPr>
          <m:num>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m:t>
                </m:r>
              </m:e>
              <m:sub>
                <m:r>
                  <w:rPr>
                    <w:rFonts w:ascii="Cambria Math" w:cs="Cambria Math" w:eastAsia="Cambria Math" w:hAnsi="Cambria Math"/>
                  </w:rPr>
                  <m:t xml:space="preserve">c'p</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oMath>
      <w:r w:rsidDel="00000000" w:rsidR="00000000" w:rsidRPr="00000000">
        <w:rPr>
          <w:rtl w:val="0"/>
        </w:rPr>
        <w:t xml:space="preserve"> </w:t>
        <w:tab/>
        <w:tab/>
        <w:t xml:space="preserve">             (8)</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rPr>
      </w:pPr>
      <w:r w:rsidDel="00000000" w:rsidR="00000000" w:rsidRPr="00000000">
        <w:rPr>
          <w:b w:val="1"/>
          <w:rtl w:val="0"/>
        </w:rPr>
        <w:t xml:space="preserve">2.4 Economic Complexity Index and Product Complexity Index</w:t>
      </w:r>
    </w:p>
    <w:p w:rsidR="00000000" w:rsidDel="00000000" w:rsidP="00000000" w:rsidRDefault="00000000" w:rsidRPr="00000000" w14:paraId="00000079">
      <w:pPr>
        <w:jc w:val="both"/>
        <w:rPr/>
      </w:pPr>
      <w:r w:rsidDel="00000000" w:rsidR="00000000" w:rsidRPr="00000000">
        <w:rPr>
          <w:rtl w:val="0"/>
        </w:rPr>
        <w:t xml:space="preserve">The largest eigenvector of M</w:t>
      </w:r>
      <w:r w:rsidDel="00000000" w:rsidR="00000000" w:rsidRPr="00000000">
        <w:rPr>
          <w:vertAlign w:val="subscript"/>
          <w:rtl w:val="0"/>
        </w:rPr>
        <w:t xml:space="preserve">cc’</w:t>
      </w:r>
      <w:r w:rsidDel="00000000" w:rsidR="00000000" w:rsidRPr="00000000">
        <w:rPr>
          <w:rtl w:val="0"/>
        </w:rPr>
        <w:t xml:space="preserve"> is a vector of ones, which satisfies equation (7)</w:t>
      </w:r>
    </w:p>
    <w:p w:rsidR="00000000" w:rsidDel="00000000" w:rsidP="00000000" w:rsidRDefault="00000000" w:rsidRPr="00000000" w14:paraId="0000007A">
      <w:pPr>
        <w:jc w:val="both"/>
        <w:rPr/>
      </w:pPr>
      <w:r w:rsidDel="00000000" w:rsidR="00000000" w:rsidRPr="00000000">
        <w:rPr>
          <w:rtl w:val="0"/>
        </w:rPr>
        <w:t xml:space="preserve">By definition, the second largest eigenvector </w:t>
      </w: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tl w:val="0"/>
        </w:rPr>
        <w:t xml:space="preserve"> best preserves information on variance of the system. Hence, we define the Economic Complexity Index ( ECI) as: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center"/>
        <w:rPr/>
      </w:pPr>
      <m:oMath>
        <m:r>
          <w:rPr>
            <w:rFonts w:ascii="Cambria Math" w:cs="Cambria Math" w:eastAsia="Cambria Math" w:hAnsi="Cambria Math"/>
          </w:rPr>
          <m:t xml:space="preserve">ECI=</m:t>
        </m:r>
        <m:f>
          <m:fPr>
            <m:ctrlPr>
              <w:rPr>
                <w:rFonts w:ascii="Cambria Math" w:cs="Cambria Math" w:eastAsia="Cambria Math" w:hAnsi="Cambria Math"/>
              </w:rPr>
            </m:ctrlPr>
          </m:fPr>
          <m:num>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-&lt;</m:t>
            </m:r>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&gt;</m:t>
            </m:r>
          </m:num>
          <m:den>
            <m:r>
              <w:rPr>
                <w:rFonts w:ascii="Cambria Math" w:cs="Cambria Math" w:eastAsia="Cambria Math" w:hAnsi="Cambria Math"/>
              </w:rPr>
              <m:t xml:space="preserve">stdev(</m:t>
            </m:r>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m:t>
            </m:r>
          </m:den>
        </m:f>
      </m:oMath>
      <w:r w:rsidDel="00000000" w:rsidR="00000000" w:rsidRPr="00000000">
        <w:rPr>
          <w:rtl w:val="0"/>
        </w:rPr>
        <w:t xml:space="preserve"> </w:t>
        <w:tab/>
        <w:tab/>
        <w:tab/>
        <w:tab/>
        <w:t xml:space="preserve">(9)</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where &lt; &gt; stands for numeric mean, and stdev stands for the standard deviation.</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By the same token, we plug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oMath>
      <w:r w:rsidDel="00000000" w:rsidR="00000000" w:rsidRPr="00000000">
        <w:rPr>
          <w:rtl w:val="0"/>
        </w:rPr>
        <w:t xml:space="preserve"> into the equation of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p,N</m:t>
            </m:r>
          </m:sub>
        </m:sSub>
      </m:oMath>
      <w:r w:rsidDel="00000000" w:rsidR="00000000" w:rsidRPr="00000000">
        <w:rPr>
          <w:rtl w:val="0"/>
        </w:rPr>
        <w:t xml:space="preserve"> , calculate the second largest eigenvector </w:t>
      </w:r>
      <m:oMath>
        <m:acc>
          <m:accPr>
            <m:chr m:val="⃗"/>
            <m:ctrlPr>
              <w:rPr>
                <w:rFonts w:ascii="Cambria Math" w:cs="Cambria Math" w:eastAsia="Cambria Math" w:hAnsi="Cambria Math"/>
              </w:rPr>
            </m:ctrlPr>
          </m:accPr>
          <m:e>
            <m:r>
              <w:rPr>
                <w:rFonts w:ascii="Cambria Math" w:cs="Cambria Math" w:eastAsia="Cambria Math" w:hAnsi="Cambria Math"/>
              </w:rPr>
              <m:t xml:space="preserve">Q</m:t>
            </m:r>
          </m:e>
        </m:acc>
      </m:oMath>
      <w:r w:rsidDel="00000000" w:rsidR="00000000" w:rsidRPr="00000000">
        <w:rPr>
          <w:rtl w:val="0"/>
        </w:rPr>
        <w:t xml:space="preserve"> of M</w:t>
      </w:r>
      <w:r w:rsidDel="00000000" w:rsidR="00000000" w:rsidRPr="00000000">
        <w:rPr>
          <w:vertAlign w:val="subscript"/>
          <w:rtl w:val="0"/>
        </w:rPr>
        <w:t xml:space="preserve">pp’,</w:t>
      </w:r>
      <w:r w:rsidDel="00000000" w:rsidR="00000000" w:rsidRPr="00000000">
        <w:rPr>
          <w:rtl w:val="0"/>
        </w:rPr>
        <w:t xml:space="preserve"> and define Product Complexity Index ( PCI) as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center"/>
        <w:rPr/>
      </w:pPr>
      <m:oMath>
        <m:r>
          <w:rPr>
            <w:rFonts w:ascii="Cambria Math" w:cs="Cambria Math" w:eastAsia="Cambria Math" w:hAnsi="Cambria Math"/>
          </w:rPr>
          <m:t xml:space="preserve">PCI=</m:t>
        </m:r>
        <m:f>
          <m:fPr>
            <m:ctrlPr>
              <w:rPr>
                <w:rFonts w:ascii="Cambria Math" w:cs="Cambria Math" w:eastAsia="Cambria Math" w:hAnsi="Cambria Math"/>
              </w:rPr>
            </m:ctrlPr>
          </m:fPr>
          <m:num>
            <m:acc>
              <m:accPr>
                <m:chr m:val="⃗"/>
                <m:ctrlPr>
                  <w:rPr>
                    <w:rFonts w:ascii="Cambria Math" w:cs="Cambria Math" w:eastAsia="Cambria Math" w:hAnsi="Cambria Math"/>
                  </w:rPr>
                </m:ctrlPr>
              </m:accPr>
              <m:e>
                <m:r>
                  <w:rPr>
                    <w:rFonts w:ascii="Cambria Math" w:cs="Cambria Math" w:eastAsia="Cambria Math" w:hAnsi="Cambria Math"/>
                  </w:rPr>
                  <m:t xml:space="preserve">Q</m:t>
                </m:r>
              </m:e>
            </m:acc>
            <m:r>
              <w:rPr>
                <w:rFonts w:ascii="Cambria Math" w:cs="Cambria Math" w:eastAsia="Cambria Math" w:hAnsi="Cambria Math"/>
              </w:rPr>
              <m:t xml:space="preserve">-&lt;</m:t>
            </m:r>
            <m:acc>
              <m:accPr>
                <m:chr m:val="⃗"/>
                <m:ctrlPr>
                  <w:rPr>
                    <w:rFonts w:ascii="Cambria Math" w:cs="Cambria Math" w:eastAsia="Cambria Math" w:hAnsi="Cambria Math"/>
                  </w:rPr>
                </m:ctrlPr>
              </m:accPr>
              <m:e>
                <m:r>
                  <w:rPr>
                    <w:rFonts w:ascii="Cambria Math" w:cs="Cambria Math" w:eastAsia="Cambria Math" w:hAnsi="Cambria Math"/>
                  </w:rPr>
                  <m:t xml:space="preserve">Q</m:t>
                </m:r>
              </m:e>
            </m:acc>
            <m:r>
              <w:rPr>
                <w:rFonts w:ascii="Cambria Math" w:cs="Cambria Math" w:eastAsia="Cambria Math" w:hAnsi="Cambria Math"/>
              </w:rPr>
              <m:t xml:space="preserve">&gt;</m:t>
            </m:r>
          </m:num>
          <m:den>
            <m:r>
              <w:rPr>
                <w:rFonts w:ascii="Cambria Math" w:cs="Cambria Math" w:eastAsia="Cambria Math" w:hAnsi="Cambria Math"/>
              </w:rPr>
              <m:t xml:space="preserve">stdev(</m:t>
            </m:r>
            <m:acc>
              <m:accPr>
                <m:chr m:val="⃗"/>
                <m:ctrlPr>
                  <w:rPr>
                    <w:rFonts w:ascii="Cambria Math" w:cs="Cambria Math" w:eastAsia="Cambria Math" w:hAnsi="Cambria Math"/>
                  </w:rPr>
                </m:ctrlPr>
              </m:accPr>
              <m:e>
                <m:r>
                  <w:rPr>
                    <w:rFonts w:ascii="Cambria Math" w:cs="Cambria Math" w:eastAsia="Cambria Math" w:hAnsi="Cambria Math"/>
                  </w:rPr>
                  <m:t xml:space="preserve">Q</m:t>
                </m:r>
              </m:e>
            </m:acc>
            <m:r>
              <w:rPr>
                <w:rFonts w:ascii="Cambria Math" w:cs="Cambria Math" w:eastAsia="Cambria Math" w:hAnsi="Cambria Math"/>
              </w:rPr>
              <m:t xml:space="preserve">)</m:t>
            </m:r>
          </m:den>
        </m:f>
      </m:oMath>
      <w:r w:rsidDel="00000000" w:rsidR="00000000" w:rsidRPr="00000000">
        <w:rPr>
          <w:rtl w:val="0"/>
        </w:rPr>
        <w:t xml:space="preserve"> </w:t>
        <w:tab/>
        <w:tab/>
        <w:tab/>
        <w:tab/>
        <w:t xml:space="preserve">(10)</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b w:val="1"/>
        </w:rPr>
      </w:pPr>
      <w:r w:rsidDel="00000000" w:rsidR="00000000" w:rsidRPr="00000000">
        <w:rPr>
          <w:rtl w:val="0"/>
        </w:rPr>
        <w:t xml:space="preserve">Where &lt; &gt; stands for numeric mean, and stdev stands for the standard deviation.</w:t>
      </w:r>
      <w:r w:rsidDel="00000000" w:rsidR="00000000" w:rsidRPr="00000000">
        <w:rPr>
          <w:rtl w:val="0"/>
        </w:rPr>
      </w:r>
    </w:p>
    <w:p w:rsidR="00000000" w:rsidDel="00000000" w:rsidP="00000000" w:rsidRDefault="00000000" w:rsidRPr="00000000" w14:paraId="00000085">
      <w:pPr>
        <w:jc w:val="both"/>
        <w:rPr>
          <w:b w:val="1"/>
        </w:rPr>
      </w:pPr>
      <w:r w:rsidDel="00000000" w:rsidR="00000000" w:rsidRPr="00000000">
        <w:rPr>
          <w:rtl w:val="0"/>
        </w:rPr>
      </w:r>
    </w:p>
    <w:p w:rsidR="00000000" w:rsidDel="00000000" w:rsidP="00000000" w:rsidRDefault="00000000" w:rsidRPr="00000000" w14:paraId="00000086">
      <w:pPr>
        <w:jc w:val="both"/>
        <w:rPr>
          <w:b w:val="1"/>
        </w:rPr>
      </w:pPr>
      <w:r w:rsidDel="00000000" w:rsidR="00000000" w:rsidRPr="00000000">
        <w:rPr>
          <w:b w:val="1"/>
          <w:rtl w:val="0"/>
        </w:rPr>
        <w:t xml:space="preserve">2.5 Proximity and Distance</w:t>
      </w:r>
    </w:p>
    <w:p w:rsidR="00000000" w:rsidDel="00000000" w:rsidP="00000000" w:rsidRDefault="00000000" w:rsidRPr="00000000" w14:paraId="00000087">
      <w:pPr>
        <w:jc w:val="both"/>
        <w:rPr/>
      </w:pPr>
      <w:r w:rsidDel="00000000" w:rsidR="00000000" w:rsidRPr="00000000">
        <w:rPr>
          <w:rtl w:val="0"/>
        </w:rPr>
        <w:t xml:space="preserve">As aforementioned, an economy always faces multiple paths in the journey of its development, or equivalently, expansion of product space. While a certain sequence is efficient and reasonable for some countries, it may not be the case for others.  Certain products are close substitute. They share high proximity in a sense that possessing the productive knowledge embedded in their production makes it easier to produce the others. We then define connectedness of z product as the numeric average of proximity of it to all other products.  After calculation, high-end products clearly exhibit high connectedness, while rudimental products tend to be far away from other products. The intuition is to use the joint probability of co-producing two products as the estimator of proximity. However, this doesn’t work out well. Instead, we use the minimum between the conditional probability of exporting product p given the country is currently exporting product p’ and that of exporting p’ given the country is exporting p, as our measure. We choose the minimum of each pair of conditional probability to minimize the false positive rate.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m:t>
                </m:r>
              </m:e>
              <m:sub>
                <m:r>
                  <w:rPr>
                    <w:rFonts w:ascii="Cambria Math" w:cs="Cambria Math" w:eastAsia="Cambria Math" w:hAnsi="Cambria Math"/>
                  </w:rPr>
                  <m:t xml:space="preserve">cp'</m:t>
                </m:r>
              </m:sub>
            </m:sSub>
          </m:num>
          <m:den>
            <m:sSub>
              <m:sSubPr>
                <m:ctrlPr>
                  <w:rPr>
                    <w:rFonts w:ascii="Cambria Math" w:cs="Cambria Math" w:eastAsia="Cambria Math" w:hAnsi="Cambria Math"/>
                  </w:rPr>
                </m:ctrlPr>
              </m:sSubPr>
              <m:e>
                <m:r>
                  <w:rPr>
                    <w:rFonts w:ascii="Cambria Math" w:cs="Cambria Math" w:eastAsia="Cambria Math" w:hAnsi="Cambria Math"/>
                  </w:rPr>
                  <m:t xml:space="preserve">max(k</m:t>
                </m:r>
              </m:e>
              <m:sub>
                <m:r>
                  <w:rPr>
                    <w:rFonts w:ascii="Cambria Math" w:cs="Cambria Math" w:eastAsia="Cambria Math" w:hAnsi="Cambria Math"/>
                  </w:rPr>
                  <m:t xml:space="preserve">p,0,</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oMath>
      <w:r w:rsidDel="00000000" w:rsidR="00000000" w:rsidRPr="00000000">
        <w:rPr>
          <w:rtl w:val="0"/>
        </w:rPr>
        <w:t xml:space="preserve"> </w:t>
        <w:tab/>
        <w:tab/>
        <w:tab/>
        <w:tab/>
        <w:t xml:space="preserve">(11)</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The difficulty for a country to produce a product outside its product space is simply the connectedness of the product to all products currently in the product space. We normalize this measure and formally define Distance as follows. </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cp</m:t>
            </m:r>
          </m:sub>
        </m:sSub>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(1-M</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den>
        </m:f>
      </m:oMath>
      <w:r w:rsidDel="00000000" w:rsidR="00000000" w:rsidRPr="00000000">
        <w:rPr>
          <w:rtl w:val="0"/>
        </w:rPr>
        <w:t xml:space="preserve"> </w:t>
        <w:tab/>
        <w:tab/>
        <w:tab/>
        <w:tab/>
        <w:t xml:space="preserve">(12)</w:t>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b w:val="1"/>
        </w:rPr>
      </w:pPr>
      <w:r w:rsidDel="00000000" w:rsidR="00000000" w:rsidRPr="00000000">
        <w:rPr>
          <w:b w:val="1"/>
          <w:rtl w:val="0"/>
        </w:rPr>
        <w:t xml:space="preserve">2.6 Opportunity Gain</w:t>
      </w:r>
    </w:p>
    <w:p w:rsidR="00000000" w:rsidDel="00000000" w:rsidP="00000000" w:rsidRDefault="00000000" w:rsidRPr="00000000" w14:paraId="00000091">
      <w:pPr>
        <w:jc w:val="both"/>
        <w:rPr/>
      </w:pPr>
      <w:r w:rsidDel="00000000" w:rsidR="00000000" w:rsidRPr="00000000">
        <w:rPr>
          <w:rtl w:val="0"/>
        </w:rPr>
        <w:t xml:space="preserve">We are still in need of an estimator of profitability. Again, the profit of exploring a new product is not limited to the increase of GDP, or any figures on fiscal report. It’s more about the decrement of Distance to all other products far away from the product space. Such products should not be weighted uniformly. The more complex a product is, the higher value it should be assigned with. We first calculate the total unexploited value for a country c, before and after the advance of a new product. The difference should be the “revenue” for the country c to develop product p. The “cost” is just a measurement of the difficulty of developing the product. The Opportunity Gain is simply the “revenue” net of “cost”. There is a trade-off between the increment of Total Unexploited Value and the difficulty of developing the product. While the advance of a new product draws all products closer to the product space, the low complexity and huge distance of the product also incur a cost. If the product is an extreme outlier far from the product space, and is loosely connected to other products, the Opportunity Gain can even go negative.</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center"/>
        <w:rPr/>
      </w:pPr>
      <m:oMath>
        <m:r>
          <w:rPr>
            <w:rFonts w:ascii="Cambria Math" w:cs="Cambria Math" w:eastAsia="Cambria Math" w:hAnsi="Cambria Math"/>
          </w:rPr>
          <m:t xml:space="preserve">Total Unexploited Value=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(1-d</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(1-M</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PCI</m:t>
            </m:r>
          </m:e>
          <m:sub>
            <m:r>
              <w:rPr>
                <w:rFonts w:ascii="Cambria Math" w:cs="Cambria Math" w:eastAsia="Cambria Math" w:hAnsi="Cambria Math"/>
              </w:rPr>
              <m:t xml:space="preserve">p'</m:t>
            </m:r>
          </m:sub>
        </m:sSub>
        <m:r>
          <w:rPr>
            <w:rFonts w:ascii="Cambria Math" w:cs="Cambria Math" w:eastAsia="Cambria Math" w:hAnsi="Cambria Math"/>
          </w:rPr>
          <m:t xml:space="preserve">            </m:t>
        </m:r>
      </m:oMath>
      <w:r w:rsidDel="00000000" w:rsidR="00000000" w:rsidRPr="00000000">
        <w:rPr>
          <w:rtl w:val="0"/>
        </w:rPr>
        <w:t xml:space="preserve">                    (13)</w:t>
      </w:r>
    </w:p>
    <w:p w:rsidR="00000000" w:rsidDel="00000000" w:rsidP="00000000" w:rsidRDefault="00000000" w:rsidRPr="00000000" w14:paraId="00000094">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Opportunity Gain</m:t>
            </m:r>
          </m:e>
          <m:sub>
            <m:r>
              <w:rPr>
                <w:rFonts w:ascii="Cambria Math" w:cs="Cambria Math" w:eastAsia="Cambria Math" w:hAnsi="Cambria Math"/>
              </w:rPr>
              <m:t xml:space="preserve">cp</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den>
            </m:f>
            <m:r>
              <w:rPr>
                <w:rFonts w:ascii="Cambria Math" w:cs="Cambria Math" w:eastAsia="Cambria Math" w:hAnsi="Cambria Math"/>
              </w:rPr>
              <m:t xml:space="preserve"> (1-M</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PCI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(1-d</m:t>
            </m:r>
          </m:e>
          <m:sub>
            <m:r>
              <w:rPr>
                <w:rFonts w:ascii="Cambria Math" w:cs="Cambria Math" w:eastAsia="Cambria Math" w:hAnsi="Cambria Math"/>
              </w:rPr>
              <m:t xml:space="preserve">cp</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PCI</m:t>
            </m:r>
          </m:e>
          <m:sub>
            <m:r>
              <w:rPr>
                <w:rFonts w:ascii="Cambria Math" w:cs="Cambria Math" w:eastAsia="Cambria Math" w:hAnsi="Cambria Math"/>
              </w:rPr>
              <m:t xml:space="preserve">p</m:t>
            </m:r>
          </m:sub>
        </m:sSub>
      </m:oMath>
      <w:r w:rsidDel="00000000" w:rsidR="00000000" w:rsidRPr="00000000">
        <w:rPr>
          <w:rtl w:val="0"/>
        </w:rPr>
        <w:t xml:space="preserve">           (14)</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The concept of Opportunity Gain, as well as ECI, is the foundation of the metrics we introduce in the report. It’s important for us to understand that Opportunity Gain is only a conceptual estimate of the net gain of developing a product. It’s not measured in dollars or any real-world units. It is expressed in term of productive knowledge, and is too conceptual to be implemented in strategy-making process directly. That’s why we further elaborate on the Opportunity Gain to calculate the marginal Opportunity Gain later in Section 4.</w:t>
      </w:r>
    </w:p>
    <w:p w:rsidR="00000000" w:rsidDel="00000000" w:rsidP="00000000" w:rsidRDefault="00000000" w:rsidRPr="00000000" w14:paraId="00000097">
      <w:pPr>
        <w:jc w:val="both"/>
        <w:rPr>
          <w:b w:val="1"/>
        </w:rPr>
      </w:pPr>
      <w:r w:rsidDel="00000000" w:rsidR="00000000" w:rsidRPr="00000000">
        <w:rPr>
          <w:rtl w:val="0"/>
        </w:rPr>
      </w:r>
    </w:p>
    <w:p w:rsidR="00000000" w:rsidDel="00000000" w:rsidP="00000000" w:rsidRDefault="00000000" w:rsidRPr="00000000" w14:paraId="00000098">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3. Production Analysis</w:t>
      </w:r>
    </w:p>
    <w:p w:rsidR="00000000" w:rsidDel="00000000" w:rsidP="00000000" w:rsidRDefault="00000000" w:rsidRPr="00000000" w14:paraId="00000099">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9A">
      <w:pPr>
        <w:jc w:val="both"/>
        <w:rPr>
          <w:b w:val="1"/>
        </w:rPr>
      </w:pPr>
      <w:r w:rsidDel="00000000" w:rsidR="00000000" w:rsidRPr="00000000">
        <w:rPr>
          <w:b w:val="1"/>
          <w:rtl w:val="0"/>
        </w:rPr>
        <w:t xml:space="preserve">3.1 Product Categorization</w:t>
      </w:r>
    </w:p>
    <w:p w:rsidR="00000000" w:rsidDel="00000000" w:rsidP="00000000" w:rsidRDefault="00000000" w:rsidRPr="00000000" w14:paraId="0000009B">
      <w:pPr>
        <w:jc w:val="both"/>
        <w:rPr/>
      </w:pPr>
      <w:r w:rsidDel="00000000" w:rsidR="00000000" w:rsidRPr="00000000">
        <w:rPr>
          <w:rtl w:val="0"/>
        </w:rPr>
        <w:t xml:space="preserve">Our main data source in this research is the UN Comtrade Website (https://comtrade.un.org), which provides us with valuable information on countries’ export data on an annual basis, including highly specific export data for more than 5000 categories of products. In order to have a holistic vision of the product space of a country, however, a level of categorization is required. Product groups in UN Comtrade are labelled from 010000-999999, with the first two-digits representing a general category to which the product belongs. Based on the 99 categories as extracted from the label, we further group the products into 18 major and widely-accepted industry categories, as summarized in Table 1.</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Note that the high-complexity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(i.e., Product Family Complexity Index, an equivalent concept of PCI calculated based on the 18 categorized product families), high-complexity industry has the highest PfCI among all industry families. </w:t>
      </w:r>
    </w:p>
    <w:p w:rsidR="00000000" w:rsidDel="00000000" w:rsidP="00000000" w:rsidRDefault="00000000" w:rsidRPr="00000000" w14:paraId="0000009E">
      <w:pPr>
        <w:jc w:val="both"/>
        <w:rPr/>
      </w:pPr>
      <w:r w:rsidDel="00000000" w:rsidR="00000000" w:rsidRPr="00000000">
        <w:rPr>
          <w:rtl w:val="0"/>
        </w:rPr>
      </w:r>
    </w:p>
    <w:tbl>
      <w:tblPr>
        <w:tblStyle w:val="Table1"/>
        <w:tblW w:w="9010.0" w:type="dxa"/>
        <w:jc w:val="left"/>
        <w:tblInd w:w="0.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c>
          <w:tcPr/>
          <w:p w:rsidR="00000000" w:rsidDel="00000000" w:rsidP="00000000" w:rsidRDefault="00000000" w:rsidRPr="00000000" w14:paraId="0000009F">
            <w:pPr>
              <w:jc w:val="both"/>
              <w:rPr>
                <w:b w:val="0"/>
              </w:rPr>
            </w:pPr>
            <w:r w:rsidDel="00000000" w:rsidR="00000000" w:rsidRPr="00000000">
              <w:rPr>
                <w:b w:val="0"/>
                <w:rtl w:val="0"/>
              </w:rPr>
              <w:t xml:space="preserve">Category</w:t>
            </w:r>
          </w:p>
        </w:tc>
        <w:tc>
          <w:tcPr/>
          <w:p w:rsidR="00000000" w:rsidDel="00000000" w:rsidP="00000000" w:rsidRDefault="00000000" w:rsidRPr="00000000" w14:paraId="000000A0">
            <w:pPr>
              <w:jc w:val="both"/>
              <w:rPr>
                <w:b w:val="0"/>
              </w:rPr>
            </w:pPr>
            <w:r w:rsidDel="00000000" w:rsidR="00000000" w:rsidRPr="00000000">
              <w:rPr>
                <w:b w:val="0"/>
                <w:rtl w:val="0"/>
              </w:rPr>
              <w:t xml:space="preserve">Description</w:t>
            </w:r>
          </w:p>
        </w:tc>
      </w:tr>
      <w:tr>
        <w:tc>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All kinds of meat, livestock and related by-products </w:t>
            </w:r>
          </w:p>
        </w:tc>
      </w:tr>
      <w:tr>
        <w:tc>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All kinds of plants, edible vegetables and fruits </w:t>
            </w:r>
          </w:p>
        </w:tc>
      </w:tr>
      <w:tr>
        <w:tc>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Edible preparations, raw cooking materials and appliances</w:t>
            </w:r>
          </w:p>
        </w:tc>
      </w:tr>
      <w:tr>
        <w:tc>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All kinds of fabrics, filament, clothing and accessories</w:t>
            </w:r>
          </w:p>
        </w:tc>
      </w:tr>
      <w:tr>
        <w:tc>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All kinds of textile articles and related products</w:t>
            </w:r>
          </w:p>
        </w:tc>
      </w:tr>
      <w:tr>
        <w:tc>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Book, paper and other elementary products related to wood</w:t>
            </w:r>
          </w:p>
        </w:tc>
      </w:tr>
      <w:tr>
        <w:tc>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Mining of all sorts of raw Metals</w:t>
            </w:r>
          </w:p>
        </w:tc>
      </w:tr>
      <w:tr>
        <w:tc>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Refined or processed stone products such as pearl and ceramics</w:t>
            </w:r>
          </w:p>
        </w:tc>
      </w:tr>
      <w:tr>
        <w:tc>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Mining industry for energy, minerals, stone materials, etc.</w:t>
            </w:r>
          </w:p>
        </w:tc>
      </w:tr>
      <w:tr>
        <w:tc>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Basic daily instruments such as sport requisites, timing and measuring tools</w:t>
            </w:r>
          </w:p>
        </w:tc>
      </w:tr>
      <w:tr>
        <w:tc>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Basic products made from plastic, rubber, leather, etc.</w:t>
            </w:r>
          </w:p>
        </w:tc>
      </w:tr>
      <w:tr>
        <w:tc>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Advanced chemical products and pharmaceutical products</w:t>
            </w:r>
          </w:p>
        </w:tc>
      </w:tr>
      <w:tr>
        <w:tc>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Raw chemical materials and by-products</w:t>
            </w:r>
          </w:p>
        </w:tc>
      </w:tr>
      <w:tr>
        <w:tc>
          <w:tcPr/>
          <w:p w:rsidR="00000000" w:rsidDel="00000000" w:rsidP="00000000" w:rsidRDefault="00000000" w:rsidRPr="00000000" w14:paraId="000000BB">
            <w:pPr>
              <w:tabs>
                <w:tab w:val="left"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Machinery and mechanical appliances, including electrical equipment</w:t>
            </w:r>
          </w:p>
        </w:tc>
      </w:tr>
      <w:tr>
        <w:tc>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Vehicles and locomotives including aircraft, ship, railway, etc.</w:t>
            </w:r>
          </w:p>
        </w:tc>
      </w:tr>
      <w:tr>
        <w:tc>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Explosives, arms and ammunition</w:t>
            </w:r>
          </w:p>
        </w:tc>
      </w:tr>
      <w:tr>
        <w:tc>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Financial, business, legal, communication, travel Services and Utilities, etc.</w:t>
            </w:r>
          </w:p>
        </w:tc>
      </w:tr>
      <w:tr>
        <w:trPr>
          <w:trHeight w:val="199" w:hRule="atLeast"/>
        </w:trPr>
        <w:tc>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t xml:space="preserve">Table 1: Categorization of Products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We further observe a strong positive correlation between the GDP and the export of high-complexity products. As shown by Figure 4 below, a high adjusted R-square of 67.6% exists between GDP and high-complexity exports, indicating that more successful economics, as measure by GDP, tend to be those that are capable of producing and exporting High-complexity Products products as defined. </w:t>
      </w:r>
    </w:p>
    <w:p w:rsidR="00000000" w:rsidDel="00000000" w:rsidP="00000000" w:rsidRDefault="00000000" w:rsidRPr="00000000" w14:paraId="000000C9">
      <w:pPr>
        <w:jc w:val="both"/>
        <w:rPr/>
      </w:pPr>
      <w:r w:rsidDel="00000000" w:rsidR="00000000" w:rsidRPr="00000000">
        <w:rPr>
          <w:rtl w:val="0"/>
        </w:rPr>
      </w:r>
    </w:p>
    <w:tbl>
      <w:tblPr>
        <w:tblStyle w:val="Table2"/>
        <w:tblW w:w="3542.9999999999995" w:type="dxa"/>
        <w:jc w:val="left"/>
        <w:tblInd w:w="0.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816"/>
        <w:gridCol w:w="1727"/>
        <w:tblGridChange w:id="0">
          <w:tblGrid>
            <w:gridCol w:w="1816"/>
            <w:gridCol w:w="1727"/>
          </w:tblGrid>
        </w:tblGridChange>
      </w:tblGrid>
      <w:tr>
        <w:tc>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Statistics</w:t>
            </w:r>
          </w:p>
        </w:tc>
        <w:tc>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Value</w:t>
            </w:r>
          </w:p>
        </w:tc>
      </w:tr>
      <w:tr>
        <w:tc>
          <w:tcPr/>
          <w:p w:rsidR="00000000" w:rsidDel="00000000" w:rsidP="00000000" w:rsidRDefault="00000000" w:rsidRPr="00000000" w14:paraId="000000CC">
            <w:pPr>
              <w:jc w:val="both"/>
              <w:rPr>
                <w:b w:val="0"/>
                <w:sz w:val="20"/>
                <w:szCs w:val="20"/>
              </w:rPr>
            </w:pPr>
            <w:r w:rsidDel="00000000" w:rsidR="00000000" w:rsidRPr="00000000">
              <w:rPr>
                <w:b w:val="0"/>
                <w:sz w:val="20"/>
                <w:szCs w:val="20"/>
                <w:rtl w:val="0"/>
              </w:rPr>
              <w:t xml:space="preserve">Multiple R</w:t>
            </w:r>
          </w:p>
        </w:tc>
        <w:tc>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0.824</w:t>
            </w:r>
          </w:p>
        </w:tc>
      </w:tr>
      <w:tr>
        <w:tc>
          <w:tcPr/>
          <w:p w:rsidR="00000000" w:rsidDel="00000000" w:rsidP="00000000" w:rsidRDefault="00000000" w:rsidRPr="00000000" w14:paraId="000000CE">
            <w:pPr>
              <w:jc w:val="both"/>
              <w:rPr>
                <w:b w:val="0"/>
                <w:sz w:val="20"/>
                <w:szCs w:val="20"/>
              </w:rPr>
            </w:pPr>
            <w:r w:rsidDel="00000000" w:rsidR="00000000" w:rsidRPr="00000000">
              <w:rPr>
                <w:b w:val="0"/>
                <w:sz w:val="20"/>
                <w:szCs w:val="20"/>
                <w:rtl w:val="0"/>
              </w:rPr>
              <w:t xml:space="preserve">R-Square</w:t>
            </w:r>
          </w:p>
        </w:tc>
        <w:tc>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0.679</w:t>
            </w:r>
          </w:p>
        </w:tc>
      </w:tr>
      <w:tr>
        <w:tc>
          <w:tcPr/>
          <w:p w:rsidR="00000000" w:rsidDel="00000000" w:rsidP="00000000" w:rsidRDefault="00000000" w:rsidRPr="00000000" w14:paraId="000000D0">
            <w:pPr>
              <w:jc w:val="both"/>
              <w:rPr>
                <w:b w:val="0"/>
                <w:sz w:val="20"/>
                <w:szCs w:val="20"/>
              </w:rPr>
            </w:pPr>
            <w:r w:rsidDel="00000000" w:rsidR="00000000" w:rsidRPr="00000000">
              <w:rPr>
                <w:b w:val="0"/>
                <w:sz w:val="20"/>
                <w:szCs w:val="20"/>
                <w:rtl w:val="0"/>
              </w:rPr>
              <w:t xml:space="preserve">Adjusted R</w:t>
            </w:r>
            <w:r w:rsidDel="00000000" w:rsidR="00000000" w:rsidRPr="00000000">
              <w:rPr>
                <w:b w:val="0"/>
                <w:sz w:val="20"/>
                <w:szCs w:val="20"/>
                <w:vertAlign w:val="superscript"/>
                <w:rtl w:val="0"/>
              </w:rPr>
              <w:t xml:space="preserve">2</w:t>
            </w:r>
            <w:r w:rsidDel="00000000" w:rsidR="00000000" w:rsidRPr="00000000">
              <w:rPr>
                <w:rtl w:val="0"/>
              </w:rPr>
            </w:r>
          </w:p>
        </w:tc>
        <w:tc>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0.676</w:t>
            </w:r>
          </w:p>
        </w:tc>
      </w:tr>
      <w:tr>
        <w:tc>
          <w:tcPr/>
          <w:p w:rsidR="00000000" w:rsidDel="00000000" w:rsidP="00000000" w:rsidRDefault="00000000" w:rsidRPr="00000000" w14:paraId="000000D2">
            <w:pPr>
              <w:jc w:val="both"/>
              <w:rPr>
                <w:sz w:val="20"/>
                <w:szCs w:val="20"/>
              </w:rPr>
            </w:pPr>
            <w:r w:rsidDel="00000000" w:rsidR="00000000" w:rsidRPr="00000000">
              <w:rPr>
                <w:rtl w:val="0"/>
              </w:rPr>
            </w:r>
          </w:p>
        </w:tc>
        <w:tc>
          <w:tcPr/>
          <w:p w:rsidR="00000000" w:rsidDel="00000000" w:rsidP="00000000" w:rsidRDefault="00000000" w:rsidRPr="00000000" w14:paraId="000000D3">
            <w:pPr>
              <w:jc w:val="both"/>
              <w:rPr>
                <w:sz w:val="20"/>
                <w:szCs w:val="20"/>
              </w:rPr>
            </w:pPr>
            <w:r w:rsidDel="00000000" w:rsidR="00000000" w:rsidRPr="00000000">
              <w:rPr>
                <w:rtl w:val="0"/>
              </w:rPr>
            </w:r>
          </w:p>
        </w:tc>
      </w:tr>
      <w:tr>
        <w:tc>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Variable</w:t>
            </w:r>
          </w:p>
        </w:tc>
        <w:tc>
          <w:tcPr/>
          <w:p w:rsidR="00000000" w:rsidDel="00000000" w:rsidP="00000000" w:rsidRDefault="00000000" w:rsidRPr="00000000" w14:paraId="000000D5">
            <w:pPr>
              <w:jc w:val="both"/>
              <w:rPr>
                <w:b w:val="1"/>
                <w:sz w:val="20"/>
                <w:szCs w:val="20"/>
              </w:rPr>
            </w:pPr>
            <w:r w:rsidDel="00000000" w:rsidR="00000000" w:rsidRPr="00000000">
              <w:rPr>
                <w:b w:val="1"/>
                <w:sz w:val="20"/>
                <w:szCs w:val="20"/>
                <w:rtl w:val="0"/>
              </w:rPr>
              <w:t xml:space="preserve">Value</w:t>
            </w:r>
          </w:p>
        </w:tc>
      </w:tr>
      <w:tr>
        <w:tc>
          <w:tcPr/>
          <w:p w:rsidR="00000000" w:rsidDel="00000000" w:rsidP="00000000" w:rsidRDefault="00000000" w:rsidRPr="00000000" w14:paraId="000000D6">
            <w:pPr>
              <w:jc w:val="both"/>
              <w:rPr>
                <w:b w:val="0"/>
                <w:sz w:val="20"/>
                <w:szCs w:val="20"/>
              </w:rPr>
            </w:pPr>
            <w:r w:rsidDel="00000000" w:rsidR="00000000" w:rsidRPr="00000000">
              <w:rPr>
                <w:b w:val="0"/>
                <w:sz w:val="20"/>
                <w:szCs w:val="20"/>
                <w:rtl w:val="0"/>
              </w:rPr>
              <w:t xml:space="preserve">Coefficient</w:t>
            </w:r>
          </w:p>
        </w:tc>
        <w:tc>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12.20</w:t>
            </w:r>
          </w:p>
        </w:tc>
      </w:tr>
      <w:tr>
        <w:tc>
          <w:tcPr/>
          <w:p w:rsidR="00000000" w:rsidDel="00000000" w:rsidP="00000000" w:rsidRDefault="00000000" w:rsidRPr="00000000" w14:paraId="000000D8">
            <w:pPr>
              <w:jc w:val="both"/>
              <w:rPr>
                <w:b w:val="0"/>
                <w:sz w:val="20"/>
                <w:szCs w:val="20"/>
              </w:rPr>
            </w:pPr>
            <w:r w:rsidDel="00000000" w:rsidR="00000000" w:rsidRPr="00000000">
              <w:rPr>
                <w:b w:val="0"/>
                <w:sz w:val="20"/>
                <w:szCs w:val="20"/>
                <w:rtl w:val="0"/>
              </w:rPr>
              <w:t xml:space="preserve">t-stat</w:t>
            </w:r>
          </w:p>
        </w:tc>
        <w:tc>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15.61</w:t>
            </w:r>
          </w:p>
        </w:tc>
      </w:tr>
      <w:tr>
        <w:tc>
          <w:tcPr/>
          <w:p w:rsidR="00000000" w:rsidDel="00000000" w:rsidP="00000000" w:rsidRDefault="00000000" w:rsidRPr="00000000" w14:paraId="000000DA">
            <w:pPr>
              <w:jc w:val="both"/>
              <w:rPr>
                <w:b w:val="0"/>
                <w:sz w:val="20"/>
                <w:szCs w:val="20"/>
              </w:rPr>
            </w:pPr>
            <w:r w:rsidDel="00000000" w:rsidR="00000000" w:rsidRPr="00000000">
              <w:rPr>
                <w:b w:val="0"/>
                <w:sz w:val="20"/>
                <w:szCs w:val="20"/>
                <w:rtl w:val="0"/>
              </w:rPr>
              <w:t xml:space="preserve">P-value</w:t>
            </w:r>
          </w:p>
        </w:tc>
        <w:tc>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DC">
      <w:pPr>
        <w:jc w:val="both"/>
        <w:rPr/>
      </w:pPr>
      <w:r w:rsidDel="00000000" w:rsidR="00000000" w:rsidRPr="00000000">
        <w:rPr/>
        <w:drawing>
          <wp:inline distB="0" distT="0" distL="0" distR="0">
            <wp:extent cx="3269540" cy="1881164"/>
            <wp:effectExtent b="0" l="0" r="0" t="0"/>
            <wp:docPr descr="1.png" id="167" name="image15.png"/>
            <a:graphic>
              <a:graphicData uri="http://schemas.openxmlformats.org/drawingml/2006/picture">
                <pic:pic>
                  <pic:nvPicPr>
                    <pic:cNvPr descr="1.png" id="0" name="image15.png"/>
                    <pic:cNvPicPr preferRelativeResize="0"/>
                  </pic:nvPicPr>
                  <pic:blipFill>
                    <a:blip r:embed="rId10"/>
                    <a:srcRect b="0" l="0" r="0" t="0"/>
                    <a:stretch>
                      <a:fillRect/>
                    </a:stretch>
                  </pic:blipFill>
                  <pic:spPr>
                    <a:xfrm>
                      <a:off x="0" y="0"/>
                      <a:ext cx="3269540" cy="188116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t xml:space="preserve">Figure 1: Regression of GDP and High-complexity Products Exports</w:t>
      </w:r>
    </w:p>
    <w:p w:rsidR="00000000" w:rsidDel="00000000" w:rsidP="00000000" w:rsidRDefault="00000000" w:rsidRPr="00000000" w14:paraId="000000DF">
      <w:pPr>
        <w:jc w:val="both"/>
        <w:rPr>
          <w:b w:val="1"/>
        </w:rPr>
      </w:pPr>
      <w:r w:rsidDel="00000000" w:rsidR="00000000" w:rsidRPr="00000000">
        <w:rPr>
          <w:rtl w:val="0"/>
        </w:rPr>
      </w:r>
    </w:p>
    <w:p w:rsidR="00000000" w:rsidDel="00000000" w:rsidP="00000000" w:rsidRDefault="00000000" w:rsidRPr="00000000" w14:paraId="000000E0">
      <w:pPr>
        <w:jc w:val="both"/>
        <w:rPr>
          <w:b w:val="1"/>
        </w:rPr>
      </w:pPr>
      <w:r w:rsidDel="00000000" w:rsidR="00000000" w:rsidRPr="00000000">
        <w:rPr>
          <w:b w:val="1"/>
          <w:rtl w:val="0"/>
        </w:rPr>
        <w:t xml:space="preserve">3.2 Realized Industry Development</w:t>
      </w:r>
    </w:p>
    <w:p w:rsidR="00000000" w:rsidDel="00000000" w:rsidP="00000000" w:rsidRDefault="00000000" w:rsidRPr="00000000" w14:paraId="000000E1">
      <w:pPr>
        <w:jc w:val="both"/>
        <w:rPr/>
      </w:pPr>
      <w:r w:rsidDel="00000000" w:rsidR="00000000" w:rsidRPr="00000000">
        <w:rPr>
          <w:rtl w:val="0"/>
        </w:rPr>
        <w:t xml:space="preserve">Based on the product categorization aforementioned, the first step to understanding the prodict space of different economies is to capture their production strategies between 2009 and 2014 on a complexity level. In Hausmann and Hidalgo (2009), distance is defined to be a measure of how far a country is from a certain product not in its product space, as in (12). We extend this concept to all product families and quantify how technically equipped a country is to develop the corresponding product families. In other words, the shorter the distance between a country and a product group, the more capable a country is in developing products within that group. </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Based on this concept of distance between countries and product families, we define the net distance change between two periods as the Realized Industry Developmental (RID), which measures by how much a country has moved in the direction of a certain product family in its product space during the period. Our export data allow us to calculate and compare RID of countries over the 18 product groups from 2009 to 2014, where a positive RID indicates a shortening of the distance (i.e., relative advancement of the industry), and a negative RID indicates the reverse. Note that this number is a normalized value that represents relative distance change in a global scale, and thus a negative value implies not an absolute degeneration of a certain industry, but rather a relative prioritization of other industries.</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As shown by the example of China in Table 2, during the period from 2009 to 2014, China has focused on products with a moderate level of complexity and those requiring intermediate skills, including Services and Utilities, Machinery and Construction and High-complexity Products, which are rather advanced among developing economies. By advancing into 8 out of the 18 industry families, China has increased its distances from the other industries ranked below.</w:t>
      </w:r>
    </w:p>
    <w:p w:rsidR="00000000" w:rsidDel="00000000" w:rsidP="00000000" w:rsidRDefault="00000000" w:rsidRPr="00000000" w14:paraId="000000E6">
      <w:pPr>
        <w:jc w:val="both"/>
        <w:rPr/>
      </w:pPr>
      <w:r w:rsidDel="00000000" w:rsidR="00000000" w:rsidRPr="00000000">
        <w:rPr>
          <w:rtl w:val="0"/>
        </w:rPr>
      </w:r>
    </w:p>
    <w:tbl>
      <w:tblPr>
        <w:tblStyle w:val="Table3"/>
        <w:tblW w:w="9010.0" w:type="dxa"/>
        <w:jc w:val="left"/>
        <w:tblInd w:w="0.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972"/>
        <w:gridCol w:w="1418"/>
        <w:gridCol w:w="2976"/>
        <w:gridCol w:w="1644"/>
        <w:tblGridChange w:id="0">
          <w:tblGrid>
            <w:gridCol w:w="2972"/>
            <w:gridCol w:w="1418"/>
            <w:gridCol w:w="2976"/>
            <w:gridCol w:w="1644"/>
          </w:tblGrid>
        </w:tblGridChange>
      </w:tblGrid>
      <w:tr>
        <w:tc>
          <w:tcPr/>
          <w:p w:rsidR="00000000" w:rsidDel="00000000" w:rsidP="00000000" w:rsidRDefault="00000000" w:rsidRPr="00000000" w14:paraId="000000E7">
            <w:pPr>
              <w:jc w:val="both"/>
              <w:rPr/>
            </w:pPr>
            <w:r w:rsidDel="00000000" w:rsidR="00000000" w:rsidRPr="00000000">
              <w:rPr>
                <w:rtl w:val="0"/>
              </w:rPr>
              <w:t xml:space="preserve">Category</w:t>
            </w:r>
          </w:p>
        </w:tc>
        <w:tc>
          <w:tcPr/>
          <w:p w:rsidR="00000000" w:rsidDel="00000000" w:rsidP="00000000" w:rsidRDefault="00000000" w:rsidRPr="00000000" w14:paraId="000000E8">
            <w:pPr>
              <w:jc w:val="both"/>
              <w:rPr/>
            </w:pPr>
            <w:r w:rsidDel="00000000" w:rsidR="00000000" w:rsidRPr="00000000">
              <w:rPr>
                <w:rtl w:val="0"/>
              </w:rPr>
              <w:t xml:space="preserve">RID</w:t>
            </w:r>
          </w:p>
        </w:tc>
        <w:tc>
          <w:tcPr/>
          <w:p w:rsidR="00000000" w:rsidDel="00000000" w:rsidP="00000000" w:rsidRDefault="00000000" w:rsidRPr="00000000" w14:paraId="000000E9">
            <w:pPr>
              <w:jc w:val="both"/>
              <w:rPr/>
            </w:pPr>
            <w:r w:rsidDel="00000000" w:rsidR="00000000" w:rsidRPr="00000000">
              <w:rPr>
                <w:rtl w:val="0"/>
              </w:rPr>
              <w:t xml:space="preserve">Category</w:t>
            </w:r>
          </w:p>
        </w:tc>
        <w:tc>
          <w:tcPr/>
          <w:p w:rsidR="00000000" w:rsidDel="00000000" w:rsidP="00000000" w:rsidRDefault="00000000" w:rsidRPr="00000000" w14:paraId="000000EA">
            <w:pPr>
              <w:jc w:val="both"/>
              <w:rPr/>
            </w:pPr>
            <w:r w:rsidDel="00000000" w:rsidR="00000000" w:rsidRPr="00000000">
              <w:rPr>
                <w:rtl w:val="0"/>
              </w:rPr>
              <w:t xml:space="preserve">RID</w:t>
            </w:r>
          </w:p>
        </w:tc>
      </w:tr>
      <w:tr>
        <w:tc>
          <w:tcPr/>
          <w:p w:rsidR="00000000" w:rsidDel="00000000" w:rsidP="00000000" w:rsidRDefault="00000000" w:rsidRPr="00000000" w14:paraId="000000EB">
            <w:pPr>
              <w:jc w:val="both"/>
              <w:rPr>
                <w:b w:val="0"/>
                <w:sz w:val="20"/>
                <w:szCs w:val="20"/>
              </w:rPr>
            </w:pPr>
            <w:r w:rsidDel="00000000" w:rsidR="00000000" w:rsidRPr="00000000">
              <w:rPr>
                <w:b w:val="0"/>
                <w:sz w:val="20"/>
                <w:szCs w:val="20"/>
                <w:rtl w:val="0"/>
              </w:rPr>
              <w:t xml:space="preserve">1. Refined and Processed Stones</w:t>
            </w:r>
          </w:p>
        </w:tc>
        <w:tc>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0.062</w:t>
            </w:r>
          </w:p>
        </w:tc>
        <w:tc>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2. Services and Utilities </w:t>
            </w:r>
          </w:p>
        </w:tc>
        <w:tc>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0.034</w:t>
            </w:r>
          </w:p>
        </w:tc>
      </w:tr>
      <w:tr>
        <w:tc>
          <w:tcPr/>
          <w:p w:rsidR="00000000" w:rsidDel="00000000" w:rsidP="00000000" w:rsidRDefault="00000000" w:rsidRPr="00000000" w14:paraId="000000EF">
            <w:pPr>
              <w:jc w:val="both"/>
              <w:rPr>
                <w:b w:val="0"/>
                <w:sz w:val="20"/>
                <w:szCs w:val="20"/>
              </w:rPr>
            </w:pPr>
            <w:r w:rsidDel="00000000" w:rsidR="00000000" w:rsidRPr="00000000">
              <w:rPr>
                <w:b w:val="0"/>
                <w:sz w:val="20"/>
                <w:szCs w:val="20"/>
                <w:rtl w:val="0"/>
              </w:rPr>
              <w:t xml:space="preserve">3. High-complexity Products</w:t>
            </w:r>
          </w:p>
        </w:tc>
        <w:tc>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0.033</w:t>
            </w:r>
          </w:p>
        </w:tc>
        <w:tc>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4. Machinery and Construction</w:t>
            </w:r>
          </w:p>
        </w:tc>
        <w:tc>
          <w:tcPr/>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0.023</w:t>
            </w:r>
          </w:p>
        </w:tc>
      </w:tr>
      <w:tr>
        <w:tc>
          <w:tcPr/>
          <w:p w:rsidR="00000000" w:rsidDel="00000000" w:rsidP="00000000" w:rsidRDefault="00000000" w:rsidRPr="00000000" w14:paraId="000000F3">
            <w:pPr>
              <w:jc w:val="both"/>
              <w:rPr>
                <w:b w:val="0"/>
                <w:sz w:val="20"/>
                <w:szCs w:val="20"/>
              </w:rPr>
            </w:pPr>
            <w:r w:rsidDel="00000000" w:rsidR="00000000" w:rsidRPr="00000000">
              <w:rPr>
                <w:b w:val="0"/>
                <w:sz w:val="20"/>
                <w:szCs w:val="20"/>
                <w:rtl w:val="0"/>
              </w:rPr>
              <w:t xml:space="preserve">5. Chemicals</w:t>
            </w:r>
          </w:p>
        </w:tc>
        <w:tc>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0.015</w:t>
            </w:r>
          </w:p>
        </w:tc>
        <w:tc>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6. Raw Manufacturing</w:t>
            </w:r>
          </w:p>
        </w:tc>
        <w:tc>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0.006</w:t>
            </w:r>
          </w:p>
        </w:tc>
      </w:tr>
      <w:tr>
        <w:tc>
          <w:tcPr/>
          <w:p w:rsidR="00000000" w:rsidDel="00000000" w:rsidP="00000000" w:rsidRDefault="00000000" w:rsidRPr="00000000" w14:paraId="000000F7">
            <w:pPr>
              <w:jc w:val="both"/>
              <w:rPr>
                <w:b w:val="0"/>
                <w:sz w:val="20"/>
                <w:szCs w:val="20"/>
              </w:rPr>
            </w:pPr>
            <w:r w:rsidDel="00000000" w:rsidR="00000000" w:rsidRPr="00000000">
              <w:rPr>
                <w:b w:val="0"/>
                <w:sz w:val="20"/>
                <w:szCs w:val="20"/>
                <w:rtl w:val="0"/>
              </w:rPr>
              <w:t xml:space="preserve">7. Food and Preparations</w:t>
            </w:r>
          </w:p>
        </w:tc>
        <w:tc>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0.005</w:t>
            </w:r>
          </w:p>
        </w:tc>
        <w:tc>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8. Weapons </w:t>
            </w:r>
          </w:p>
        </w:tc>
        <w:tc>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0.002</w:t>
            </w:r>
          </w:p>
        </w:tc>
      </w:tr>
      <w:tr>
        <w:tc>
          <w:tcPr/>
          <w:p w:rsidR="00000000" w:rsidDel="00000000" w:rsidP="00000000" w:rsidRDefault="00000000" w:rsidRPr="00000000" w14:paraId="000000FB">
            <w:pPr>
              <w:jc w:val="both"/>
              <w:rPr>
                <w:b w:val="0"/>
                <w:sz w:val="20"/>
                <w:szCs w:val="20"/>
              </w:rPr>
            </w:pPr>
            <w:r w:rsidDel="00000000" w:rsidR="00000000" w:rsidRPr="00000000">
              <w:rPr>
                <w:b w:val="0"/>
                <w:sz w:val="20"/>
                <w:szCs w:val="20"/>
                <w:rtl w:val="0"/>
              </w:rPr>
              <w:t xml:space="preserve">9. Energy Drilling and Mining</w:t>
            </w:r>
          </w:p>
        </w:tc>
        <w:tc>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-0.005</w:t>
            </w:r>
          </w:p>
        </w:tc>
        <w:tc>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10. Clothing and Accessories</w:t>
            </w:r>
          </w:p>
        </w:tc>
        <w:tc>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-0.006</w:t>
            </w:r>
          </w:p>
        </w:tc>
      </w:tr>
      <w:tr>
        <w:tc>
          <w:tcPr/>
          <w:p w:rsidR="00000000" w:rsidDel="00000000" w:rsidP="00000000" w:rsidRDefault="00000000" w:rsidRPr="00000000" w14:paraId="000000FF">
            <w:pPr>
              <w:jc w:val="both"/>
              <w:rPr>
                <w:b w:val="0"/>
                <w:sz w:val="20"/>
                <w:szCs w:val="20"/>
              </w:rPr>
            </w:pPr>
            <w:r w:rsidDel="00000000" w:rsidR="00000000" w:rsidRPr="00000000">
              <w:rPr>
                <w:b w:val="0"/>
                <w:sz w:val="20"/>
                <w:szCs w:val="20"/>
                <w:rtl w:val="0"/>
              </w:rPr>
              <w:t xml:space="preserve">11. Vegetables, Fruits and Plants</w:t>
            </w:r>
          </w:p>
        </w:tc>
        <w:tc>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-0.009</w:t>
            </w:r>
          </w:p>
        </w:tc>
        <w:tc>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12. Metals</w:t>
            </w:r>
          </w:p>
        </w:tc>
        <w:tc>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-0.012</w:t>
            </w:r>
          </w:p>
        </w:tc>
      </w:tr>
      <w:tr>
        <w:tc>
          <w:tcPr/>
          <w:p w:rsidR="00000000" w:rsidDel="00000000" w:rsidP="00000000" w:rsidRDefault="00000000" w:rsidRPr="00000000" w14:paraId="00000103">
            <w:pPr>
              <w:jc w:val="both"/>
              <w:rPr>
                <w:b w:val="0"/>
                <w:sz w:val="20"/>
                <w:szCs w:val="20"/>
              </w:rPr>
            </w:pPr>
            <w:r w:rsidDel="00000000" w:rsidR="00000000" w:rsidRPr="00000000">
              <w:rPr>
                <w:b w:val="0"/>
                <w:sz w:val="20"/>
                <w:szCs w:val="20"/>
                <w:rtl w:val="0"/>
              </w:rPr>
              <w:t xml:space="preserve">13. Transportation</w:t>
            </w:r>
          </w:p>
        </w:tc>
        <w:tc>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-0.014</w:t>
            </w:r>
          </w:p>
        </w:tc>
        <w:tc>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14. Wood Products</w:t>
            </w:r>
          </w:p>
        </w:tc>
        <w:tc>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-0.023</w:t>
            </w:r>
          </w:p>
        </w:tc>
      </w:tr>
      <w:tr>
        <w:tc>
          <w:tcPr/>
          <w:p w:rsidR="00000000" w:rsidDel="00000000" w:rsidP="00000000" w:rsidRDefault="00000000" w:rsidRPr="00000000" w14:paraId="00000107">
            <w:pPr>
              <w:jc w:val="both"/>
              <w:rPr>
                <w:b w:val="0"/>
                <w:sz w:val="20"/>
                <w:szCs w:val="20"/>
              </w:rPr>
            </w:pPr>
            <w:r w:rsidDel="00000000" w:rsidR="00000000" w:rsidRPr="00000000">
              <w:rPr>
                <w:b w:val="0"/>
                <w:sz w:val="20"/>
                <w:szCs w:val="20"/>
                <w:rtl w:val="0"/>
              </w:rPr>
              <w:t xml:space="preserve">15. Textiles</w:t>
            </w:r>
          </w:p>
        </w:tc>
        <w:tc>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-0.029</w:t>
            </w:r>
          </w:p>
        </w:tc>
        <w:tc>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16. Daily Instruments</w:t>
            </w:r>
          </w:p>
        </w:tc>
        <w:tc>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-0.035</w:t>
            </w:r>
          </w:p>
        </w:tc>
      </w:tr>
      <w:tr>
        <w:tc>
          <w:tcPr/>
          <w:p w:rsidR="00000000" w:rsidDel="00000000" w:rsidP="00000000" w:rsidRDefault="00000000" w:rsidRPr="00000000" w14:paraId="0000010B">
            <w:pPr>
              <w:jc w:val="both"/>
              <w:rPr>
                <w:b w:val="0"/>
                <w:sz w:val="20"/>
                <w:szCs w:val="20"/>
              </w:rPr>
            </w:pPr>
            <w:r w:rsidDel="00000000" w:rsidR="00000000" w:rsidRPr="00000000">
              <w:rPr>
                <w:b w:val="0"/>
                <w:sz w:val="20"/>
                <w:szCs w:val="20"/>
                <w:rtl w:val="0"/>
              </w:rPr>
              <w:t xml:space="preserve">17. Animal and By-products</w:t>
            </w:r>
          </w:p>
        </w:tc>
        <w:tc>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-0.044</w:t>
            </w:r>
          </w:p>
        </w:tc>
        <w:tc>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18. Chemical Manufacturing</w:t>
            </w:r>
          </w:p>
        </w:tc>
        <w:tc>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-0.063</w:t>
            </w:r>
          </w:p>
        </w:tc>
      </w:tr>
    </w:tbl>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t xml:space="preserve">Table 2: Realized Industry Development (RID) of China</w:t>
      </w:r>
    </w:p>
    <w:p w:rsidR="00000000" w:rsidDel="00000000" w:rsidP="00000000" w:rsidRDefault="00000000" w:rsidRPr="00000000" w14:paraId="00000111">
      <w:pPr>
        <w:jc w:val="both"/>
        <w:rPr>
          <w:b w:val="1"/>
        </w:rPr>
      </w:pPr>
      <w:r w:rsidDel="00000000" w:rsidR="00000000" w:rsidRPr="00000000">
        <w:rPr>
          <w:rtl w:val="0"/>
        </w:rPr>
      </w:r>
    </w:p>
    <w:p w:rsidR="00000000" w:rsidDel="00000000" w:rsidP="00000000" w:rsidRDefault="00000000" w:rsidRPr="00000000" w14:paraId="00000112">
      <w:pPr>
        <w:jc w:val="both"/>
        <w:rPr>
          <w:b w:val="1"/>
        </w:rPr>
      </w:pPr>
      <w:r w:rsidDel="00000000" w:rsidR="00000000" w:rsidRPr="00000000">
        <w:rPr>
          <w:b w:val="1"/>
          <w:rtl w:val="0"/>
        </w:rPr>
        <w:t xml:space="preserve">3.3 Regional and Global Comparison</w:t>
      </w:r>
    </w:p>
    <w:p w:rsidR="00000000" w:rsidDel="00000000" w:rsidP="00000000" w:rsidRDefault="00000000" w:rsidRPr="00000000" w14:paraId="00000113">
      <w:pPr>
        <w:jc w:val="both"/>
        <w:rPr/>
      </w:pPr>
      <w:r w:rsidDel="00000000" w:rsidR="00000000" w:rsidRPr="00000000">
        <w:rPr>
          <w:rtl w:val="0"/>
        </w:rPr>
        <w:t xml:space="preserve">The next question to ask is how the strategies adopted by countries differ from each other and what trends we can observe. Table 3 and 4 below summarize the production strategies, as measured by RID, adopted by a selected group of developed and emerging economies in the world, respectively. It can be directly observed that leading economies, such as the United States and Germany, in general focus on products with higher level of complexity. However, variations also exist and some developed economies, such as France, still give a considerable level of attention to product families of intermediate-level complexity, such as raw manufacturing and chemicals.</w:t>
      </w:r>
    </w:p>
    <w:p w:rsidR="00000000" w:rsidDel="00000000" w:rsidP="00000000" w:rsidRDefault="00000000" w:rsidRPr="00000000" w14:paraId="00000114">
      <w:pPr>
        <w:jc w:val="both"/>
        <w:rPr/>
      </w:pPr>
      <w:r w:rsidDel="00000000" w:rsidR="00000000" w:rsidRPr="00000000">
        <w:rPr>
          <w:rtl w:val="0"/>
        </w:rPr>
      </w:r>
    </w:p>
    <w:tbl>
      <w:tblPr>
        <w:tblStyle w:val="Table4"/>
        <w:tblW w:w="8967.0" w:type="dxa"/>
        <w:jc w:val="left"/>
        <w:tblInd w:w="0.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770"/>
        <w:gridCol w:w="2340"/>
        <w:gridCol w:w="2735"/>
        <w:tblGridChange w:id="0">
          <w:tblGrid>
            <w:gridCol w:w="1122"/>
            <w:gridCol w:w="2770"/>
            <w:gridCol w:w="2340"/>
            <w:gridCol w:w="2735"/>
          </w:tblGrid>
        </w:tblGridChange>
      </w:tblGrid>
      <w:tr>
        <w:tc>
          <w:tcPr/>
          <w:p w:rsidR="00000000" w:rsidDel="00000000" w:rsidP="00000000" w:rsidRDefault="00000000" w:rsidRPr="00000000" w14:paraId="00000115">
            <w:pPr>
              <w:jc w:val="both"/>
              <w:rPr/>
            </w:pPr>
            <w:r w:rsidDel="00000000" w:rsidR="00000000" w:rsidRPr="00000000">
              <w:rPr>
                <w:rtl w:val="0"/>
              </w:rPr>
              <w:t xml:space="preserve">Ranking</w:t>
            </w:r>
          </w:p>
        </w:tc>
        <w:tc>
          <w:tcPr/>
          <w:p w:rsidR="00000000" w:rsidDel="00000000" w:rsidP="00000000" w:rsidRDefault="00000000" w:rsidRPr="00000000" w14:paraId="00000116">
            <w:pPr>
              <w:jc w:val="both"/>
              <w:rPr/>
            </w:pPr>
            <w:r w:rsidDel="00000000" w:rsidR="00000000" w:rsidRPr="00000000">
              <w:rPr>
                <w:rtl w:val="0"/>
              </w:rPr>
              <w:t xml:space="preserve">France</w:t>
            </w:r>
          </w:p>
        </w:tc>
        <w:tc>
          <w:tcPr/>
          <w:p w:rsidR="00000000" w:rsidDel="00000000" w:rsidP="00000000" w:rsidRDefault="00000000" w:rsidRPr="00000000" w14:paraId="00000117">
            <w:pPr>
              <w:jc w:val="both"/>
              <w:rPr/>
            </w:pPr>
            <w:r w:rsidDel="00000000" w:rsidR="00000000" w:rsidRPr="00000000">
              <w:rPr>
                <w:rtl w:val="0"/>
              </w:rPr>
              <w:t xml:space="preserve">The United States</w:t>
            </w:r>
          </w:p>
        </w:tc>
        <w:tc>
          <w:tcPr/>
          <w:p w:rsidR="00000000" w:rsidDel="00000000" w:rsidP="00000000" w:rsidRDefault="00000000" w:rsidRPr="00000000" w14:paraId="00000118">
            <w:pPr>
              <w:jc w:val="both"/>
              <w:rPr/>
            </w:pPr>
            <w:r w:rsidDel="00000000" w:rsidR="00000000" w:rsidRPr="00000000">
              <w:rPr>
                <w:rtl w:val="0"/>
              </w:rPr>
              <w:t xml:space="preserve">Germany</w:t>
            </w:r>
          </w:p>
        </w:tc>
      </w:tr>
      <w:tr>
        <w:tc>
          <w:tcPr/>
          <w:p w:rsidR="00000000" w:rsidDel="00000000" w:rsidP="00000000" w:rsidRDefault="00000000" w:rsidRPr="00000000" w14:paraId="00000119">
            <w:pPr>
              <w:jc w:val="both"/>
              <w:rPr>
                <w:b w:val="0"/>
                <w:sz w:val="20"/>
                <w:szCs w:val="20"/>
              </w:rPr>
            </w:pPr>
            <w:r w:rsidDel="00000000" w:rsidR="00000000" w:rsidRPr="00000000">
              <w:rPr>
                <w:b w:val="0"/>
                <w:sz w:val="20"/>
                <w:szCs w:val="20"/>
                <w:rtl w:val="0"/>
              </w:rPr>
              <w:t xml:space="preserve">1</w:t>
            </w:r>
          </w:p>
        </w:tc>
        <w:tc>
          <w:tcPr>
            <w:vAlign w:val="bottom"/>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Services and Utilities </w:t>
            </w:r>
          </w:p>
        </w:tc>
        <w:tc>
          <w:tcPr>
            <w:vAlign w:val="bottom"/>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Chemicals</w:t>
            </w:r>
          </w:p>
        </w:tc>
      </w:tr>
      <w:tr>
        <w:tc>
          <w:tcPr/>
          <w:p w:rsidR="00000000" w:rsidDel="00000000" w:rsidP="00000000" w:rsidRDefault="00000000" w:rsidRPr="00000000" w14:paraId="0000011D">
            <w:pPr>
              <w:jc w:val="both"/>
              <w:rPr>
                <w:b w:val="0"/>
                <w:sz w:val="20"/>
                <w:szCs w:val="20"/>
              </w:rPr>
            </w:pPr>
            <w:r w:rsidDel="00000000" w:rsidR="00000000" w:rsidRPr="00000000">
              <w:rPr>
                <w:b w:val="0"/>
                <w:sz w:val="20"/>
                <w:szCs w:val="20"/>
                <w:rtl w:val="0"/>
              </w:rPr>
              <w:t xml:space="preserve">2</w:t>
            </w:r>
          </w:p>
        </w:tc>
        <w:tc>
          <w:tcPr>
            <w:vAlign w:val="bottom"/>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1F">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Services and Utilities </w:t>
            </w:r>
          </w:p>
        </w:tc>
      </w:tr>
      <w:tr>
        <w:tc>
          <w:tcPr/>
          <w:p w:rsidR="00000000" w:rsidDel="00000000" w:rsidP="00000000" w:rsidRDefault="00000000" w:rsidRPr="00000000" w14:paraId="00000121">
            <w:pPr>
              <w:jc w:val="both"/>
              <w:rPr>
                <w:b w:val="0"/>
                <w:sz w:val="20"/>
                <w:szCs w:val="20"/>
              </w:rPr>
            </w:pPr>
            <w:r w:rsidDel="00000000" w:rsidR="00000000" w:rsidRPr="00000000">
              <w:rPr>
                <w:b w:val="0"/>
                <w:sz w:val="20"/>
                <w:szCs w:val="20"/>
                <w:rtl w:val="0"/>
              </w:rPr>
              <w:t xml:space="preserve">3</w:t>
            </w:r>
          </w:p>
        </w:tc>
        <w:tc>
          <w:tcPr>
            <w:vAlign w:val="bottom"/>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Refined and Processed Stones</w:t>
            </w:r>
          </w:p>
        </w:tc>
        <w:tc>
          <w:tcPr>
            <w:vAlign w:val="bottom"/>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High-complexity Products</w:t>
            </w:r>
          </w:p>
        </w:tc>
      </w:tr>
      <w:tr>
        <w:tc>
          <w:tcPr/>
          <w:p w:rsidR="00000000" w:rsidDel="00000000" w:rsidP="00000000" w:rsidRDefault="00000000" w:rsidRPr="00000000" w14:paraId="00000125">
            <w:pPr>
              <w:jc w:val="both"/>
              <w:rPr>
                <w:b w:val="0"/>
                <w:sz w:val="20"/>
                <w:szCs w:val="20"/>
              </w:rPr>
            </w:pPr>
            <w:r w:rsidDel="00000000" w:rsidR="00000000" w:rsidRPr="00000000">
              <w:rPr>
                <w:b w:val="0"/>
                <w:sz w:val="20"/>
                <w:szCs w:val="20"/>
                <w:rtl w:val="0"/>
              </w:rPr>
              <w:t xml:space="preserve">4</w:t>
            </w:r>
          </w:p>
        </w:tc>
        <w:tc>
          <w:tcPr>
            <w:vAlign w:val="bottom"/>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Textiles</w:t>
            </w:r>
          </w:p>
        </w:tc>
        <w:tc>
          <w:tcPr>
            <w:vAlign w:val="bottom"/>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Transportation</w:t>
            </w:r>
          </w:p>
        </w:tc>
      </w:tr>
      <w:tr>
        <w:tc>
          <w:tcPr/>
          <w:p w:rsidR="00000000" w:rsidDel="00000000" w:rsidP="00000000" w:rsidRDefault="00000000" w:rsidRPr="00000000" w14:paraId="00000129">
            <w:pPr>
              <w:jc w:val="both"/>
              <w:rPr>
                <w:b w:val="0"/>
                <w:sz w:val="20"/>
                <w:szCs w:val="20"/>
              </w:rPr>
            </w:pPr>
            <w:r w:rsidDel="00000000" w:rsidR="00000000" w:rsidRPr="00000000">
              <w:rPr>
                <w:b w:val="0"/>
                <w:sz w:val="20"/>
                <w:szCs w:val="20"/>
                <w:rtl w:val="0"/>
              </w:rPr>
              <w:t xml:space="preserve">5</w:t>
            </w:r>
          </w:p>
        </w:tc>
        <w:tc>
          <w:tcPr>
            <w:vAlign w:val="bottom"/>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Clothing and Accessories</w:t>
            </w:r>
          </w:p>
        </w:tc>
        <w:tc>
          <w:tcPr>
            <w:vAlign w:val="bottom"/>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t xml:space="preserve">Table 3: RID Comparison across Leading Economies</w:t>
      </w:r>
    </w:p>
    <w:p w:rsidR="00000000" w:rsidDel="00000000" w:rsidP="00000000" w:rsidRDefault="00000000" w:rsidRPr="00000000" w14:paraId="0000012F">
      <w:pPr>
        <w:rPr/>
      </w:pPr>
      <w:r w:rsidDel="00000000" w:rsidR="00000000" w:rsidRPr="00000000">
        <w:rPr>
          <w:rtl w:val="0"/>
        </w:rPr>
      </w:r>
    </w:p>
    <w:tbl>
      <w:tblPr>
        <w:tblStyle w:val="Table5"/>
        <w:tblW w:w="8968.0" w:type="dxa"/>
        <w:jc w:val="left"/>
        <w:tblInd w:w="0.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94"/>
        <w:gridCol w:w="2551"/>
        <w:gridCol w:w="2594"/>
        <w:tblGridChange w:id="0">
          <w:tblGrid>
            <w:gridCol w:w="1129"/>
            <w:gridCol w:w="2694"/>
            <w:gridCol w:w="2551"/>
            <w:gridCol w:w="2594"/>
          </w:tblGrid>
        </w:tblGridChange>
      </w:tblGrid>
      <w:tr>
        <w:tc>
          <w:tcPr/>
          <w:p w:rsidR="00000000" w:rsidDel="00000000" w:rsidP="00000000" w:rsidRDefault="00000000" w:rsidRPr="00000000" w14:paraId="00000130">
            <w:pPr>
              <w:jc w:val="both"/>
              <w:rPr/>
            </w:pPr>
            <w:r w:rsidDel="00000000" w:rsidR="00000000" w:rsidRPr="00000000">
              <w:rPr>
                <w:rtl w:val="0"/>
              </w:rPr>
              <w:t xml:space="preserve">Ranking</w:t>
            </w:r>
          </w:p>
        </w:tc>
        <w:tc>
          <w:tcPr/>
          <w:p w:rsidR="00000000" w:rsidDel="00000000" w:rsidP="00000000" w:rsidRDefault="00000000" w:rsidRPr="00000000" w14:paraId="00000131">
            <w:pPr>
              <w:jc w:val="both"/>
              <w:rPr/>
            </w:pPr>
            <w:r w:rsidDel="00000000" w:rsidR="00000000" w:rsidRPr="00000000">
              <w:rPr>
                <w:rtl w:val="0"/>
              </w:rPr>
              <w:t xml:space="preserve">China</w:t>
            </w:r>
          </w:p>
        </w:tc>
        <w:tc>
          <w:tcPr/>
          <w:p w:rsidR="00000000" w:rsidDel="00000000" w:rsidP="00000000" w:rsidRDefault="00000000" w:rsidRPr="00000000" w14:paraId="00000132">
            <w:pPr>
              <w:jc w:val="both"/>
              <w:rPr/>
            </w:pPr>
            <w:r w:rsidDel="00000000" w:rsidR="00000000" w:rsidRPr="00000000">
              <w:rPr>
                <w:rtl w:val="0"/>
              </w:rPr>
              <w:t xml:space="preserve">Singapore</w:t>
            </w:r>
          </w:p>
        </w:tc>
        <w:tc>
          <w:tcPr/>
          <w:p w:rsidR="00000000" w:rsidDel="00000000" w:rsidP="00000000" w:rsidRDefault="00000000" w:rsidRPr="00000000" w14:paraId="00000133">
            <w:pPr>
              <w:jc w:val="both"/>
              <w:rPr/>
            </w:pPr>
            <w:r w:rsidDel="00000000" w:rsidR="00000000" w:rsidRPr="00000000">
              <w:rPr>
                <w:rtl w:val="0"/>
              </w:rPr>
              <w:t xml:space="preserve">India</w:t>
            </w:r>
          </w:p>
        </w:tc>
      </w:tr>
      <w:tr>
        <w:tc>
          <w:tcPr/>
          <w:p w:rsidR="00000000" w:rsidDel="00000000" w:rsidP="00000000" w:rsidRDefault="00000000" w:rsidRPr="00000000" w14:paraId="00000134">
            <w:pPr>
              <w:jc w:val="both"/>
              <w:rPr>
                <w:b w:val="0"/>
                <w:sz w:val="20"/>
                <w:szCs w:val="20"/>
              </w:rPr>
            </w:pPr>
            <w:r w:rsidDel="00000000" w:rsidR="00000000" w:rsidRPr="00000000">
              <w:rPr>
                <w:b w:val="0"/>
                <w:sz w:val="20"/>
                <w:szCs w:val="20"/>
                <w:rtl w:val="0"/>
              </w:rPr>
              <w:t xml:space="preserve">1</w:t>
            </w:r>
          </w:p>
        </w:tc>
        <w:tc>
          <w:tcPr>
            <w:vAlign w:val="bottom"/>
          </w:tcPr>
          <w:p w:rsidR="00000000" w:rsidDel="00000000" w:rsidP="00000000" w:rsidRDefault="00000000" w:rsidRPr="00000000" w14:paraId="00000135">
            <w:pPr>
              <w:rPr>
                <w:sz w:val="20"/>
                <w:szCs w:val="20"/>
              </w:rPr>
            </w:pPr>
            <w:r w:rsidDel="00000000" w:rsidR="00000000" w:rsidRPr="00000000">
              <w:rPr>
                <w:sz w:val="20"/>
                <w:szCs w:val="20"/>
                <w:rtl w:val="0"/>
              </w:rPr>
              <w:t xml:space="preserve">Refined and Processed Stones</w:t>
            </w:r>
          </w:p>
        </w:tc>
        <w:tc>
          <w:tcPr>
            <w:vAlign w:val="bottom"/>
          </w:tcPr>
          <w:p w:rsidR="00000000" w:rsidDel="00000000" w:rsidP="00000000" w:rsidRDefault="00000000" w:rsidRPr="00000000" w14:paraId="00000136">
            <w:pPr>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37">
            <w:pPr>
              <w:rPr>
                <w:sz w:val="20"/>
                <w:szCs w:val="20"/>
              </w:rPr>
            </w:pPr>
            <w:r w:rsidDel="00000000" w:rsidR="00000000" w:rsidRPr="00000000">
              <w:rPr>
                <w:sz w:val="20"/>
                <w:szCs w:val="20"/>
                <w:rtl w:val="0"/>
              </w:rPr>
              <w:t xml:space="preserve">Daily Instruments</w:t>
            </w:r>
          </w:p>
        </w:tc>
      </w:tr>
      <w:tr>
        <w:tc>
          <w:tcPr/>
          <w:p w:rsidR="00000000" w:rsidDel="00000000" w:rsidP="00000000" w:rsidRDefault="00000000" w:rsidRPr="00000000" w14:paraId="00000138">
            <w:pPr>
              <w:jc w:val="both"/>
              <w:rPr>
                <w:b w:val="0"/>
                <w:sz w:val="20"/>
                <w:szCs w:val="20"/>
              </w:rPr>
            </w:pPr>
            <w:r w:rsidDel="00000000" w:rsidR="00000000" w:rsidRPr="00000000">
              <w:rPr>
                <w:b w:val="0"/>
                <w:sz w:val="20"/>
                <w:szCs w:val="20"/>
                <w:rtl w:val="0"/>
              </w:rPr>
              <w:t xml:space="preserve">2</w:t>
            </w:r>
          </w:p>
        </w:tc>
        <w:tc>
          <w:tcPr>
            <w:vAlign w:val="bottom"/>
          </w:tcPr>
          <w:p w:rsidR="00000000" w:rsidDel="00000000" w:rsidP="00000000" w:rsidRDefault="00000000" w:rsidRPr="00000000" w14:paraId="00000139">
            <w:pPr>
              <w:rPr>
                <w:sz w:val="20"/>
                <w:szCs w:val="20"/>
              </w:rPr>
            </w:pPr>
            <w:r w:rsidDel="00000000" w:rsidR="00000000" w:rsidRPr="00000000">
              <w:rPr>
                <w:sz w:val="20"/>
                <w:szCs w:val="20"/>
                <w:rtl w:val="0"/>
              </w:rPr>
              <w:t xml:space="preserve">Services and Utilities </w:t>
            </w:r>
          </w:p>
        </w:tc>
        <w:tc>
          <w:tcPr>
            <w:vAlign w:val="bottom"/>
          </w:tcPr>
          <w:p w:rsidR="00000000" w:rsidDel="00000000" w:rsidP="00000000" w:rsidRDefault="00000000" w:rsidRPr="00000000" w14:paraId="0000013A">
            <w:pPr>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3B">
            <w:pPr>
              <w:rPr>
                <w:sz w:val="20"/>
                <w:szCs w:val="20"/>
              </w:rPr>
            </w:pPr>
            <w:r w:rsidDel="00000000" w:rsidR="00000000" w:rsidRPr="00000000">
              <w:rPr>
                <w:sz w:val="20"/>
                <w:szCs w:val="20"/>
                <w:rtl w:val="0"/>
              </w:rPr>
              <w:t xml:space="preserve">High-complexity Products</w:t>
            </w:r>
          </w:p>
        </w:tc>
      </w:tr>
      <w:tr>
        <w:tc>
          <w:tcPr/>
          <w:p w:rsidR="00000000" w:rsidDel="00000000" w:rsidP="00000000" w:rsidRDefault="00000000" w:rsidRPr="00000000" w14:paraId="0000013C">
            <w:pPr>
              <w:jc w:val="both"/>
              <w:rPr>
                <w:b w:val="0"/>
                <w:sz w:val="20"/>
                <w:szCs w:val="20"/>
              </w:rPr>
            </w:pPr>
            <w:r w:rsidDel="00000000" w:rsidR="00000000" w:rsidRPr="00000000">
              <w:rPr>
                <w:b w:val="0"/>
                <w:sz w:val="20"/>
                <w:szCs w:val="20"/>
                <w:rtl w:val="0"/>
              </w:rPr>
              <w:t xml:space="preserve">3</w:t>
            </w:r>
          </w:p>
        </w:tc>
        <w:tc>
          <w:tcPr>
            <w:vAlign w:val="bottom"/>
          </w:tcPr>
          <w:p w:rsidR="00000000" w:rsidDel="00000000" w:rsidP="00000000" w:rsidRDefault="00000000" w:rsidRPr="00000000" w14:paraId="0000013D">
            <w:pPr>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3E">
            <w:pPr>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3F">
            <w:pPr>
              <w:rPr>
                <w:sz w:val="20"/>
                <w:szCs w:val="20"/>
              </w:rPr>
            </w:pPr>
            <w:r w:rsidDel="00000000" w:rsidR="00000000" w:rsidRPr="00000000">
              <w:rPr>
                <w:sz w:val="20"/>
                <w:szCs w:val="20"/>
                <w:rtl w:val="0"/>
              </w:rPr>
              <w:t xml:space="preserve">Wood Products</w:t>
            </w:r>
          </w:p>
        </w:tc>
      </w:tr>
      <w:tr>
        <w:tc>
          <w:tcPr/>
          <w:p w:rsidR="00000000" w:rsidDel="00000000" w:rsidP="00000000" w:rsidRDefault="00000000" w:rsidRPr="00000000" w14:paraId="00000140">
            <w:pPr>
              <w:jc w:val="both"/>
              <w:rPr>
                <w:b w:val="0"/>
                <w:sz w:val="20"/>
                <w:szCs w:val="20"/>
              </w:rPr>
            </w:pPr>
            <w:r w:rsidDel="00000000" w:rsidR="00000000" w:rsidRPr="00000000">
              <w:rPr>
                <w:b w:val="0"/>
                <w:sz w:val="20"/>
                <w:szCs w:val="20"/>
                <w:rtl w:val="0"/>
              </w:rPr>
              <w:t xml:space="preserve">4</w:t>
            </w:r>
          </w:p>
        </w:tc>
        <w:tc>
          <w:tcPr>
            <w:vAlign w:val="bottom"/>
          </w:tcPr>
          <w:p w:rsidR="00000000" w:rsidDel="00000000" w:rsidP="00000000" w:rsidRDefault="00000000" w:rsidRPr="00000000" w14:paraId="00000141">
            <w:pPr>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42">
            <w:pPr>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43">
            <w:pPr>
              <w:rPr>
                <w:sz w:val="20"/>
                <w:szCs w:val="20"/>
              </w:rPr>
            </w:pPr>
            <w:r w:rsidDel="00000000" w:rsidR="00000000" w:rsidRPr="00000000">
              <w:rPr>
                <w:sz w:val="20"/>
                <w:szCs w:val="20"/>
                <w:rtl w:val="0"/>
              </w:rPr>
              <w:t xml:space="preserve">Machinery and Construction</w:t>
            </w:r>
          </w:p>
        </w:tc>
      </w:tr>
      <w:tr>
        <w:tc>
          <w:tcPr/>
          <w:p w:rsidR="00000000" w:rsidDel="00000000" w:rsidP="00000000" w:rsidRDefault="00000000" w:rsidRPr="00000000" w14:paraId="00000144">
            <w:pPr>
              <w:jc w:val="both"/>
              <w:rPr>
                <w:b w:val="0"/>
                <w:sz w:val="20"/>
                <w:szCs w:val="20"/>
              </w:rPr>
            </w:pPr>
            <w:r w:rsidDel="00000000" w:rsidR="00000000" w:rsidRPr="00000000">
              <w:rPr>
                <w:b w:val="0"/>
                <w:sz w:val="20"/>
                <w:szCs w:val="20"/>
                <w:rtl w:val="0"/>
              </w:rPr>
              <w:t xml:space="preserve">5</w:t>
            </w:r>
          </w:p>
        </w:tc>
        <w:tc>
          <w:tcPr>
            <w:vAlign w:val="bottom"/>
          </w:tcPr>
          <w:p w:rsidR="00000000" w:rsidDel="00000000" w:rsidP="00000000" w:rsidRDefault="00000000" w:rsidRPr="00000000" w14:paraId="00000145">
            <w:pPr>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46">
            <w:pPr>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47">
            <w:pPr>
              <w:rPr>
                <w:sz w:val="20"/>
                <w:szCs w:val="20"/>
              </w:rPr>
            </w:pPr>
            <w:r w:rsidDel="00000000" w:rsidR="00000000" w:rsidRPr="00000000">
              <w:rPr>
                <w:sz w:val="20"/>
                <w:szCs w:val="20"/>
                <w:rtl w:val="0"/>
              </w:rPr>
              <w:t xml:space="preserve">Chemicals</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t xml:space="preserve">Table 4: RID Comparison across Emerging Economies</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Table 4 further examines the development strategies adopted by emerging economies in the world. Reasonably, emerging economics such as China, South Korea, Singapore and India have devoted the majority of their efforts into intermediate industry groups while developed economies rely more on advanced industry groups. This trend holds true in general, regardless of the continent or the time period, and thus serves as an indicator for which phase of development a country is currently in as evaluated from its production strategy. Nevertheless, in order to more quantitative evaluate the effectiveness of different development strategies, we dive into the product space in depth in the next section to understand how countries should develop on an individual basis.</w:t>
      </w:r>
    </w:p>
    <w:p w:rsidR="00000000" w:rsidDel="00000000" w:rsidP="00000000" w:rsidRDefault="00000000" w:rsidRPr="00000000" w14:paraId="0000014C">
      <w:pPr>
        <w:jc w:val="both"/>
        <w:rPr>
          <w:b w:val="1"/>
        </w:rPr>
      </w:pPr>
      <w:r w:rsidDel="00000000" w:rsidR="00000000" w:rsidRPr="00000000">
        <w:rPr>
          <w:rtl w:val="0"/>
        </w:rPr>
      </w:r>
    </w:p>
    <w:p w:rsidR="00000000" w:rsidDel="00000000" w:rsidP="00000000" w:rsidRDefault="00000000" w:rsidRPr="00000000" w14:paraId="0000014D">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4. Product Space Design</w:t>
      </w:r>
    </w:p>
    <w:p w:rsidR="00000000" w:rsidDel="00000000" w:rsidP="00000000" w:rsidRDefault="00000000" w:rsidRPr="00000000" w14:paraId="0000014E">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14F">
      <w:pPr>
        <w:jc w:val="both"/>
        <w:rPr>
          <w:b w:val="1"/>
        </w:rPr>
      </w:pPr>
      <w:r w:rsidDel="00000000" w:rsidR="00000000" w:rsidRPr="00000000">
        <w:rPr>
          <w:b w:val="1"/>
          <w:rtl w:val="0"/>
        </w:rPr>
        <w:t xml:space="preserve">4.1 Suggested Development Vector</w:t>
      </w:r>
    </w:p>
    <w:p w:rsidR="00000000" w:rsidDel="00000000" w:rsidP="00000000" w:rsidRDefault="00000000" w:rsidRPr="00000000" w14:paraId="00000150">
      <w:pPr>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as in (14).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quantity, those having higher ECI often have economics structures that are in better shape.</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drawing>
          <wp:inline distB="0" distT="0" distL="0" distR="0">
            <wp:extent cx="5727700" cy="2458085"/>
            <wp:effectExtent b="0" l="0" r="0" t="0"/>
            <wp:docPr id="16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27700" cy="245808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t xml:space="preserve">Table 5: Opportunity Gain Ranking of Leading Economies</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We define the ranking of opportunity gain for a country c, as the Suggested Development Vector (SDV) of c. Table 5 summarizes the SDV of leading economies in the world,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such as Brazil and India have nearly half of industries with positive opportunity gain, and share common interests in manufacturing and machinery, as shown below in Table 6. It is noteworthy that not all leading economies have reached a stable equilibrium in terms of their economic structure, and in fact, it is possible for developing economies to have better balanced economic structures, despite the fact that their output quantities might not be as significant on a global scale. The result shows as that the analysis conducted on an economic complexity level might serve as a complement to existing economic indicators such as GDP, which provide information on quantity but not quality of countries’ economic progress.</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drawing>
          <wp:inline distB="0" distT="0" distL="0" distR="0">
            <wp:extent cx="5727700" cy="2354109"/>
            <wp:effectExtent b="0" l="0" r="0" t="0"/>
            <wp:docPr id="16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27700" cy="235410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t xml:space="preserve">Table 6: Opportunity Gain Ranking of Emerging Economies</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The aforementioned differences in economic structure between relatively advanced economies and developing economies imply that we need to adopt different methods for analyzing economies in different stages. For countries that have a large number of industries with positive opportunity gains, we need a sequential strategy that allows prioritization of certain industries to develop in the first stage. On the other hand, for countries that have already obtained a relatively stable economic structure, it is more important to answer questions such as how sensitive the countries are to shocks in various industries and what their contingency plans should be in those cases. Therefore, the rest of section 4 provides methods and examples to analyze those two groups of countries in a separate manner.</w:t>
      </w:r>
    </w:p>
    <w:p w:rsidR="00000000" w:rsidDel="00000000" w:rsidP="00000000" w:rsidRDefault="00000000" w:rsidRPr="00000000" w14:paraId="0000015D">
      <w:pPr>
        <w:jc w:val="both"/>
        <w:rPr>
          <w:b w:val="1"/>
        </w:rPr>
      </w:pPr>
      <w:r w:rsidDel="00000000" w:rsidR="00000000" w:rsidRPr="00000000">
        <w:rPr>
          <w:rtl w:val="0"/>
        </w:rPr>
      </w:r>
    </w:p>
    <w:p w:rsidR="00000000" w:rsidDel="00000000" w:rsidP="00000000" w:rsidRDefault="00000000" w:rsidRPr="00000000" w14:paraId="0000015E">
      <w:pPr>
        <w:jc w:val="both"/>
        <w:rPr>
          <w:b w:val="1"/>
        </w:rPr>
      </w:pPr>
      <w:r w:rsidDel="00000000" w:rsidR="00000000" w:rsidRPr="00000000">
        <w:rPr>
          <w:b w:val="1"/>
          <w:rtl w:val="0"/>
        </w:rPr>
        <w:t xml:space="preserve">4.2 Sequential Industry Development Strategy</w:t>
      </w:r>
    </w:p>
    <w:p w:rsidR="00000000" w:rsidDel="00000000" w:rsidP="00000000" w:rsidRDefault="00000000" w:rsidRPr="00000000" w14:paraId="0000015F">
      <w:pPr>
        <w:jc w:val="both"/>
        <w:rPr>
          <w:sz w:val="16"/>
          <w:szCs w:val="16"/>
        </w:rPr>
      </w:pPr>
      <w:r w:rsidDel="00000000" w:rsidR="00000000" w:rsidRPr="00000000">
        <w:rPr>
          <w:rtl w:val="0"/>
        </w:rPr>
        <w:t xml:space="preserve">The sequential economic development strategy aims to approximate the most efficient order of industrial development for countries with multiple industries to advance into. As discussed in the previous section, opportunity gain measures the potential profit in terms of economic complexity when a country invests on a product p to an extent such that the MCP bumps up from 0 to 1 (i.e., the country becomes a significant exporter in that product). Obviously, the difficulty of bumping up MCP varies across industries. Thus, we capture this variation of difficulty by defining the concept of marginal opportunity gains.</w:t>
      </w: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center"/>
        <w:rPr>
          <w:rFonts w:ascii="Cambria Math" w:cs="Cambria Math" w:eastAsia="Cambria Math" w:hAnsi="Cambria Math"/>
        </w:rPr>
      </w:pPr>
      <m:oMath>
        <m:r>
          <w:rPr>
            <w:rFonts w:ascii="Cambria Math" w:cs="Cambria Math" w:eastAsia="Cambria Math" w:hAnsi="Cambria Math"/>
          </w:rPr>
          <m:t xml:space="preserve">Marginal Opportunity Gai</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cp</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Opportunity Gai</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cp</m:t>
                </m:r>
              </m:sub>
            </m:sSub>
          </m:num>
          <m:den>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 </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c,p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num>
                  <m:den>
                    <m:r>
                      <w:rPr>
                        <w:rFonts w:ascii="Cambria Math" w:cs="Cambria Math" w:eastAsia="Cambria Math" w:hAnsi="Cambria Math"/>
                      </w:rPr>
                      <m:t xml:space="preserve">Xcp</m:t>
                    </m:r>
                  </m:den>
                </m:f>
              </m:e>
            </m:d>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Opportunity Gai</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cp</m:t>
                </m:r>
              </m:sub>
            </m:sSub>
          </m:num>
          <m:den>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num>
                  <m:den>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den>
                </m:f>
                <m:r>
                  <w:rPr>
                    <w:rFonts w:ascii="Cambria Math" w:cs="Cambria Math" w:eastAsia="Cambria Math" w:hAnsi="Cambria Math"/>
                  </w:rPr>
                  <m:t xml:space="preserve">-1</m:t>
                </m:r>
              </m:e>
            </m:d>
          </m:den>
        </m:f>
      </m:oMath>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In each iteration, we order all 18 industries based on their current marginal opportunity gain, and prioritize the industry with the highest marginal opportunity gain. We increase the prioritized industry’s export to an extent that the MCP firmly bumps up to 1. Then we re-perform calculations on countries’ marginal opportunity gains and update the next industry for the country to develop. Following this algorithm, we derive the iterative strategy for Morocco as an example. In Table 7, the industries are ranked by marginal opportunity gains in decreasing order, where dark grey indicates positive opportunity gain, gray indicates zero opportunity gains, and light grey indicates negative opportunity gains.</w:t>
      </w:r>
    </w:p>
    <w:p w:rsidR="00000000" w:rsidDel="00000000" w:rsidP="00000000" w:rsidRDefault="00000000" w:rsidRPr="00000000" w14:paraId="00000164">
      <w:pPr>
        <w:jc w:val="both"/>
        <w:rPr>
          <w:b w:val="1"/>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Table 7 shows that at present Morocco lacks necessary industrial power, and therefore barely has advantage in manufactured goods. Basic products such as Textiles, Food and Preparations are the foundation of intermediate-level products, and industries such as Raw Manufacturing and Daily Instruments are the second easiest step. It is noteworthy that the significance of High-complexity Products drops extensively after the development of Services and Utilities re-opens the door of light industries and intermediate-level industries such as transportation and metals. Because Morocco has a large gap between its current product space and advanced product groups such as High-complexity Products, Machinery and Construction, it is extremely costly for Morocco to develop these two products even in the final stable stage, and Morocco may have a compelling industrial structure without a comparative edge in these two industry groups.</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drawing>
          <wp:inline distB="0" distT="0" distL="0" distR="0">
            <wp:extent cx="5727700" cy="2795270"/>
            <wp:effectExtent b="0" l="0" r="0" t="0"/>
            <wp:docPr id="17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27700"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drawing>
          <wp:inline distB="0" distT="0" distL="0" distR="0">
            <wp:extent cx="5727700" cy="2795270"/>
            <wp:effectExtent b="0" l="0" r="0" t="0"/>
            <wp:docPr id="17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27700"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drawing>
          <wp:inline distB="0" distT="0" distL="0" distR="0">
            <wp:extent cx="5727700" cy="2795270"/>
            <wp:effectExtent b="0" l="0" r="0" t="0"/>
            <wp:docPr id="17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27700"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t xml:space="preserve">Table 7: Sequential Industry Development Strategy of Morocco</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Note that High-complexity Products and Machinery and Construction show negative marginal opportunity gain at the final stable stage, but that does not mean the two industries are valueless for the development Morocco. Instead, the suggestion means that Morocco, given to its economic situation at the final stage, is encouraged to prioritize the other industries and develop those bottom two industries only after it builds a balanced economic structure in the first place. The industries with negative opportunity gains, though not prioritized in their particular stage, should therefore still be proportionately strengthened within the capability of the country and not left behind.</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Another example of sequential industry development strategy is provided for Turkey in Table 8 below, a country that is famously on the edge of being classified as developed/developing economies. Reasonably, it takes fewer iterations for Turkey to reach a stable economic structure given that Turkey already has a comparative advantage in many important industry groups. </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drawing>
          <wp:inline distB="0" distT="0" distL="0" distR="0">
            <wp:extent cx="5727700" cy="2236470"/>
            <wp:effectExtent b="0" l="0" r="0" t="0"/>
            <wp:docPr id="17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27700" cy="223647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drawing>
          <wp:inline distB="0" distT="0" distL="0" distR="0">
            <wp:extent cx="5727700" cy="2236470"/>
            <wp:effectExtent b="0" l="0" r="0" t="0"/>
            <wp:docPr id="17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27700" cy="223647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t xml:space="preserve">Table 8: Sequential Industry Development Strategy of Turkey</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The sequential industry development strategy above applies when a large number of industries with positive opportunity gains are being considered, and may serve as a general reference for countries in deciding which industries to prioritize by providing information on the dollar-weighted costs of developing these industries. However, since we are pivoting the algorithm on industries of one certain country, the strategy admittedly ignores dynamics of concurrent development in other economies, i.e., possible changes in economic structure of other countries and trade flows on a global scale. In reality, the predicting power of the sequential industry development strategy might not be strong when the planning horizon is too long, and countries should probably consider only the first few iterations when making prioritization decisions. Nevertheless, the strength of this algorithm lies in the fact that it is easy for countries to re-calculate/update the strategies once new export information becomes available. Moreover, it is meaningful to for countries to make such calculations on a rolling basis and observe how their prioritizations have changed in the past years and whether new adjustments are needed.</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b w:val="1"/>
        </w:rPr>
      </w:pPr>
      <w:r w:rsidDel="00000000" w:rsidR="00000000" w:rsidRPr="00000000">
        <w:rPr>
          <w:b w:val="1"/>
          <w:rtl w:val="0"/>
        </w:rPr>
        <w:t xml:space="preserve">4.3 Sensitivity Analysis </w:t>
      </w:r>
    </w:p>
    <w:p w:rsidR="00000000" w:rsidDel="00000000" w:rsidP="00000000" w:rsidRDefault="00000000" w:rsidRPr="00000000" w14:paraId="0000017C">
      <w:pPr>
        <w:jc w:val="both"/>
        <w:rPr/>
      </w:pPr>
      <w:r w:rsidDel="00000000" w:rsidR="00000000" w:rsidRPr="00000000">
        <w:rPr>
          <w:rtl w:val="0"/>
        </w:rPr>
        <w:t xml:space="preserve">It’s worth noting that the Optimal Sequential Industry Development Strategy is not universally applicable to all countries. It’s designed for less developed countries that have many positive Opportunity Gain industries. If there’s barely any positive Opportunity Gain industries, the Optimal Sequential Industry Development Strategy obviously is obviously meaningless. In fact, most developed and fast developing countries fall into the category and their Suggested Development Vectors (SDV) exhibit a similar pattern, as shown below. </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drawing>
          <wp:inline distB="0" distT="0" distL="0" distR="0">
            <wp:extent cx="5727700" cy="2664360"/>
            <wp:effectExtent b="0" l="0" r="0" t="0"/>
            <wp:docPr id="17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27700" cy="266436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t xml:space="preserve">Table 9: SDV of Developed and Fasting Developing Countries in 2009</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color w:val="000000"/>
          <w:highlight w:val="white"/>
        </w:rPr>
      </w:pPr>
      <w:r w:rsidDel="00000000" w:rsidR="00000000" w:rsidRPr="00000000">
        <w:rPr>
          <w:rtl w:val="0"/>
        </w:rPr>
        <w:t xml:space="preserve">However, there are also extreme cases, such as France in 2009. </w:t>
      </w:r>
      <w:r w:rsidDel="00000000" w:rsidR="00000000" w:rsidRPr="00000000">
        <w:rPr>
          <w:color w:val="000000"/>
          <w:highlight w:val="white"/>
          <w:rtl w:val="0"/>
        </w:rPr>
        <w:t xml:space="preserve">Financial hardship resulting from the global economic crisis have led to strikes, unemployment and other forms of widespread social unrest. Such upheavals further contribute to a massive regression in all industries. Hence, even though France is a well-developed country, it can also exhibit a SDV with many positive Opportunity Gain industries, which precisely represents the hardship France went through back in 2009.</w:t>
      </w:r>
    </w:p>
    <w:p w:rsidR="00000000" w:rsidDel="00000000" w:rsidP="00000000" w:rsidRDefault="00000000" w:rsidRPr="00000000" w14:paraId="00000183">
      <w:pPr>
        <w:jc w:val="both"/>
        <w:rPr>
          <w:color w:val="000000"/>
          <w:highlight w:val="white"/>
        </w:rPr>
      </w:pPr>
      <w:r w:rsidDel="00000000" w:rsidR="00000000" w:rsidRPr="00000000">
        <w:rPr>
          <w:rtl w:val="0"/>
        </w:rPr>
      </w:r>
    </w:p>
    <w:p w:rsidR="00000000" w:rsidDel="00000000" w:rsidP="00000000" w:rsidRDefault="00000000" w:rsidRPr="00000000" w14:paraId="00000184">
      <w:pPr>
        <w:jc w:val="both"/>
        <w:rPr>
          <w:color w:val="000000"/>
          <w:highlight w:val="white"/>
        </w:rPr>
      </w:pPr>
      <w:r w:rsidDel="00000000" w:rsidR="00000000" w:rsidRPr="00000000">
        <w:rPr>
          <w:color w:val="000000"/>
          <w:highlight w:val="white"/>
          <w:rtl w:val="0"/>
        </w:rPr>
        <w:t xml:space="preserve">Therefore, instead of focusing on how to further balance the structure of product space, developed countries should take precautions against unexpected strikes and forecast the adverse effects industry by industry.  The regression of an industry with low PCI and low Opportunity Gain is less dangerous than that of cornerstone industries. High-complexity Products is such a representative of the cornerstone industries, because High-complexity Products connects to most of the profitable products that developed countries are currently specializing in. For the same token, Food and Preparations is one of the less fundamental industries for developed countries. Such intuition can be rigorously proved by the sensitivity analysis we are about to introduce.</w:t>
      </w:r>
    </w:p>
    <w:p w:rsidR="00000000" w:rsidDel="00000000" w:rsidP="00000000" w:rsidRDefault="00000000" w:rsidRPr="00000000" w14:paraId="00000185">
      <w:pPr>
        <w:jc w:val="both"/>
        <w:rPr>
          <w:color w:val="000000"/>
          <w:highlight w:val="white"/>
        </w:rPr>
      </w:pPr>
      <w:r w:rsidDel="00000000" w:rsidR="00000000" w:rsidRPr="00000000">
        <w:rPr>
          <w:rtl w:val="0"/>
        </w:rPr>
      </w:r>
    </w:p>
    <w:p w:rsidR="00000000" w:rsidDel="00000000" w:rsidP="00000000" w:rsidRDefault="00000000" w:rsidRPr="00000000" w14:paraId="00000186">
      <w:pPr>
        <w:jc w:val="both"/>
        <w:rPr>
          <w:color w:val="000000"/>
          <w:highlight w:val="white"/>
        </w:rPr>
      </w:pPr>
      <w:r w:rsidDel="00000000" w:rsidR="00000000" w:rsidRPr="00000000">
        <w:rPr>
          <w:color w:val="000000"/>
          <w:highlight w:val="white"/>
          <w:rtl w:val="0"/>
        </w:rPr>
        <w:t xml:space="preserve">The sensitivity analysis aims to approximate the volatility of SDV subject to an instant increment or decrement of export and is mainly implemented on developed countries that</w:t>
      </w:r>
    </w:p>
    <w:p w:rsidR="00000000" w:rsidDel="00000000" w:rsidP="00000000" w:rsidRDefault="00000000" w:rsidRPr="00000000" w14:paraId="00000187">
      <w:pPr>
        <w:jc w:val="both"/>
        <w:rPr>
          <w:color w:val="000000"/>
          <w:highlight w:val="white"/>
        </w:rPr>
      </w:pPr>
      <w:r w:rsidDel="00000000" w:rsidR="00000000" w:rsidRPr="00000000">
        <w:rPr>
          <w:color w:val="000000"/>
          <w:highlight w:val="white"/>
          <w:rtl w:val="0"/>
        </w:rPr>
        <w:t xml:space="preserve">have few industries with positive opportunity gains. To be more specific, sensitivity score is the least-squared slope for the linear regression between percentage change of production for</w:t>
      </w:r>
    </w:p>
    <w:p w:rsidR="00000000" w:rsidDel="00000000" w:rsidP="00000000" w:rsidRDefault="00000000" w:rsidRPr="00000000" w14:paraId="00000188">
      <w:pPr>
        <w:jc w:val="both"/>
        <w:rPr>
          <w:color w:val="000000"/>
          <w:highlight w:val="white"/>
        </w:rPr>
      </w:pPr>
      <w:r w:rsidDel="00000000" w:rsidR="00000000" w:rsidRPr="00000000">
        <w:rPr>
          <w:color w:val="000000"/>
          <w:highlight w:val="white"/>
          <w:rtl w:val="0"/>
        </w:rPr>
        <w:t xml:space="preserve">Country C and Product P and the E</w:t>
      </w:r>
      <w:r w:rsidDel="00000000" w:rsidR="00000000" w:rsidRPr="00000000">
        <w:rPr>
          <w:color w:val="000000"/>
          <w:highlight w:val="white"/>
          <w:vertAlign w:val="subscript"/>
          <w:rtl w:val="0"/>
        </w:rPr>
        <w:t xml:space="preserve"> f</w:t>
      </w:r>
      <w:r w:rsidDel="00000000" w:rsidR="00000000" w:rsidRPr="00000000">
        <w:rPr>
          <w:color w:val="000000"/>
          <w:highlight w:val="white"/>
          <w:rtl w:val="0"/>
        </w:rPr>
        <w:t xml:space="preserve"> CI of C. </w:t>
      </w:r>
    </w:p>
    <w:p w:rsidR="00000000" w:rsidDel="00000000" w:rsidP="00000000" w:rsidRDefault="00000000" w:rsidRPr="00000000" w14:paraId="00000189">
      <w:pPr>
        <w:jc w:val="both"/>
        <w:rPr>
          <w:color w:val="000000"/>
          <w:highlight w:val="white"/>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sidDel="00000000" w:rsidR="00000000" w:rsidRPr="00000000">
        <w:rPr>
          <w:color w:val="000000"/>
          <w:highlight w:val="white"/>
          <w:rtl w:val="0"/>
        </w:rPr>
        <w:t xml:space="preserve">We separate the increment and decrement of production in the sensitivity analysis, because they tend to show vast difference. The extreme profitability of a spike of production doesn’t imply a shrink is always followed by a painful crisis.  </w:t>
      </w: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color w:val="000000"/>
          <w:highlight w:val="white"/>
        </w:rPr>
      </w:pPr>
      <w:r w:rsidDel="00000000" w:rsidR="00000000" w:rsidRPr="00000000">
        <w:rPr>
          <w:rtl w:val="0"/>
        </w:rPr>
        <w:t xml:space="preserve">We perform the sensitivity analysis of the aggregate of top ECI countries, including the United States, the United Kingdom, Korea, Japan, South Korea, Singapore, Germany, and France, and use the result as the benchmark. </w:t>
      </w:r>
      <w:r w:rsidDel="00000000" w:rsidR="00000000" w:rsidRPr="00000000">
        <w:rPr>
          <w:color w:val="000000"/>
          <w:highlight w:val="white"/>
          <w:rtl w:val="0"/>
        </w:rPr>
        <w:t xml:space="preserve">The sensitivity score in 2014 and 2009 are shown in Table 0 and Table 11 respectively:</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center"/>
        <w:rPr/>
      </w:pPr>
      <w:r w:rsidDel="00000000" w:rsidR="00000000" w:rsidRPr="00000000">
        <w:rPr/>
        <w:drawing>
          <wp:inline distB="0" distT="0" distL="0" distR="0">
            <wp:extent cx="3886200" cy="609600"/>
            <wp:effectExtent b="0" l="0" r="0" t="0"/>
            <wp:docPr id="17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886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t xml:space="preserve">Table 10: Sensitivity Score of Benchmark in 2014</w:t>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drawing>
          <wp:inline distB="0" distT="0" distL="0" distR="0">
            <wp:extent cx="3895725" cy="619125"/>
            <wp:effectExtent b="0" l="0" r="0" t="0"/>
            <wp:docPr id="17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8957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t xml:space="preserve">Table 11: Sensitivity Score of Benchmark in 2009</w:t>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both"/>
        <w:rPr>
          <w:color w:val="000000"/>
          <w:highlight w:val="white"/>
        </w:rPr>
      </w:pPr>
      <w:r w:rsidDel="00000000" w:rsidR="00000000" w:rsidRPr="00000000">
        <w:rPr>
          <w:color w:val="000000"/>
          <w:highlight w:val="white"/>
          <w:rtl w:val="0"/>
        </w:rPr>
        <w:t xml:space="preserve">We observe a similar pattern that the Sensitivity Score of Food and Preparations is approximately 0, while the Decremental Sensitivity Score is larger than the Increment. We can therefore make three conclusions here. </w:t>
      </w:r>
    </w:p>
    <w:p w:rsidR="00000000" w:rsidDel="00000000" w:rsidP="00000000" w:rsidRDefault="00000000" w:rsidRPr="00000000" w14:paraId="0000019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disturbance in Food and Preparations industry exert a trivial impact on the 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subscript"/>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CI of a country, which echoes with our intuition that Food and Preparations is of minimal significance to the structure of product space of developed countries or fast developing countries.</w:t>
      </w:r>
    </w:p>
    <w:p w:rsidR="00000000" w:rsidDel="00000000" w:rsidP="00000000" w:rsidRDefault="00000000" w:rsidRPr="00000000" w14:paraId="0000019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High-complexity Products industry is the cornerstone industry of most developed or fast developing countries. </w:t>
      </w:r>
    </w:p>
    <w:p w:rsidR="00000000" w:rsidDel="00000000" w:rsidP="00000000" w:rsidRDefault="00000000" w:rsidRPr="00000000" w14:paraId="0000019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reward of an increase of High-complexity Products production is less than the jeopardy of a decrease in the same extent.  </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hanging="72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9B">
      <w:pPr>
        <w:jc w:val="both"/>
        <w:rPr>
          <w:color w:val="000000"/>
          <w:highlight w:val="white"/>
        </w:rPr>
      </w:pPr>
      <w:r w:rsidDel="00000000" w:rsidR="00000000" w:rsidRPr="00000000">
        <w:rPr>
          <w:color w:val="000000"/>
          <w:highlight w:val="white"/>
          <w:rtl w:val="0"/>
        </w:rPr>
        <w:t xml:space="preserve">Besides the sensitivity score, we are interested in the shift of SDV caused by upheavals in different industries. The shift of SDV gives us a good vision of how the production pattern is going to be. The results of Benchmark in 2014 are shown below in Table 12-Table 15</w:t>
      </w:r>
    </w:p>
    <w:p w:rsidR="00000000" w:rsidDel="00000000" w:rsidP="00000000" w:rsidRDefault="00000000" w:rsidRPr="00000000" w14:paraId="0000019C">
      <w:pPr>
        <w:jc w:val="both"/>
        <w:rPr>
          <w:color w:val="000000"/>
          <w:highlight w:val="white"/>
        </w:rPr>
      </w:pPr>
      <w:r w:rsidDel="00000000" w:rsidR="00000000" w:rsidRPr="00000000">
        <w:rPr>
          <w:rtl w:val="0"/>
        </w:rPr>
      </w:r>
    </w:p>
    <w:p w:rsidR="00000000" w:rsidDel="00000000" w:rsidP="00000000" w:rsidRDefault="00000000" w:rsidRPr="00000000" w14:paraId="0000019D">
      <w:pPr>
        <w:jc w:val="center"/>
        <w:rPr>
          <w:color w:val="000000"/>
          <w:highlight w:val="white"/>
        </w:rPr>
      </w:pPr>
      <w:bookmarkStart w:colFirst="0" w:colLast="0" w:name="_heading=h.gjdgxs" w:id="0"/>
      <w:bookmarkEnd w:id="0"/>
      <w:r w:rsidDel="00000000" w:rsidR="00000000" w:rsidRPr="00000000">
        <w:rPr/>
        <w:drawing>
          <wp:inline distB="0" distT="0" distL="0" distR="0">
            <wp:extent cx="5727700" cy="2145665"/>
            <wp:effectExtent b="0" l="0" r="0" t="0"/>
            <wp:docPr id="17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27700" cy="214566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color w:val="000000"/>
          <w:highlight w:val="white"/>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t xml:space="preserve">Table 12: Incremental of High-complexity Products Production for Benchmark in 2014</w:t>
      </w:r>
    </w:p>
    <w:p w:rsidR="00000000" w:rsidDel="00000000" w:rsidP="00000000" w:rsidRDefault="00000000" w:rsidRPr="00000000" w14:paraId="000001A0">
      <w:pPr>
        <w:jc w:val="center"/>
        <w:rPr>
          <w:color w:val="000000"/>
          <w:highlight w:val="white"/>
        </w:rPr>
      </w:pPr>
      <w:r w:rsidDel="00000000" w:rsidR="00000000" w:rsidRPr="00000000">
        <w:rPr>
          <w:rtl w:val="0"/>
        </w:rPr>
      </w:r>
    </w:p>
    <w:p w:rsidR="00000000" w:rsidDel="00000000" w:rsidP="00000000" w:rsidRDefault="00000000" w:rsidRPr="00000000" w14:paraId="000001A1">
      <w:pPr>
        <w:jc w:val="both"/>
        <w:rPr>
          <w:color w:val="000000"/>
          <w:highlight w:val="white"/>
        </w:rPr>
      </w:pPr>
      <w:r w:rsidDel="00000000" w:rsidR="00000000" w:rsidRPr="00000000">
        <w:rPr/>
        <w:drawing>
          <wp:inline distB="0" distT="0" distL="0" distR="0">
            <wp:extent cx="5727700" cy="2136775"/>
            <wp:effectExtent b="0" l="0" r="0" t="0"/>
            <wp:docPr id="18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27700" cy="21367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both"/>
        <w:rPr>
          <w:color w:val="000000"/>
          <w:highlight w:val="white"/>
        </w:rPr>
      </w:pPr>
      <w:r w:rsidDel="00000000" w:rsidR="00000000" w:rsidRPr="00000000">
        <w:rPr>
          <w:rtl w:val="0"/>
        </w:rPr>
      </w:r>
    </w:p>
    <w:p w:rsidR="00000000" w:rsidDel="00000000" w:rsidP="00000000" w:rsidRDefault="00000000" w:rsidRPr="00000000" w14:paraId="000001A3">
      <w:pPr>
        <w:jc w:val="center"/>
        <w:rPr>
          <w:color w:val="000000"/>
          <w:highlight w:val="white"/>
        </w:rPr>
      </w:pPr>
      <w:r w:rsidDel="00000000" w:rsidR="00000000" w:rsidRPr="00000000">
        <w:rPr>
          <w:rtl w:val="0"/>
        </w:rPr>
        <w:t xml:space="preserve">Table 13: Decremental High-complexity Products Production for Benchmark in 2014</w:t>
      </w:r>
      <w:r w:rsidDel="00000000" w:rsidR="00000000" w:rsidRPr="00000000">
        <w:rPr>
          <w:rtl w:val="0"/>
        </w:rPr>
      </w:r>
    </w:p>
    <w:p w:rsidR="00000000" w:rsidDel="00000000" w:rsidP="00000000" w:rsidRDefault="00000000" w:rsidRPr="00000000" w14:paraId="000001A4">
      <w:pPr>
        <w:jc w:val="both"/>
        <w:rPr>
          <w:color w:val="000000"/>
          <w:highlight w:val="white"/>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drawing>
          <wp:inline distB="0" distT="0" distL="0" distR="0">
            <wp:extent cx="5727700" cy="2148205"/>
            <wp:effectExtent b="0" l="0" r="0" t="0"/>
            <wp:docPr id="18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27700" cy="214820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t xml:space="preserve">Table 14: Incremental Food and Preparations Production for Benchmark in 2014</w:t>
      </w:r>
    </w:p>
    <w:p w:rsidR="00000000" w:rsidDel="00000000" w:rsidP="00000000" w:rsidRDefault="00000000" w:rsidRPr="00000000" w14:paraId="000001A9">
      <w:pPr>
        <w:jc w:val="center"/>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drawing>
          <wp:inline distB="0" distT="0" distL="0" distR="0">
            <wp:extent cx="5727700" cy="2142490"/>
            <wp:effectExtent b="0" l="0" r="0" t="0"/>
            <wp:docPr id="18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27700" cy="214249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t xml:space="preserve">Table 15: Decremental Food and Preparations Production for Benchmark in 2014</w:t>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As we expect, the shift of Food and Preparations production doesn’t alter the SDV at all. In contrast, the boom of High-complexity Products can stimulate and bring extra potential to other high complexity industries, including Machinery and Construction, Transportation and Daily Instruments.</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jc w:val="both"/>
        <w:rPr>
          <w:b w:val="1"/>
        </w:rPr>
      </w:pPr>
      <w:r w:rsidDel="00000000" w:rsidR="00000000" w:rsidRPr="00000000">
        <w:rPr>
          <w:b w:val="1"/>
          <w:rtl w:val="0"/>
        </w:rPr>
        <w:t xml:space="preserve">4.4 Contingency Plan</w:t>
      </w:r>
    </w:p>
    <w:p w:rsidR="00000000" w:rsidDel="00000000" w:rsidP="00000000" w:rsidRDefault="00000000" w:rsidRPr="00000000" w14:paraId="000001B1">
      <w:pPr>
        <w:jc w:val="both"/>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The contingency plans for the United States and China in 2014 are shown in Table 16 and Table 17 respectively.</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drawing>
          <wp:inline distB="0" distT="0" distL="0" distR="0">
            <wp:extent cx="5727700" cy="2932430"/>
            <wp:effectExtent b="0" l="0" r="0" t="0"/>
            <wp:docPr id="18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27700" cy="293243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t xml:space="preserve">Table 16: Contingency Plan for the United States in 2014</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jc w:val="center"/>
        <w:rPr/>
      </w:pPr>
      <w:r w:rsidDel="00000000" w:rsidR="00000000" w:rsidRPr="00000000">
        <w:rPr/>
        <w:drawing>
          <wp:inline distB="0" distT="0" distL="0" distR="0">
            <wp:extent cx="5562600" cy="3667125"/>
            <wp:effectExtent b="0" l="0" r="0" t="0"/>
            <wp:docPr id="18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5626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center"/>
        <w:rPr/>
      </w:pPr>
      <w:r w:rsidDel="00000000" w:rsidR="00000000" w:rsidRPr="00000000">
        <w:rPr>
          <w:rtl w:val="0"/>
        </w:rPr>
      </w:r>
    </w:p>
    <w:p w:rsidR="00000000" w:rsidDel="00000000" w:rsidP="00000000" w:rsidRDefault="00000000" w:rsidRPr="00000000" w14:paraId="000001B9">
      <w:pPr>
        <w:jc w:val="center"/>
        <w:rPr/>
      </w:pPr>
      <w:r w:rsidDel="00000000" w:rsidR="00000000" w:rsidRPr="00000000">
        <w:rPr>
          <w:rtl w:val="0"/>
        </w:rPr>
        <w:t xml:space="preserve">Table 17: Contingency Plan for China in 2014</w:t>
      </w:r>
    </w:p>
    <w:p w:rsidR="00000000" w:rsidDel="00000000" w:rsidP="00000000" w:rsidRDefault="00000000" w:rsidRPr="00000000" w14:paraId="000001BA">
      <w:pPr>
        <w:jc w:val="cente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As a clarification, the three consequential N/As means that the country doesn’t even need to respond to a collapse in the industry. The United States and China have distinct solutions to the up and down of the same industry.  While the solution for the United States is highly industrial, Energy Drilling and Mining is the panacea for China. It’s worth noting that the Services and Utilities industry in the United States differs from all other industries, we will further discuss the reason behind in the national report of the United States.</w:t>
      </w:r>
    </w:p>
    <w:p w:rsidR="00000000" w:rsidDel="00000000" w:rsidP="00000000" w:rsidRDefault="00000000" w:rsidRPr="00000000" w14:paraId="000001BC">
      <w:pPr>
        <w:jc w:val="both"/>
        <w:rPr>
          <w:b w:val="1"/>
        </w:rPr>
      </w:pPr>
      <w:r w:rsidDel="00000000" w:rsidR="00000000" w:rsidRPr="00000000">
        <w:rPr>
          <w:rtl w:val="0"/>
        </w:rPr>
      </w:r>
    </w:p>
    <w:p w:rsidR="00000000" w:rsidDel="00000000" w:rsidP="00000000" w:rsidRDefault="00000000" w:rsidRPr="00000000" w14:paraId="000001BD">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5. Macro-level Predictions</w:t>
      </w:r>
    </w:p>
    <w:p w:rsidR="00000000" w:rsidDel="00000000" w:rsidP="00000000" w:rsidRDefault="00000000" w:rsidRPr="00000000" w14:paraId="000001BE">
      <w:pPr>
        <w:jc w:val="both"/>
        <w:rPr>
          <w:b w:val="1"/>
        </w:rPr>
      </w:pPr>
      <w:r w:rsidDel="00000000" w:rsidR="00000000" w:rsidRPr="00000000">
        <w:rPr>
          <w:rtl w:val="0"/>
        </w:rPr>
      </w:r>
    </w:p>
    <w:p w:rsidR="00000000" w:rsidDel="00000000" w:rsidP="00000000" w:rsidRDefault="00000000" w:rsidRPr="00000000" w14:paraId="000001BF">
      <w:pPr>
        <w:jc w:val="both"/>
        <w:rPr>
          <w:b w:val="1"/>
        </w:rPr>
      </w:pPr>
      <w:r w:rsidDel="00000000" w:rsidR="00000000" w:rsidRPr="00000000">
        <w:rPr>
          <w:b w:val="1"/>
          <w:rtl w:val="0"/>
        </w:rPr>
        <w:t xml:space="preserve">5.1 Structural Optimality Index</w:t>
      </w:r>
    </w:p>
    <w:p w:rsidR="00000000" w:rsidDel="00000000" w:rsidP="00000000" w:rsidRDefault="00000000" w:rsidRPr="00000000" w14:paraId="000001C0">
      <w:pPr>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After obtaining this measure for all countries in our database, we further regress countries’ five-year economic growth, which is defined as the net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11.9%. In other words, the more a country develops as suggested by calculations on a complexity level, the better economic outcomes it achieves.</w:t>
      </w:r>
    </w:p>
    <w:p w:rsidR="00000000" w:rsidDel="00000000" w:rsidP="00000000" w:rsidRDefault="00000000" w:rsidRPr="00000000" w14:paraId="000001C3">
      <w:pPr>
        <w:jc w:val="both"/>
        <w:rPr/>
      </w:pPr>
      <w:r w:rsidDel="00000000" w:rsidR="00000000" w:rsidRPr="00000000">
        <w:rPr>
          <w:rtl w:val="0"/>
        </w:rPr>
      </w:r>
    </w:p>
    <w:tbl>
      <w:tblPr>
        <w:tblStyle w:val="Table6"/>
        <w:tblW w:w="3542.9999999999995" w:type="dxa"/>
        <w:jc w:val="left"/>
        <w:tblInd w:w="0.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816"/>
        <w:gridCol w:w="1727"/>
        <w:tblGridChange w:id="0">
          <w:tblGrid>
            <w:gridCol w:w="1816"/>
            <w:gridCol w:w="1727"/>
          </w:tblGrid>
        </w:tblGridChange>
      </w:tblGrid>
      <w:tr>
        <w:tc>
          <w:tcPr/>
          <w:p w:rsidR="00000000" w:rsidDel="00000000" w:rsidP="00000000" w:rsidRDefault="00000000" w:rsidRPr="00000000" w14:paraId="000001C4">
            <w:pPr>
              <w:jc w:val="both"/>
              <w:rPr>
                <w:sz w:val="20"/>
                <w:szCs w:val="20"/>
              </w:rPr>
            </w:pPr>
            <w:r w:rsidDel="00000000" w:rsidR="00000000" w:rsidRPr="00000000">
              <w:rPr>
                <w:sz w:val="20"/>
                <w:szCs w:val="20"/>
                <w:rtl w:val="0"/>
              </w:rPr>
              <w:t xml:space="preserve">Statistics</w:t>
            </w:r>
          </w:p>
        </w:tc>
        <w:tc>
          <w:tcPr/>
          <w:p w:rsidR="00000000" w:rsidDel="00000000" w:rsidP="00000000" w:rsidRDefault="00000000" w:rsidRPr="00000000" w14:paraId="000001C5">
            <w:pPr>
              <w:jc w:val="both"/>
              <w:rPr>
                <w:sz w:val="20"/>
                <w:szCs w:val="20"/>
              </w:rPr>
            </w:pPr>
            <w:r w:rsidDel="00000000" w:rsidR="00000000" w:rsidRPr="00000000">
              <w:rPr>
                <w:sz w:val="20"/>
                <w:szCs w:val="20"/>
                <w:rtl w:val="0"/>
              </w:rPr>
              <w:t xml:space="preserve">Value</w:t>
            </w:r>
          </w:p>
        </w:tc>
      </w:tr>
      <w:tr>
        <w:tc>
          <w:tcPr/>
          <w:p w:rsidR="00000000" w:rsidDel="00000000" w:rsidP="00000000" w:rsidRDefault="00000000" w:rsidRPr="00000000" w14:paraId="000001C6">
            <w:pPr>
              <w:jc w:val="both"/>
              <w:rPr>
                <w:b w:val="0"/>
                <w:sz w:val="20"/>
                <w:szCs w:val="20"/>
              </w:rPr>
            </w:pPr>
            <w:r w:rsidDel="00000000" w:rsidR="00000000" w:rsidRPr="00000000">
              <w:rPr>
                <w:b w:val="0"/>
                <w:sz w:val="20"/>
                <w:szCs w:val="20"/>
                <w:rtl w:val="0"/>
              </w:rPr>
              <w:t xml:space="preserve">Multiple R</w:t>
            </w:r>
          </w:p>
        </w:tc>
        <w:tc>
          <w:tcPr/>
          <w:p w:rsidR="00000000" w:rsidDel="00000000" w:rsidP="00000000" w:rsidRDefault="00000000" w:rsidRPr="00000000" w14:paraId="000001C7">
            <w:pPr>
              <w:jc w:val="both"/>
              <w:rPr>
                <w:sz w:val="20"/>
                <w:szCs w:val="20"/>
              </w:rPr>
            </w:pPr>
            <w:r w:rsidDel="00000000" w:rsidR="00000000" w:rsidRPr="00000000">
              <w:rPr>
                <w:sz w:val="20"/>
                <w:szCs w:val="20"/>
                <w:rtl w:val="0"/>
              </w:rPr>
              <w:t xml:space="preserve">0.355</w:t>
            </w:r>
          </w:p>
        </w:tc>
      </w:tr>
      <w:tr>
        <w:tc>
          <w:tcPr/>
          <w:p w:rsidR="00000000" w:rsidDel="00000000" w:rsidP="00000000" w:rsidRDefault="00000000" w:rsidRPr="00000000" w14:paraId="000001C8">
            <w:pPr>
              <w:jc w:val="both"/>
              <w:rPr>
                <w:b w:val="0"/>
                <w:sz w:val="20"/>
                <w:szCs w:val="20"/>
              </w:rPr>
            </w:pPr>
            <w:r w:rsidDel="00000000" w:rsidR="00000000" w:rsidRPr="00000000">
              <w:rPr>
                <w:b w:val="0"/>
                <w:sz w:val="20"/>
                <w:szCs w:val="20"/>
                <w:rtl w:val="0"/>
              </w:rPr>
              <w:t xml:space="preserve">R-Square</w:t>
            </w:r>
          </w:p>
        </w:tc>
        <w:tc>
          <w:tcPr/>
          <w:p w:rsidR="00000000" w:rsidDel="00000000" w:rsidP="00000000" w:rsidRDefault="00000000" w:rsidRPr="00000000" w14:paraId="000001C9">
            <w:pPr>
              <w:jc w:val="both"/>
              <w:rPr>
                <w:sz w:val="20"/>
                <w:szCs w:val="20"/>
              </w:rPr>
            </w:pPr>
            <w:r w:rsidDel="00000000" w:rsidR="00000000" w:rsidRPr="00000000">
              <w:rPr>
                <w:sz w:val="20"/>
                <w:szCs w:val="20"/>
                <w:rtl w:val="0"/>
              </w:rPr>
              <w:t xml:space="preserve">0.126</w:t>
            </w:r>
          </w:p>
        </w:tc>
      </w:tr>
      <w:tr>
        <w:tc>
          <w:tcPr/>
          <w:p w:rsidR="00000000" w:rsidDel="00000000" w:rsidP="00000000" w:rsidRDefault="00000000" w:rsidRPr="00000000" w14:paraId="000001CA">
            <w:pPr>
              <w:jc w:val="both"/>
              <w:rPr>
                <w:b w:val="0"/>
                <w:sz w:val="20"/>
                <w:szCs w:val="20"/>
              </w:rPr>
            </w:pPr>
            <w:r w:rsidDel="00000000" w:rsidR="00000000" w:rsidRPr="00000000">
              <w:rPr>
                <w:b w:val="0"/>
                <w:sz w:val="20"/>
                <w:szCs w:val="20"/>
                <w:rtl w:val="0"/>
              </w:rPr>
              <w:t xml:space="preserve">Adjusted R</w:t>
            </w:r>
            <w:r w:rsidDel="00000000" w:rsidR="00000000" w:rsidRPr="00000000">
              <w:rPr>
                <w:b w:val="0"/>
                <w:sz w:val="20"/>
                <w:szCs w:val="20"/>
                <w:vertAlign w:val="superscript"/>
                <w:rtl w:val="0"/>
              </w:rPr>
              <w:t xml:space="preserve">2</w:t>
            </w:r>
            <w:r w:rsidDel="00000000" w:rsidR="00000000" w:rsidRPr="00000000">
              <w:rPr>
                <w:rtl w:val="0"/>
              </w:rPr>
            </w:r>
          </w:p>
        </w:tc>
        <w:tc>
          <w:tcPr/>
          <w:p w:rsidR="00000000" w:rsidDel="00000000" w:rsidP="00000000" w:rsidRDefault="00000000" w:rsidRPr="00000000" w14:paraId="000001CB">
            <w:pPr>
              <w:jc w:val="both"/>
              <w:rPr>
                <w:sz w:val="20"/>
                <w:szCs w:val="20"/>
              </w:rPr>
            </w:pPr>
            <w:r w:rsidDel="00000000" w:rsidR="00000000" w:rsidRPr="00000000">
              <w:rPr>
                <w:sz w:val="20"/>
                <w:szCs w:val="20"/>
                <w:rtl w:val="0"/>
              </w:rPr>
              <w:t xml:space="preserve">0.119</w:t>
            </w:r>
          </w:p>
        </w:tc>
      </w:tr>
      <w:tr>
        <w:tc>
          <w:tcPr/>
          <w:p w:rsidR="00000000" w:rsidDel="00000000" w:rsidP="00000000" w:rsidRDefault="00000000" w:rsidRPr="00000000" w14:paraId="000001CC">
            <w:pPr>
              <w:jc w:val="both"/>
              <w:rPr>
                <w:sz w:val="20"/>
                <w:szCs w:val="20"/>
              </w:rPr>
            </w:pPr>
            <w:r w:rsidDel="00000000" w:rsidR="00000000" w:rsidRPr="00000000">
              <w:rPr>
                <w:rtl w:val="0"/>
              </w:rPr>
            </w:r>
          </w:p>
        </w:tc>
        <w:tc>
          <w:tcPr/>
          <w:p w:rsidR="00000000" w:rsidDel="00000000" w:rsidP="00000000" w:rsidRDefault="00000000" w:rsidRPr="00000000" w14:paraId="000001CD">
            <w:pPr>
              <w:jc w:val="both"/>
              <w:rPr>
                <w:sz w:val="20"/>
                <w:szCs w:val="20"/>
              </w:rPr>
            </w:pPr>
            <w:r w:rsidDel="00000000" w:rsidR="00000000" w:rsidRPr="00000000">
              <w:rPr>
                <w:rtl w:val="0"/>
              </w:rPr>
            </w:r>
          </w:p>
        </w:tc>
      </w:tr>
      <w:tr>
        <w:tc>
          <w:tcPr/>
          <w:p w:rsidR="00000000" w:rsidDel="00000000" w:rsidP="00000000" w:rsidRDefault="00000000" w:rsidRPr="00000000" w14:paraId="000001CE">
            <w:pPr>
              <w:jc w:val="both"/>
              <w:rPr>
                <w:sz w:val="20"/>
                <w:szCs w:val="20"/>
              </w:rPr>
            </w:pPr>
            <w:r w:rsidDel="00000000" w:rsidR="00000000" w:rsidRPr="00000000">
              <w:rPr>
                <w:sz w:val="20"/>
                <w:szCs w:val="20"/>
                <w:rtl w:val="0"/>
              </w:rPr>
              <w:t xml:space="preserve">Variable</w:t>
            </w:r>
          </w:p>
        </w:tc>
        <w:tc>
          <w:tcPr/>
          <w:p w:rsidR="00000000" w:rsidDel="00000000" w:rsidP="00000000" w:rsidRDefault="00000000" w:rsidRPr="00000000" w14:paraId="000001CF">
            <w:pPr>
              <w:jc w:val="both"/>
              <w:rPr>
                <w:b w:val="1"/>
                <w:sz w:val="20"/>
                <w:szCs w:val="20"/>
              </w:rPr>
            </w:pPr>
            <w:r w:rsidDel="00000000" w:rsidR="00000000" w:rsidRPr="00000000">
              <w:rPr>
                <w:b w:val="1"/>
                <w:sz w:val="20"/>
                <w:szCs w:val="20"/>
                <w:rtl w:val="0"/>
              </w:rPr>
              <w:t xml:space="preserve">Value</w:t>
            </w:r>
          </w:p>
        </w:tc>
      </w:tr>
      <w:tr>
        <w:tc>
          <w:tcPr/>
          <w:p w:rsidR="00000000" w:rsidDel="00000000" w:rsidP="00000000" w:rsidRDefault="00000000" w:rsidRPr="00000000" w14:paraId="000001D0">
            <w:pPr>
              <w:jc w:val="both"/>
              <w:rPr>
                <w:b w:val="0"/>
                <w:sz w:val="20"/>
                <w:szCs w:val="20"/>
              </w:rPr>
            </w:pPr>
            <w:r w:rsidDel="00000000" w:rsidR="00000000" w:rsidRPr="00000000">
              <w:rPr>
                <w:b w:val="0"/>
                <w:sz w:val="20"/>
                <w:szCs w:val="20"/>
                <w:rtl w:val="0"/>
              </w:rPr>
              <w:t xml:space="preserve">Coefficient</w:t>
            </w:r>
          </w:p>
        </w:tc>
        <w:tc>
          <w:tcPr/>
          <w:p w:rsidR="00000000" w:rsidDel="00000000" w:rsidP="00000000" w:rsidRDefault="00000000" w:rsidRPr="00000000" w14:paraId="000001D1">
            <w:pPr>
              <w:jc w:val="both"/>
              <w:rPr>
                <w:sz w:val="20"/>
                <w:szCs w:val="20"/>
                <w:vertAlign w:val="superscript"/>
              </w:rPr>
            </w:pPr>
            <w:r w:rsidDel="00000000" w:rsidR="00000000" w:rsidRPr="00000000">
              <w:rPr>
                <w:sz w:val="20"/>
                <w:szCs w:val="20"/>
                <w:rtl w:val="0"/>
              </w:rPr>
              <w:t xml:space="preserve">1.249*10</w:t>
            </w:r>
            <w:r w:rsidDel="00000000" w:rsidR="00000000" w:rsidRPr="00000000">
              <w:rPr>
                <w:sz w:val="20"/>
                <w:szCs w:val="20"/>
                <w:vertAlign w:val="superscript"/>
                <w:rtl w:val="0"/>
              </w:rPr>
              <w:t xml:space="preserve">12</w:t>
            </w:r>
          </w:p>
        </w:tc>
      </w:tr>
      <w:tr>
        <w:tc>
          <w:tcPr/>
          <w:p w:rsidR="00000000" w:rsidDel="00000000" w:rsidP="00000000" w:rsidRDefault="00000000" w:rsidRPr="00000000" w14:paraId="000001D2">
            <w:pPr>
              <w:jc w:val="both"/>
              <w:rPr>
                <w:b w:val="0"/>
                <w:sz w:val="20"/>
                <w:szCs w:val="20"/>
              </w:rPr>
            </w:pPr>
            <w:r w:rsidDel="00000000" w:rsidR="00000000" w:rsidRPr="00000000">
              <w:rPr>
                <w:b w:val="0"/>
                <w:sz w:val="20"/>
                <w:szCs w:val="20"/>
                <w:rtl w:val="0"/>
              </w:rPr>
              <w:t xml:space="preserve">t-stat</w:t>
            </w:r>
          </w:p>
        </w:tc>
        <w:tc>
          <w:tcPr/>
          <w:p w:rsidR="00000000" w:rsidDel="00000000" w:rsidP="00000000" w:rsidRDefault="00000000" w:rsidRPr="00000000" w14:paraId="000001D3">
            <w:pPr>
              <w:jc w:val="both"/>
              <w:rPr>
                <w:sz w:val="20"/>
                <w:szCs w:val="20"/>
              </w:rPr>
            </w:pPr>
            <w:r w:rsidDel="00000000" w:rsidR="00000000" w:rsidRPr="00000000">
              <w:rPr>
                <w:sz w:val="20"/>
                <w:szCs w:val="20"/>
                <w:rtl w:val="0"/>
              </w:rPr>
              <w:t xml:space="preserve">4.061</w:t>
            </w:r>
          </w:p>
        </w:tc>
      </w:tr>
      <w:tr>
        <w:tc>
          <w:tcPr/>
          <w:p w:rsidR="00000000" w:rsidDel="00000000" w:rsidP="00000000" w:rsidRDefault="00000000" w:rsidRPr="00000000" w14:paraId="000001D4">
            <w:pPr>
              <w:jc w:val="both"/>
              <w:rPr>
                <w:b w:val="0"/>
                <w:sz w:val="20"/>
                <w:szCs w:val="20"/>
              </w:rPr>
            </w:pPr>
            <w:r w:rsidDel="00000000" w:rsidR="00000000" w:rsidRPr="00000000">
              <w:rPr>
                <w:b w:val="0"/>
                <w:sz w:val="20"/>
                <w:szCs w:val="20"/>
                <w:rtl w:val="0"/>
              </w:rPr>
              <w:t xml:space="preserve">P-value</w:t>
            </w:r>
          </w:p>
        </w:tc>
        <w:tc>
          <w:tcPr/>
          <w:p w:rsidR="00000000" w:rsidDel="00000000" w:rsidP="00000000" w:rsidRDefault="00000000" w:rsidRPr="00000000" w14:paraId="000001D5">
            <w:pPr>
              <w:jc w:val="both"/>
              <w:rPr>
                <w:sz w:val="20"/>
                <w:szCs w:val="20"/>
              </w:rPr>
            </w:pPr>
            <w:r w:rsidDel="00000000" w:rsidR="00000000" w:rsidRPr="00000000">
              <w:rPr>
                <w:sz w:val="20"/>
                <w:szCs w:val="20"/>
                <w:rtl w:val="0"/>
              </w:rPr>
              <w:t xml:space="preserve">0.000(***)</w:t>
            </w:r>
          </w:p>
        </w:tc>
      </w:tr>
    </w:tbl>
    <w:p w:rsidR="00000000" w:rsidDel="00000000" w:rsidP="00000000" w:rsidRDefault="00000000" w:rsidRPr="00000000" w14:paraId="000001D6">
      <w:pPr>
        <w:jc w:val="both"/>
        <w:rPr/>
      </w:pPr>
      <w:r w:rsidDel="00000000" w:rsidR="00000000" w:rsidRPr="00000000">
        <w:rPr/>
        <w:drawing>
          <wp:inline distB="0" distT="0" distL="0" distR="0">
            <wp:extent cx="3143791" cy="1404331"/>
            <wp:effectExtent b="0" l="0" r="0" t="0"/>
            <wp:docPr descr="../../../../Screen%20Shot%202019-02-17%20at%2012.00.28%20AM." id="185" name="image23.png"/>
            <a:graphic>
              <a:graphicData uri="http://schemas.openxmlformats.org/drawingml/2006/picture">
                <pic:pic>
                  <pic:nvPicPr>
                    <pic:cNvPr descr="../../../../Screen%20Shot%202019-02-17%20at%2012.00.28%20AM." id="0" name="image23.png"/>
                    <pic:cNvPicPr preferRelativeResize="0"/>
                  </pic:nvPicPr>
                  <pic:blipFill>
                    <a:blip r:embed="rId27"/>
                    <a:srcRect b="0" l="0" r="0" t="0"/>
                    <a:stretch>
                      <a:fillRect/>
                    </a:stretch>
                  </pic:blipFill>
                  <pic:spPr>
                    <a:xfrm>
                      <a:off x="0" y="0"/>
                      <a:ext cx="3143791" cy="1404331"/>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t xml:space="preserve">Figure 2: Regression of Five-year GDP Growth over SOI</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b w:val="1"/>
        </w:rPr>
      </w:pPr>
      <w:r w:rsidDel="00000000" w:rsidR="00000000" w:rsidRPr="00000000">
        <w:rPr>
          <w:b w:val="1"/>
          <w:rtl w:val="0"/>
        </w:rPr>
        <w:t xml:space="preserve">5.2 SOI Examples and Implications</w:t>
      </w:r>
    </w:p>
    <w:p w:rsidR="00000000" w:rsidDel="00000000" w:rsidP="00000000" w:rsidRDefault="00000000" w:rsidRPr="00000000" w14:paraId="000001DB">
      <w:pPr>
        <w:jc w:val="both"/>
        <w:rPr/>
      </w:pPr>
      <w:r w:rsidDel="00000000" w:rsidR="00000000" w:rsidRPr="00000000">
        <w:rPr>
          <w:rtl w:val="0"/>
        </w:rPr>
        <w:t xml:space="preserve">To explain this finding in a more intuitive way, we take China and France as a comparison. As the regression in Figure 7 suggests (the orange curve represents export increase and the blue curve stands for opportunity gain of the corresponding industry), the export increases of China in various industries demonstrate a high level of correlation with the opportunity gains of those industries, having an adjusted R-square (i.e., SOI) of around 82.8%. In fact, China ranks the 1</w:t>
      </w:r>
      <w:r w:rsidDel="00000000" w:rsidR="00000000" w:rsidRPr="00000000">
        <w:rPr>
          <w:vertAlign w:val="superscript"/>
          <w:rtl w:val="0"/>
        </w:rPr>
        <w:t xml:space="preserve">st</w:t>
      </w:r>
      <w:r w:rsidDel="00000000" w:rsidR="00000000" w:rsidRPr="00000000">
        <w:rPr>
          <w:rtl w:val="0"/>
        </w:rPr>
        <w:t xml:space="preserve"> place among all countries in terms of SOI, meaning that it is developing in quite an optimal way, and also ranks the 1</w:t>
      </w:r>
      <w:r w:rsidDel="00000000" w:rsidR="00000000" w:rsidRPr="00000000">
        <w:rPr>
          <w:vertAlign w:val="superscript"/>
          <w:rtl w:val="0"/>
        </w:rPr>
        <w:t xml:space="preserve">st</w:t>
      </w:r>
      <w:r w:rsidDel="00000000" w:rsidR="00000000" w:rsidRPr="00000000">
        <w:rPr>
          <w:rtl w:val="0"/>
        </w:rPr>
        <w:t xml:space="preserve"> place in terms of its economic growth rate from 2009 to 2014, which is consistent with the regression result in Figure 6. </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drawing>
          <wp:inline distB="0" distT="0" distL="0" distR="0">
            <wp:extent cx="5724525" cy="1985010"/>
            <wp:effectExtent b="0" l="0" r="0" t="0"/>
            <wp:docPr descr="../../../../Screen%20Shot%202019-02-17%20at%201.16.35%20AM." id="165" name="image12.png"/>
            <a:graphic>
              <a:graphicData uri="http://schemas.openxmlformats.org/drawingml/2006/picture">
                <pic:pic>
                  <pic:nvPicPr>
                    <pic:cNvPr descr="../../../../Screen%20Shot%202019-02-17%20at%201.16.35%20AM." id="0" name="image12.png"/>
                    <pic:cNvPicPr preferRelativeResize="0"/>
                  </pic:nvPicPr>
                  <pic:blipFill>
                    <a:blip r:embed="rId28"/>
                    <a:srcRect b="0" l="0" r="0" t="0"/>
                    <a:stretch>
                      <a:fillRect/>
                    </a:stretch>
                  </pic:blipFill>
                  <pic:spPr>
                    <a:xfrm>
                      <a:off x="0" y="0"/>
                      <a:ext cx="5724525" cy="198501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87551</wp:posOffset>
            </wp:positionH>
            <wp:positionV relativeFrom="paragraph">
              <wp:posOffset>1437248</wp:posOffset>
            </wp:positionV>
            <wp:extent cx="682036" cy="563927"/>
            <wp:effectExtent b="0" l="0" r="0" t="0"/>
            <wp:wrapNone/>
            <wp:docPr descr="../../../../Screen%20Shot%202019-10-12%20at%201.08.10%20PM." id="163" name="image5.png"/>
            <a:graphic>
              <a:graphicData uri="http://schemas.openxmlformats.org/drawingml/2006/picture">
                <pic:pic>
                  <pic:nvPicPr>
                    <pic:cNvPr descr="../../../../Screen%20Shot%202019-10-12%20at%201.08.10%20PM." id="0" name="image5.png"/>
                    <pic:cNvPicPr preferRelativeResize="0"/>
                  </pic:nvPicPr>
                  <pic:blipFill>
                    <a:blip r:embed="rId29"/>
                    <a:srcRect b="0" l="0" r="0" t="0"/>
                    <a:stretch>
                      <a:fillRect/>
                    </a:stretch>
                  </pic:blipFill>
                  <pic:spPr>
                    <a:xfrm>
                      <a:off x="0" y="0"/>
                      <a:ext cx="682036" cy="56392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398645</wp:posOffset>
            </wp:positionH>
            <wp:positionV relativeFrom="paragraph">
              <wp:posOffset>1341120</wp:posOffset>
            </wp:positionV>
            <wp:extent cx="4950460" cy="597535"/>
            <wp:effectExtent b="0" l="0" r="0" t="0"/>
            <wp:wrapNone/>
            <wp:docPr descr="../../../../Screen%20Shot%202019-10-12%20at%201.07.01%20PM." id="177" name="image9.png"/>
            <a:graphic>
              <a:graphicData uri="http://schemas.openxmlformats.org/drawingml/2006/picture">
                <pic:pic>
                  <pic:nvPicPr>
                    <pic:cNvPr descr="../../../../Screen%20Shot%202019-10-12%20at%201.07.01%20PM." id="0" name="image9.png"/>
                    <pic:cNvPicPr preferRelativeResize="0"/>
                  </pic:nvPicPr>
                  <pic:blipFill>
                    <a:blip r:embed="rId30"/>
                    <a:srcRect b="0" l="0" r="0" t="0"/>
                    <a:stretch>
                      <a:fillRect/>
                    </a:stretch>
                  </pic:blipFill>
                  <pic:spPr>
                    <a:xfrm>
                      <a:off x="0" y="0"/>
                      <a:ext cx="4950460" cy="597535"/>
                    </a:xfrm>
                    <a:prstGeom prst="rect"/>
                    <a:ln/>
                  </pic:spPr>
                </pic:pic>
              </a:graphicData>
            </a:graphic>
          </wp:anchor>
        </w:drawing>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rtl w:val="0"/>
        </w:rPr>
        <w:t xml:space="preserve">Figure 3: SOI of China (2009-2014)</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t xml:space="preserve">The situation in China is in direct contrast to that in developed economies such as France, where there is a moderate SOI of around 14.2% and a corresponding annual growth rate of merely 1.1%, ranking it a slow-developing economy during the period. In sum, France’s stagnant economic progress from 2009 to 2014 can be at least partially explained by a mismatched development strategy that demonstrates a considerable level of deviations from the suggested developmental path as calculated through opportunity gains. In specific, Figure 8 shows that France invested/exported heavily in the transportation industry, while it should have focused more on industry groups such as Services and Utilities, and Machinery and Construction, which actually have higher opportunity gains based on calculations.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jc w:val="center"/>
        <w:rPr>
          <w:b w:val="1"/>
        </w:rPr>
      </w:pPr>
      <w:r w:rsidDel="00000000" w:rsidR="00000000" w:rsidRPr="00000000">
        <w:rPr/>
        <w:drawing>
          <wp:inline distB="0" distT="0" distL="0" distR="0">
            <wp:extent cx="5724525" cy="1977390"/>
            <wp:effectExtent b="0" l="0" r="0" t="0"/>
            <wp:docPr descr="../../../../Screen%20Shot%202019-02-17%20at%201.20.04%20AM." id="166" name="image14.png"/>
            <a:graphic>
              <a:graphicData uri="http://schemas.openxmlformats.org/drawingml/2006/picture">
                <pic:pic>
                  <pic:nvPicPr>
                    <pic:cNvPr descr="../../../../Screen%20Shot%202019-02-17%20at%201.20.04%20AM." id="0" name="image14.png"/>
                    <pic:cNvPicPr preferRelativeResize="0"/>
                  </pic:nvPicPr>
                  <pic:blipFill>
                    <a:blip r:embed="rId31"/>
                    <a:srcRect b="0" l="0" r="0" t="0"/>
                    <a:stretch>
                      <a:fillRect/>
                    </a:stretch>
                  </pic:blipFill>
                  <pic:spPr>
                    <a:xfrm>
                      <a:off x="0" y="0"/>
                      <a:ext cx="5724525" cy="197739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89536</wp:posOffset>
            </wp:positionH>
            <wp:positionV relativeFrom="paragraph">
              <wp:posOffset>1417550</wp:posOffset>
            </wp:positionV>
            <wp:extent cx="612565" cy="506487"/>
            <wp:effectExtent b="0" l="0" r="0" t="0"/>
            <wp:wrapNone/>
            <wp:docPr descr="../../../../Screen%20Shot%202019-10-12%20at%201.08.10%20PM." id="164" name="image5.png"/>
            <a:graphic>
              <a:graphicData uri="http://schemas.openxmlformats.org/drawingml/2006/picture">
                <pic:pic>
                  <pic:nvPicPr>
                    <pic:cNvPr descr="../../../../Screen%20Shot%202019-10-12%20at%201.08.10%20PM." id="0" name="image5.png"/>
                    <pic:cNvPicPr preferRelativeResize="0"/>
                  </pic:nvPicPr>
                  <pic:blipFill>
                    <a:blip r:embed="rId29"/>
                    <a:srcRect b="0" l="0" r="0" t="0"/>
                    <a:stretch>
                      <a:fillRect/>
                    </a:stretch>
                  </pic:blipFill>
                  <pic:spPr>
                    <a:xfrm>
                      <a:off x="0" y="0"/>
                      <a:ext cx="612565" cy="50648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241935</wp:posOffset>
            </wp:positionH>
            <wp:positionV relativeFrom="paragraph">
              <wp:posOffset>1370266</wp:posOffset>
            </wp:positionV>
            <wp:extent cx="5348345" cy="616529"/>
            <wp:effectExtent b="0" l="0" r="0" t="0"/>
            <wp:wrapNone/>
            <wp:docPr descr="../../../../Screen%20Shot%202019-10-12%20at%201.07.01%20PM." id="162" name="image9.png"/>
            <a:graphic>
              <a:graphicData uri="http://schemas.openxmlformats.org/drawingml/2006/picture">
                <pic:pic>
                  <pic:nvPicPr>
                    <pic:cNvPr descr="../../../../Screen%20Shot%202019-10-12%20at%201.07.01%20PM." id="0" name="image9.png"/>
                    <pic:cNvPicPr preferRelativeResize="0"/>
                  </pic:nvPicPr>
                  <pic:blipFill>
                    <a:blip r:embed="rId30"/>
                    <a:srcRect b="0" l="0" r="0" t="0"/>
                    <a:stretch>
                      <a:fillRect/>
                    </a:stretch>
                  </pic:blipFill>
                  <pic:spPr>
                    <a:xfrm>
                      <a:off x="0" y="0"/>
                      <a:ext cx="5348345" cy="616529"/>
                    </a:xfrm>
                    <a:prstGeom prst="rect"/>
                    <a:ln/>
                  </pic:spPr>
                </pic:pic>
              </a:graphicData>
            </a:graphic>
          </wp:anchor>
        </w:drawing>
      </w:r>
    </w:p>
    <w:p w:rsidR="00000000" w:rsidDel="00000000" w:rsidP="00000000" w:rsidRDefault="00000000" w:rsidRPr="00000000" w14:paraId="000001E4">
      <w:pPr>
        <w:jc w:val="center"/>
        <w:rPr/>
      </w:pPr>
      <w:r w:rsidDel="00000000" w:rsidR="00000000" w:rsidRPr="00000000">
        <w:rPr>
          <w:rtl w:val="0"/>
        </w:rPr>
      </w:r>
    </w:p>
    <w:p w:rsidR="00000000" w:rsidDel="00000000" w:rsidP="00000000" w:rsidRDefault="00000000" w:rsidRPr="00000000" w14:paraId="000001E5">
      <w:pPr>
        <w:jc w:val="center"/>
        <w:rPr/>
      </w:pPr>
      <w:r w:rsidDel="00000000" w:rsidR="00000000" w:rsidRPr="00000000">
        <w:rPr>
          <w:rtl w:val="0"/>
        </w:rPr>
        <w:t xml:space="preserve">Figure 4: SOI of France (2009-2014)</w:t>
      </w:r>
    </w:p>
    <w:p w:rsidR="00000000" w:rsidDel="00000000" w:rsidP="00000000" w:rsidRDefault="00000000" w:rsidRPr="00000000" w14:paraId="000001E6">
      <w:pPr>
        <w:jc w:val="both"/>
        <w:rPr>
          <w:b w:val="1"/>
        </w:rPr>
      </w:pPr>
      <w:r w:rsidDel="00000000" w:rsidR="00000000" w:rsidRPr="00000000">
        <w:rPr>
          <w:rtl w:val="0"/>
        </w:rPr>
      </w:r>
    </w:p>
    <w:p w:rsidR="00000000" w:rsidDel="00000000" w:rsidP="00000000" w:rsidRDefault="00000000" w:rsidRPr="00000000" w14:paraId="000001E7">
      <w:pPr>
        <w:jc w:val="both"/>
        <w:rPr>
          <w:b w:val="1"/>
        </w:rPr>
      </w:pPr>
      <w:r w:rsidDel="00000000" w:rsidR="00000000" w:rsidRPr="00000000">
        <w:rPr>
          <w:rtl w:val="0"/>
        </w:rPr>
        <w:t xml:space="preserve">The contrast of situations in China and France offers a glimpse of the relationship summarized in the regression in Figure 6, and shows that the economic outcome of countries is positively associated with their structural optimality. In particular, countries such as China tend to have better growth, as measured by GDP, when they follow industry prioritization strategies closely based on opportunity gains, and the reverse is true for countries such as France. While a strict causality is hard to be established in this case because it is hard to control variables in such natural experiments, the correlated phenomenon is widely observed across different time spans of our interest. This implies that the calculations and further research on a complexity level are of importance and great values to countries, and may offer a guide for them to properly access and prioritize certain industries in face of practical constraints such as time and budget.</w:t>
      </w:r>
      <w:r w:rsidDel="00000000" w:rsidR="00000000" w:rsidRPr="00000000">
        <w:rPr>
          <w:rtl w:val="0"/>
        </w:rPr>
      </w:r>
    </w:p>
    <w:p w:rsidR="00000000" w:rsidDel="00000000" w:rsidP="00000000" w:rsidRDefault="00000000" w:rsidRPr="00000000" w14:paraId="000001E8">
      <w:pPr>
        <w:jc w:val="both"/>
        <w:rPr>
          <w:b w:val="1"/>
        </w:rPr>
      </w:pPr>
      <w:r w:rsidDel="00000000" w:rsidR="00000000" w:rsidRPr="00000000">
        <w:rPr>
          <w:rtl w:val="0"/>
        </w:rPr>
      </w:r>
    </w:p>
    <w:p w:rsidR="00000000" w:rsidDel="00000000" w:rsidP="00000000" w:rsidRDefault="00000000" w:rsidRPr="00000000" w14:paraId="000001E9">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6. Concluding Remarks</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t xml:space="preserve">In conclusion, we follow the footsteps on previous works related to Economic Complexity Index and put in more analyses on the product space for each country into the general framework. In particular, we categorized the highly specific global export data available on UN Comtrade to 18 manageable and intuitive industry categories. Extending the definitions of product complexity index to product families, we calculate distance between countries and product families in accordingly and observe how countries have positioned themselves in their product space during the time span of our interest.</w:t>
      </w:r>
    </w:p>
    <w:p w:rsidR="00000000" w:rsidDel="00000000" w:rsidP="00000000" w:rsidRDefault="00000000" w:rsidRPr="00000000" w14:paraId="000001EC">
      <w:pPr>
        <w:jc w:val="both"/>
        <w:rPr/>
      </w:pPr>
      <w:r w:rsidDel="00000000" w:rsidR="00000000" w:rsidRPr="00000000">
        <w:rPr>
          <w:rtl w:val="0"/>
        </w:rPr>
        <w:t xml:space="preserve"> </w:t>
      </w:r>
    </w:p>
    <w:p w:rsidR="00000000" w:rsidDel="00000000" w:rsidP="00000000" w:rsidRDefault="00000000" w:rsidRPr="00000000" w14:paraId="000001ED">
      <w:pPr>
        <w:jc w:val="both"/>
        <w:rPr/>
      </w:pPr>
      <w:r w:rsidDel="00000000" w:rsidR="00000000" w:rsidRPr="00000000">
        <w:rPr>
          <w:rtl w:val="0"/>
        </w:rPr>
        <w:t xml:space="preserve">We then dive into the question of how countries should develop given their current position in the product space and solve for strategies for countries on an individual basis. We propose an optimal sequential industry development strategy for developing economies to prioritize certain industries in their expansion of their product space. We also put forward sensitivity analysis and contingency plan to prepare developed and fast developing countries for upheavals in their product space, especially solutions to deal with a possible collapse of their cornerstone industries. More detailed analyses of fifteen selected economies can be found in the appendix of this report, and they largely represent how countries of each kind should develop in this ever-changing global market.</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t xml:space="preserve">In particular, we come up with the structural optimality index to quantitatively measure and compare the strategies adopted by countries against the suggested developmental path. Regression shows a strong positive correlation between countries’ structural optimality and their economic outcomes, measured by GDP growth. This suggests that countries’ product spaces, as well as decisions to be made on the product space, are of great research values to economies and more works remain to be done in order to obtain a deeper understanding of how countries interact on the global production network.</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p w:rsidR="00000000" w:rsidDel="00000000" w:rsidP="00000000" w:rsidRDefault="00000000" w:rsidRPr="00000000" w14:paraId="000001F2">
      <w:pPr>
        <w:jc w:val="both"/>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1F3">
      <w:pPr>
        <w:jc w:val="both"/>
        <w:rPr>
          <w:b w:val="1"/>
          <w:sz w:val="28"/>
          <w:szCs w:val="28"/>
        </w:rPr>
      </w:pPr>
      <w:r w:rsidDel="00000000" w:rsidR="00000000" w:rsidRPr="00000000">
        <w:rPr>
          <w:rtl w:val="0"/>
        </w:rPr>
      </w:r>
    </w:p>
    <w:p w:rsidR="00000000" w:rsidDel="00000000" w:rsidP="00000000" w:rsidRDefault="00000000" w:rsidRPr="00000000" w14:paraId="000001F4">
      <w:pPr>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F5">
      <w:pPr>
        <w:jc w:val="both"/>
        <w:rPr>
          <w:color w:val="000000"/>
          <w:highlight w:val="white"/>
        </w:rPr>
      </w:pPr>
      <w:r w:rsidDel="00000000" w:rsidR="00000000" w:rsidRPr="00000000">
        <w:rPr>
          <w:rtl w:val="0"/>
        </w:rPr>
      </w:r>
    </w:p>
    <w:p w:rsidR="00000000" w:rsidDel="00000000" w:rsidP="00000000" w:rsidRDefault="00000000" w:rsidRPr="00000000" w14:paraId="000001F6">
      <w:pPr>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color w:val="000000"/>
          <w:highlight w:val="white"/>
          <w:rtl w:val="0"/>
        </w:rPr>
        <w:t xml:space="preserve">Journal of Political Economy </w:t>
      </w:r>
      <w:r w:rsidDel="00000000" w:rsidR="00000000" w:rsidRPr="00000000">
        <w:rPr>
          <w:b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F7">
      <w:pPr>
        <w:jc w:val="both"/>
        <w:rPr>
          <w:color w:val="000000"/>
          <w:highlight w:val="white"/>
        </w:rPr>
      </w:pPr>
      <w:r w:rsidDel="00000000" w:rsidR="00000000" w:rsidRPr="00000000">
        <w:rPr>
          <w:rtl w:val="0"/>
        </w:rPr>
      </w:r>
    </w:p>
    <w:p w:rsidR="00000000" w:rsidDel="00000000" w:rsidP="00000000" w:rsidRDefault="00000000" w:rsidRPr="00000000" w14:paraId="000001F8">
      <w:pPr>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F9">
      <w:pPr>
        <w:jc w:val="both"/>
        <w:rPr>
          <w:color w:val="000000"/>
          <w:highlight w:val="white"/>
        </w:rPr>
      </w:pPr>
      <w:r w:rsidDel="00000000" w:rsidR="00000000" w:rsidRPr="00000000">
        <w:rPr>
          <w:rtl w:val="0"/>
        </w:rPr>
      </w:r>
    </w:p>
    <w:p w:rsidR="00000000" w:rsidDel="00000000" w:rsidP="00000000" w:rsidRDefault="00000000" w:rsidRPr="00000000" w14:paraId="000001FA">
      <w:pPr>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FB">
      <w:pPr>
        <w:jc w:val="both"/>
        <w:rPr>
          <w:color w:val="000000"/>
          <w:highlight w:val="white"/>
        </w:rPr>
      </w:pPr>
      <w:r w:rsidDel="00000000" w:rsidR="00000000" w:rsidRPr="00000000">
        <w:rPr>
          <w:rtl w:val="0"/>
        </w:rPr>
      </w:r>
    </w:p>
    <w:p w:rsidR="00000000" w:rsidDel="00000000" w:rsidP="00000000" w:rsidRDefault="00000000" w:rsidRPr="00000000" w14:paraId="000001FC">
      <w:pPr>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FD">
      <w:pPr>
        <w:jc w:val="both"/>
        <w:rPr>
          <w:color w:val="000000"/>
          <w:highlight w:val="white"/>
        </w:rPr>
      </w:pPr>
      <w:r w:rsidDel="00000000" w:rsidR="00000000" w:rsidRPr="00000000">
        <w:rPr>
          <w:rtl w:val="0"/>
        </w:rPr>
      </w:r>
    </w:p>
    <w:p w:rsidR="00000000" w:rsidDel="00000000" w:rsidP="00000000" w:rsidRDefault="00000000" w:rsidRPr="00000000" w14:paraId="000001FE">
      <w:pPr>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F">
      <w:pPr>
        <w:jc w:val="both"/>
        <w:rPr>
          <w:color w:val="000000"/>
          <w:highlight w:val="white"/>
        </w:rPr>
      </w:pPr>
      <w:r w:rsidDel="00000000" w:rsidR="00000000" w:rsidRPr="00000000">
        <w:rPr>
          <w:rtl w:val="0"/>
        </w:rPr>
      </w:r>
    </w:p>
    <w:p w:rsidR="00000000" w:rsidDel="00000000" w:rsidP="00000000" w:rsidRDefault="00000000" w:rsidRPr="00000000" w14:paraId="00000200">
      <w:pPr>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01">
      <w:pPr>
        <w:jc w:val="both"/>
        <w:rPr>
          <w:color w:val="000000"/>
          <w:highlight w:val="white"/>
        </w:rPr>
      </w:pPr>
      <w:r w:rsidDel="00000000" w:rsidR="00000000" w:rsidRPr="00000000">
        <w:rPr>
          <w:rtl w:val="0"/>
        </w:rPr>
      </w:r>
    </w:p>
    <w:p w:rsidR="00000000" w:rsidDel="00000000" w:rsidP="00000000" w:rsidRDefault="00000000" w:rsidRPr="00000000" w14:paraId="00000202">
      <w:pPr>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03">
      <w:pPr>
        <w:jc w:val="both"/>
        <w:rPr>
          <w:color w:val="000000"/>
          <w:highlight w:val="white"/>
        </w:rPr>
      </w:pPr>
      <w:r w:rsidDel="00000000" w:rsidR="00000000" w:rsidRPr="00000000">
        <w:rPr>
          <w:rtl w:val="0"/>
        </w:rPr>
      </w:r>
    </w:p>
    <w:p w:rsidR="00000000" w:rsidDel="00000000" w:rsidP="00000000" w:rsidRDefault="00000000" w:rsidRPr="00000000" w14:paraId="00000204">
      <w:pPr>
        <w:jc w:val="both"/>
        <w:rPr>
          <w:b w:val="1"/>
          <w:sz w:val="28"/>
          <w:szCs w:val="28"/>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r>
    </w:p>
    <w:sectPr>
      <w:headerReference r:id="rId32" w:type="default"/>
      <w:footerReference r:id="rId33" w:type="default"/>
      <w:footerReference r:id="rId34" w:type="even"/>
      <w:pgSz w:h="16840" w:w="11900"/>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eciliaLTStd-Light"/>
  <w:font w:name="Time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9020.0" w:type="dxa"/>
      <w:jc w:val="center"/>
      <w:tblLayout w:type="fixed"/>
      <w:tblLook w:val="0400"/>
    </w:tblPr>
    <w:tblGrid>
      <w:gridCol w:w="4514"/>
      <w:gridCol w:w="4506"/>
      <w:tblGridChange w:id="0">
        <w:tblGrid>
          <w:gridCol w:w="4514"/>
          <w:gridCol w:w="4506"/>
        </w:tblGrid>
      </w:tblGridChange>
    </w:tblGrid>
    <w:tr>
      <w:trPr>
        <w:trHeight w:val="115" w:hRule="atLeast"/>
      </w:trPr>
      <w:tc>
        <w:tcPr>
          <w:shd w:fill="4472c4" w:val="clear"/>
          <w:tcMar>
            <w:top w:w="0.0" w:type="dxa"/>
            <w:bottom w:w="0.0" w:type="dxa"/>
          </w:tcM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1"/>
              <w:strike w:val="0"/>
              <w:color w:val="000000"/>
              <w:sz w:val="18"/>
              <w:szCs w:val="18"/>
              <w:u w:val="none"/>
              <w:shd w:fill="auto" w:val="clear"/>
              <w:vertAlign w:val="baseline"/>
            </w:rPr>
          </w:pPr>
          <w:r w:rsidDel="00000000" w:rsidR="00000000" w:rsidRPr="00000000">
            <w:rPr>
              <w:rtl w:val="0"/>
            </w:rPr>
          </w:r>
        </w:p>
      </w:tc>
      <w:tc>
        <w:tcPr>
          <w:shd w:fill="4472c4" w:val="clear"/>
          <w:tcMar>
            <w:top w:w="0.0" w:type="dxa"/>
            <w:bottom w:w="0.0" w:type="dxa"/>
          </w:tcM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1"/>
              <w:strike w:val="0"/>
              <w:color w:val="000000"/>
              <w:sz w:val="18"/>
              <w:szCs w:val="18"/>
              <w:u w:val="none"/>
              <w:shd w:fill="auto" w:val="clear"/>
              <w:vertAlign w:val="baseline"/>
            </w:rPr>
          </w:pPr>
          <w:r w:rsidDel="00000000" w:rsidR="00000000" w:rsidRPr="00000000">
            <w:rPr>
              <w:rtl w:val="0"/>
            </w:rPr>
          </w:r>
        </w:p>
      </w:tc>
    </w:tr>
    <w:tr>
      <w:tc>
        <w:tcPr>
          <w:shd w:fill="auto" w:val="clea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1"/>
              <w:strike w:val="0"/>
              <w:color w:val="80808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Times New Roman" w:cs="Times New Roman" w:eastAsia="Times New Roman" w:hAnsi="Times New Roman"/>
              <w:b w:val="0"/>
              <w:i w:val="0"/>
              <w:smallCaps w:val="1"/>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2.%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3.%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4.%1"/>
      <w:lvlJc w:val="right"/>
      <w:pPr>
        <w:ind w:left="1440" w:hanging="36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5.%1"/>
      <w:lvlJc w:val="right"/>
      <w:pPr>
        <w:ind w:left="1440" w:hanging="360"/>
      </w:pPr>
      <w:rPr>
        <w:b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195F8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230D5"/>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230D5"/>
    <w:rPr>
      <w:rFonts w:asciiTheme="majorHAnsi" w:cstheme="majorBidi" w:eastAsiaTheme="majorEastAsia" w:hAnsiTheme="majorHAnsi"/>
      <w:spacing w:val="-10"/>
      <w:kern w:val="28"/>
      <w:sz w:val="56"/>
      <w:szCs w:val="56"/>
    </w:rPr>
  </w:style>
  <w:style w:type="character" w:styleId="Strong">
    <w:name w:val="Strong"/>
    <w:basedOn w:val="DefaultParagraphFont"/>
    <w:uiPriority w:val="22"/>
    <w:qFormat w:val="1"/>
    <w:rsid w:val="004230D5"/>
    <w:rPr>
      <w:b w:val="1"/>
      <w:bCs w:val="1"/>
    </w:rPr>
  </w:style>
  <w:style w:type="paragraph" w:styleId="Header">
    <w:name w:val="header"/>
    <w:basedOn w:val="Normal"/>
    <w:link w:val="HeaderChar"/>
    <w:uiPriority w:val="99"/>
    <w:unhideWhenUsed w:val="1"/>
    <w:rsid w:val="00AE4DE4"/>
    <w:pPr>
      <w:tabs>
        <w:tab w:val="center" w:pos="4680"/>
        <w:tab w:val="right" w:pos="9360"/>
      </w:tabs>
    </w:pPr>
    <w:rPr>
      <w:rFonts w:asciiTheme="minorHAnsi" w:cstheme="minorBidi" w:hAnsiTheme="minorHAnsi"/>
    </w:rPr>
  </w:style>
  <w:style w:type="character" w:styleId="HeaderChar" w:customStyle="1">
    <w:name w:val="Header Char"/>
    <w:basedOn w:val="DefaultParagraphFont"/>
    <w:link w:val="Header"/>
    <w:uiPriority w:val="99"/>
    <w:rsid w:val="00AE4DE4"/>
  </w:style>
  <w:style w:type="paragraph" w:styleId="Footer">
    <w:name w:val="footer"/>
    <w:basedOn w:val="Normal"/>
    <w:link w:val="FooterChar"/>
    <w:uiPriority w:val="99"/>
    <w:unhideWhenUsed w:val="1"/>
    <w:rsid w:val="00AE4DE4"/>
    <w:pPr>
      <w:tabs>
        <w:tab w:val="center" w:pos="4680"/>
        <w:tab w:val="right" w:pos="9360"/>
      </w:tabs>
    </w:pPr>
    <w:rPr>
      <w:rFonts w:asciiTheme="minorHAnsi" w:cstheme="minorBidi" w:hAnsiTheme="minorHAnsi"/>
    </w:rPr>
  </w:style>
  <w:style w:type="character" w:styleId="FooterChar" w:customStyle="1">
    <w:name w:val="Footer Char"/>
    <w:basedOn w:val="DefaultParagraphFont"/>
    <w:link w:val="Footer"/>
    <w:uiPriority w:val="99"/>
    <w:rsid w:val="00AE4DE4"/>
  </w:style>
  <w:style w:type="character" w:styleId="PageNumber">
    <w:name w:val="page number"/>
    <w:basedOn w:val="DefaultParagraphFont"/>
    <w:uiPriority w:val="99"/>
    <w:semiHidden w:val="1"/>
    <w:unhideWhenUsed w:val="1"/>
    <w:rsid w:val="00AE4DE4"/>
  </w:style>
  <w:style w:type="paragraph" w:styleId="NoSpacing">
    <w:name w:val="No Spacing"/>
    <w:link w:val="NoSpacingChar"/>
    <w:uiPriority w:val="1"/>
    <w:qFormat w:val="1"/>
    <w:rsid w:val="00AE4DE4"/>
    <w:rPr>
      <w:sz w:val="22"/>
      <w:szCs w:val="22"/>
    </w:rPr>
  </w:style>
  <w:style w:type="character" w:styleId="NoSpacingChar" w:customStyle="1">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2">
    <w:name w:val="Grid Table 2"/>
    <w:basedOn w:val="TableNormal"/>
    <w:uiPriority w:val="47"/>
    <w:rsid w:val="00626B7B"/>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3-Accent3">
    <w:name w:val="List Table 3 Accent 3"/>
    <w:basedOn w:val="TableNormal"/>
    <w:uiPriority w:val="48"/>
    <w:rsid w:val="00626B7B"/>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val="1"/>
        <w:bCs w:val="1"/>
        <w:color w:val="ffffff" w:themeColor="background1"/>
      </w:rPr>
      <w:tblPr/>
      <w:tcPr>
        <w:shd w:color="auto" w:fill="a5a5a5" w:themeFill="accent3" w:val="clear"/>
      </w:tcPr>
    </w:tblStylePr>
    <w:tblStylePr w:type="lastRow">
      <w:rPr>
        <w:b w:val="1"/>
        <w:bCs w:val="1"/>
      </w:rPr>
      <w:tblPr/>
      <w:tcPr>
        <w:tcBorders>
          <w:top w:color="a5a5a5"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themeColor="accent3" w:val="double"/>
          <w:left w:space="0" w:sz="0" w:val="nil"/>
        </w:tcBorders>
      </w:tcPr>
    </w:tblStylePr>
    <w:tblStylePr w:type="swCell">
      <w:tblPr/>
      <w:tcPr>
        <w:tcBorders>
          <w:top w:color="a5a5a5" w:space="0" w:sz="4" w:themeColor="accent3" w:val="double"/>
          <w:right w:space="0" w:sz="0"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626B7B"/>
    <w:rPr>
      <w:color w:val="7b7b7b" w:themeColor="accent3"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
    <w:name w:val="List Table 2"/>
    <w:basedOn w:val="TableNormal"/>
    <w:uiPriority w:val="47"/>
    <w:rsid w:val="00626B7B"/>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3">
    <w:name w:val="Grid Table 4 Accent 3"/>
    <w:basedOn w:val="TableNormal"/>
    <w:uiPriority w:val="49"/>
    <w:rsid w:val="00626B7B"/>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ListTable1Light">
    <w:name w:val="List Table 1 Light"/>
    <w:basedOn w:val="TableNormal"/>
    <w:uiPriority w:val="46"/>
    <w:rsid w:val="008C3A5B"/>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BalloonText">
    <w:name w:val="Balloon Text"/>
    <w:basedOn w:val="Normal"/>
    <w:link w:val="BalloonTextChar"/>
    <w:uiPriority w:val="99"/>
    <w:semiHidden w:val="1"/>
    <w:unhideWhenUsed w:val="1"/>
    <w:rsid w:val="00702679"/>
    <w:rPr>
      <w:sz w:val="18"/>
      <w:szCs w:val="18"/>
    </w:rPr>
  </w:style>
  <w:style w:type="character" w:styleId="BalloonTextChar" w:customStyle="1">
    <w:name w:val="Balloon Text Char"/>
    <w:basedOn w:val="DefaultParagraphFont"/>
    <w:link w:val="BalloonText"/>
    <w:uiPriority w:val="99"/>
    <w:semiHidden w:val="1"/>
    <w:rsid w:val="00702679"/>
    <w:rPr>
      <w:rFonts w:ascii="Times New Roman" w:cs="Times New Roman" w:hAnsi="Times New Roman"/>
      <w:sz w:val="18"/>
      <w:szCs w:val="18"/>
    </w:rPr>
  </w:style>
  <w:style w:type="paragraph" w:styleId="ListParagraph">
    <w:name w:val="List Paragraph"/>
    <w:basedOn w:val="Normal"/>
    <w:uiPriority w:val="34"/>
    <w:qFormat w:val="1"/>
    <w:rsid w:val="000D7E77"/>
    <w:pPr>
      <w:ind w:left="720"/>
      <w:contextualSpacing w:val="1"/>
    </w:pPr>
  </w:style>
  <w:style w:type="character" w:styleId="Hyperlink">
    <w:name w:val="Hyperlink"/>
    <w:basedOn w:val="DefaultParagraphFont"/>
    <w:uiPriority w:val="99"/>
    <w:unhideWhenUsed w:val="1"/>
    <w:rsid w:val="0030130E"/>
    <w:rPr>
      <w:color w:val="0563c1" w:themeColor="hyperlink"/>
      <w:u w:val="single"/>
    </w:rPr>
  </w:style>
  <w:style w:type="paragraph" w:styleId="NormalWeb">
    <w:name w:val="Normal (Web)"/>
    <w:basedOn w:val="Normal"/>
    <w:uiPriority w:val="99"/>
    <w:semiHidden w:val="1"/>
    <w:unhideWhenUsed w:val="1"/>
    <w:rsid w:val="00853810"/>
    <w:pPr>
      <w:spacing w:after="100" w:afterAutospacing="1" w:before="100" w:beforeAutospacing="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7">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0.png"/><Relationship Id="rId24" Type="http://schemas.openxmlformats.org/officeDocument/2006/relationships/image" Target="media/image2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1.png"/><Relationship Id="rId28" Type="http://schemas.openxmlformats.org/officeDocument/2006/relationships/image" Target="media/image1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8.png"/><Relationship Id="rId8" Type="http://schemas.openxmlformats.org/officeDocument/2006/relationships/image" Target="media/image16.png"/><Relationship Id="rId31" Type="http://schemas.openxmlformats.org/officeDocument/2006/relationships/image" Target="media/image14.png"/><Relationship Id="rId30" Type="http://schemas.openxmlformats.org/officeDocument/2006/relationships/image" Target="media/image9.png"/><Relationship Id="rId11" Type="http://schemas.openxmlformats.org/officeDocument/2006/relationships/image" Target="media/image2.png"/><Relationship Id="rId33" Type="http://schemas.openxmlformats.org/officeDocument/2006/relationships/footer" Target="footer2.xml"/><Relationship Id="rId10" Type="http://schemas.openxmlformats.org/officeDocument/2006/relationships/image" Target="media/image15.png"/><Relationship Id="rId32" Type="http://schemas.openxmlformats.org/officeDocument/2006/relationships/header" Target="header1.xml"/><Relationship Id="rId13" Type="http://schemas.openxmlformats.org/officeDocument/2006/relationships/image" Target="media/image17.png"/><Relationship Id="rId12" Type="http://schemas.openxmlformats.org/officeDocument/2006/relationships/image" Target="media/image11.png"/><Relationship Id="rId34"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Z0V2fnydB7/bemKhpcSuW/ftsw==">AMUW2mVvR7b7MLh7hDnlQnOPn5r+miocHA1Z8wF3QGbdUg/ekXkE8o7AM4uNdatxJr9uB3UaYoYT2ZBDDT2aMvPklQPQ8xVo7dEpgoSSXe/frAJFg29ezmojSlwhvDBNocBQ1sRUFiUC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2018-07-17T02:58:00Z</dcterms:created>
  <dc:creator>Heyang Huang, Soulaymane Kachani, Lun Li, Jiayu Zhao</dc:creator>
</cp:coreProperties>
</file>