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20"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1" name="image15.png"/>
            <a:graphic>
              <a:graphicData uri="http://schemas.openxmlformats.org/drawingml/2006/picture">
                <pic:pic>
                  <pic:nvPicPr>
                    <pic:cNvPr id="0" name="image1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Greece</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36"/>
          <w:szCs w:val="36"/>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Greece</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Greece went through during the period from 2013 to 2018. Specifically, we dive into the topic through a macroeconomic overview of Greece from the perspective of Gross Domestic Product (GDP) and Economic Complexity Index (ECI), which reflect countries’ production capability and production structure, respectively. We find that during the period of our interest, Greece demonstrated a low level of economic growth with an annual GDP growth rate of -1.7%, concurrent with a decrease in economic complexity as compared with other major economies in Europe.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Greece on the industry group level. The product classification system we adopt allows us to measure the realized industry development for various industry groups and to observe that Greece invested heavily in developing </w:t>
        <w:tab/>
        <w:t xml:space="preserve">Chemical Manufacturing, Precious Stones and Metals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Greece can further its gains by prioritizing Chemicals, Services and Utilities. We further note that Greece has a slightly mismatched development strategy that indicates a moderate level of structural optimality on the complexity level, having an adjusted R-square of around -1.3%. Since a significant positive correlation exists between five-year GDP growth and the structural optimality index of an economy as we define and calculate, Greece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50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Greece has a GDP of 239 billion USD in 2013 and 218 billion USD in 2018, exhibiting a slightly decreasing level of economic output. Figure 1 illustrates the time-series GDP results for world’s leading European economies from 1999-2018, and Greece ranks among its counterparts as a stable player. During the period from 2013 to 2018, Greece exhibited an average annual GDP growth rate -1.7%. This rate is clearly below the annual growth rate of the group of major european economies in the world, which have a geometric average growth rate of 0.6% and an arithmetic average growth rate of 0.9%. The stagnated economic growth in Greece, we believe, can be reflected through consistent ECI and PCI, and can be further explained by a suboptimal set of production strategies Greece adopted during the period,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06800"/>
            <wp:effectExtent b="12700" l="12700" r="12700" t="1270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60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European Economies</w:t>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Greece. As illustrated in Figure 2 below, Greece exhibits a stably low level in terms of its production capability from 2013 to 2018. This is in direct contrast to countries such as France, which demonstrates overwhelming advantage over Greece in terms of both ECI and GDP growth during the period.</w:t>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841" cy="1833563"/>
            <wp:effectExtent b="12700" l="12700" r="12700" t="1270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038841" cy="183356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79295" cy="1833563"/>
            <wp:effectExtent b="12700" l="12700" r="12700" t="12700"/>
            <wp:docPr id="1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779295" cy="1833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(Greece)</w:t>
      </w:r>
    </w:p>
    <w:p w:rsidR="00000000" w:rsidDel="00000000" w:rsidP="00000000" w:rsidRDefault="00000000" w:rsidRPr="00000000" w14:paraId="00000025">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time span from 2013 to 2018 for Greece. The stagnancy in GDP during the period from 2013 to 2015 is accompanied by a stagnancy in ECI, indicating the potential that the mild economic growth experienced by Greece during this period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Greece’s production structure and its product space designs in the next few chapters. </w:t>
      </w:r>
    </w:p>
    <w:p w:rsidR="00000000" w:rsidDel="00000000" w:rsidP="00000000" w:rsidRDefault="00000000" w:rsidRPr="00000000" w14:paraId="0000002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F">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B">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Greece’s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Greece and the 18 product groups in 2013 and 2018 through subtraction, where a positive RID indicates a shortening of the distance (i.e., advancement of the industry), and a negative RID indicates the reverse. As ranked in Table 2, during the period from 2013 to 2018, Greece has focused on products with a moderate level of complexity and those requiring intermediate skills. </w:t>
      </w:r>
    </w:p>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8275" cy="2505075"/>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482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Greece</w:t>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Greece compares with leading economies and a selected group of emerging economies in the world, as measured in RID. It can be directly observed that Greece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Greece’s development strategy against those of emerging economies on a global scale. Reasonably, emerging economies such as China, South Korea, Singapore and India have devoted the majority of their efforts into intermediate industry groups while developed economies such as Greece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Greece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6900" cy="2828925"/>
            <wp:effectExtent b="0" l="0" r="0" t="0"/>
            <wp:docPr id="14"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56769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3048000"/>
            <wp:effectExtent b="0" l="0" r="0" t="0"/>
            <wp:docPr id="1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6292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Comparable Scale for 2013(up) and 2018(down)</w:t>
      </w:r>
    </w:p>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Greece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Greece shares the characters of developing countries, with a balanced economics structure that leans towards intermediate-level industries. </w:t>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57400"/>
            <wp:effectExtent b="0" l="0" r="0" t="0"/>
            <wp:docPr id="22"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13"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Greece in 2013. We can see that for different percentages of heuristic total export growth, the ECI of Greece has different performance. From all the four line graphs, we see that Greece already obtains some great increment in terms of ECI. Most importantly, the higher the budget is, the greater the ECI will be. This means that in both short term and long term, Greece still has great room to improve. For the case of 5 percent growth, the ECI has already increased so much, which means it is relatively easy for Greece to develop a higher economic complexity. For both 5 and 10 percent growth, the ECI increases is mainly because of services industry, chemicals, and clothing products. For 15 and 20 percent, extra ECI increments are caused by introduction of machinery and construction.</w:t>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3588" cy="2095500"/>
            <wp:effectExtent b="0" l="0" r="0" t="0"/>
            <wp:docPr id="1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843588"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7388" cy="1609725"/>
            <wp:effectExtent b="0" l="0" r="0" t="0"/>
            <wp:docPr id="24"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767388"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Greece’s development in the future. We also offer the optimization result of Greece based on export data in 2018. Below is the economic panel for Greece in 2018. We can see that for different percentages of heuristic total export growth, the ECI growth pattern of Greece is similar from the one in 2013. From all the four line graphs, we see that Greece already obtains some great increment in terms of ECI. Most importantly, the higher the budget is, the greater the ECI will be. This means that in both short term and long term, Greece still has great room to improve. For the case of 5 percent export growth budget, the ECI does not increase so much. The greatest increment in the first line graph is actually caused by machinery and construction. For all four cases, it seems that daily instrument, services industries and machinery products form the majority of ECI increment. Therefore, for future strategy, Greece should prioritize development of services and utilities as well as daily instruments, which causes the greatest jump in each stage. And then machinery and construction, in order to optimize ECI.</w:t>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93129" cy="2062163"/>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593129"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828800"/>
            <wp:effectExtent b="0" l="0" r="0" t="0"/>
            <wp:docPr id="23" name="image16.jpg"/>
            <a:graphic>
              <a:graphicData uri="http://schemas.openxmlformats.org/drawingml/2006/picture">
                <pic:pic>
                  <pic:nvPicPr>
                    <pic:cNvPr id="0" name="image16.jpg"/>
                    <pic:cNvPicPr preferRelativeResize="0"/>
                  </pic:nvPicPr>
                  <pic:blipFill>
                    <a:blip r:embed="rId25"/>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02">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Greece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w:t>
      </w:r>
    </w:p>
    <w:p w:rsidR="00000000" w:rsidDel="00000000" w:rsidP="00000000" w:rsidRDefault="00000000" w:rsidRPr="00000000" w14:paraId="00000103">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2"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Greece’s 2018 ECI Sensitivity Charts. Firstly in the positive chart, we notice immediately that expanding exports in High Complexity Products, Machinery give fairly significant increases in ECI but require over 100% increase in exports. Weapons and Daily Instruments also allow for ECI gains but the expansion is not as significant as we see with the previous two industries. </w:t>
      </w:r>
    </w:p>
    <w:p w:rsidR="00000000" w:rsidDel="00000000" w:rsidP="00000000" w:rsidRDefault="00000000" w:rsidRPr="00000000" w14:paraId="0000010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Greece’s 2018 Negative Shock chart. We can see that Greece is fairly sensitive to Raw Manufacturing, Textile, and Chemical Manufacturing. Even a small decrease in Raw Manufacturing immediately decreases the ECI of Greece. A few other industries lead to positive ECI gains after exports are decreased however over 60% decreases are necessarily to experience these gains. </w:t>
      </w:r>
    </w:p>
    <w:p w:rsidR="00000000" w:rsidDel="00000000" w:rsidP="00000000" w:rsidRDefault="00000000" w:rsidRPr="00000000" w14:paraId="0000010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68663" cy="2395538"/>
            <wp:effectExtent b="0" l="0" r="0" t="0"/>
            <wp:docPr id="3"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4868663"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Greece 2018 (Incremental ECI Sensitivity)</w:t>
      </w:r>
    </w:p>
    <w:p w:rsidR="00000000" w:rsidDel="00000000" w:rsidP="00000000" w:rsidRDefault="00000000" w:rsidRPr="00000000" w14:paraId="0000011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80305" cy="2509838"/>
            <wp:effectExtent b="0" l="0" r="0" t="0"/>
            <wp:docPr id="9"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4980305"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Greece 2018 (Decremental  ECI Sensitivity)</w:t>
      </w:r>
    </w:p>
    <w:p w:rsidR="00000000" w:rsidDel="00000000" w:rsidP="00000000" w:rsidRDefault="00000000" w:rsidRPr="00000000" w14:paraId="0000011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increases in exports of High Complexity Products, Machinery lead ECI gains but require over 200% expansions, a highly unrealistic number. Services and Utilities offer modest ECI gain with approximately 75% increases in export. </w:t>
      </w:r>
    </w:p>
    <w:p w:rsidR="00000000" w:rsidDel="00000000" w:rsidP="00000000" w:rsidRDefault="00000000" w:rsidRPr="00000000" w14:paraId="0000011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Greece is fairly sensitive to decreases in export of Raw Manufacturing, Textile, and Chemical Manufacturing similar to what we see in the 2018 case. There is also some sensitivity to drawdown in Metals as well in the 2013 graph which is less pronounced in 2018.  </w:t>
      </w:r>
    </w:p>
    <w:p w:rsidR="00000000" w:rsidDel="00000000" w:rsidP="00000000" w:rsidRDefault="00000000" w:rsidRPr="00000000" w14:paraId="0000011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84252" cy="2576513"/>
            <wp:effectExtent b="0" l="0" r="0" t="0"/>
            <wp:docPr id="11"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4884252"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Greece 2013 (Incremental ECI Sensitivity)</w:t>
      </w:r>
    </w:p>
    <w:p w:rsidR="00000000" w:rsidDel="00000000" w:rsidP="00000000" w:rsidRDefault="00000000" w:rsidRPr="00000000" w14:paraId="0000011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29200" cy="2619375"/>
            <wp:effectExtent b="0" l="0" r="0" t="0"/>
            <wp:docPr id="26" name="image22.jpg"/>
            <a:graphic>
              <a:graphicData uri="http://schemas.openxmlformats.org/drawingml/2006/picture">
                <pic:pic>
                  <pic:nvPicPr>
                    <pic:cNvPr id="0" name="image22.jpg"/>
                    <pic:cNvPicPr preferRelativeResize="0"/>
                  </pic:nvPicPr>
                  <pic:blipFill>
                    <a:blip r:embed="rId30"/>
                    <a:srcRect b="4844" l="0" r="0" t="0"/>
                    <a:stretch>
                      <a:fillRect/>
                    </a:stretch>
                  </pic:blipFill>
                  <pic:spPr>
                    <a:xfrm>
                      <a:off x="0" y="0"/>
                      <a:ext cx="50292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spacing w:line="240" w:lineRule="auto"/>
        <w:ind w:left="7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Greece 2013 (Decremental  ECI Sensitivity)</w:t>
      </w:r>
      <w:r w:rsidDel="00000000" w:rsidR="00000000" w:rsidRPr="00000000">
        <w:rPr>
          <w:rtl w:val="0"/>
        </w:rPr>
      </w:r>
    </w:p>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2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2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2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Regression of Five-year GDP Growth over SOI</w:t>
      </w:r>
    </w:p>
    <w:p w:rsidR="00000000" w:rsidDel="00000000" w:rsidP="00000000" w:rsidRDefault="00000000" w:rsidRPr="00000000" w14:paraId="0000013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Greece and Its Implications</w:t>
      </w:r>
    </w:p>
    <w:p w:rsidR="00000000" w:rsidDel="00000000" w:rsidP="00000000" w:rsidRDefault="00000000" w:rsidRPr="00000000" w14:paraId="0000013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Greece, for instance, has a relatively low level of structural optimality as compared with its developed peers. As the regression in Figure 7 suggests (the orange curve represents export increase and the blue curve stands for opportunity gain of the corresponding industry), Greece demonstrates a below average level of correlation with the suggested developmental path, having an adjusted R-square of around -1.3%. Greece ranks 70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 5-year growth rate of 10.8% from 2013 to 2018,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Greece’s slower economic progress from 2013 to 2018 can be at least partially explained by a mismatched development strategy that demonstrates a considerable level of deviations from our suggested developmental path. In specific, Greece invested heavily in the transportation industry, where there was not much opportunity gain, while it should have focused more on industry groups such as Services and Utilities.</w:t>
      </w:r>
    </w:p>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1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Greece (2013-2018)</w:t>
      </w:r>
      <w:r w:rsidDel="00000000" w:rsidR="00000000" w:rsidRPr="00000000">
        <w:rPr>
          <w:rtl w:val="0"/>
        </w:rPr>
      </w:r>
    </w:p>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Greece has demonstrated a low level of economic growth in terms of GDP during the period from 2013 to 2018, concurrent with a stagnation in economic complexity as compared with other major European economies. </w:t>
      </w:r>
    </w:p>
    <w:p w:rsidR="00000000" w:rsidDel="00000000" w:rsidP="00000000" w:rsidRDefault="00000000" w:rsidRPr="00000000" w14:paraId="0000013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Greece on the industry group level. The product classification system we adopt allows us to measure the realized industry development for various industry groups and to observe that Greece invested heavily in developing </w:t>
        <w:tab/>
        <w:t xml:space="preserve">Chemical Manufacturing, Precious Stones and Metals during the period, while its emerging peers and developed economies around the globe have adopted much more complex and progressive paths.</w:t>
      </w:r>
    </w:p>
    <w:p w:rsidR="00000000" w:rsidDel="00000000" w:rsidP="00000000" w:rsidRDefault="00000000" w:rsidRPr="00000000" w14:paraId="0000013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Greece can further its gains by prioritizing Chemicals, Services and Utilities. We further note that Greece has a slightly mismatched development strategy that indicates a moderate level of structural optimality on the complexity level, having an adjusted R-square of around -1.3%. Since a significant positive correlation exists between five-year GDP growth and the structural optimality index of an economy as we define and calculate, Greece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pageBreakBefore w:val="0"/>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1">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4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4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5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sectPr>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5.jpg"/><Relationship Id="rId21" Type="http://schemas.openxmlformats.org/officeDocument/2006/relationships/image" Target="media/image20.png"/><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jpg"/><Relationship Id="rId25" Type="http://schemas.openxmlformats.org/officeDocument/2006/relationships/image" Target="media/image16.jpg"/><Relationship Id="rId28" Type="http://schemas.openxmlformats.org/officeDocument/2006/relationships/image" Target="media/image12.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6.jpg"/><Relationship Id="rId7" Type="http://schemas.openxmlformats.org/officeDocument/2006/relationships/image" Target="media/image15.png"/><Relationship Id="rId8" Type="http://schemas.openxmlformats.org/officeDocument/2006/relationships/image" Target="media/image6.png"/><Relationship Id="rId31" Type="http://schemas.openxmlformats.org/officeDocument/2006/relationships/image" Target="media/image3.png"/><Relationship Id="rId30" Type="http://schemas.openxmlformats.org/officeDocument/2006/relationships/image" Target="media/image22.jpg"/><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image" Target="media/image11.png"/><Relationship Id="rId13" Type="http://schemas.openxmlformats.org/officeDocument/2006/relationships/image" Target="media/image9.jpg"/><Relationship Id="rId12" Type="http://schemas.openxmlformats.org/officeDocument/2006/relationships/image" Target="media/image23.jpg"/><Relationship Id="rId15" Type="http://schemas.openxmlformats.org/officeDocument/2006/relationships/image" Target="media/image2.png"/><Relationship Id="rId14" Type="http://schemas.openxmlformats.org/officeDocument/2006/relationships/image" Target="media/image17.jpg"/><Relationship Id="rId17" Type="http://schemas.openxmlformats.org/officeDocument/2006/relationships/image" Target="media/image24.png"/><Relationship Id="rId16" Type="http://schemas.openxmlformats.org/officeDocument/2006/relationships/image" Target="media/image4.png"/><Relationship Id="rId19" Type="http://schemas.openxmlformats.org/officeDocument/2006/relationships/image" Target="media/image21.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