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b w:val="1"/>
          <w:bCs w:val="1"/>
          <w:color w:val="695d46"/>
          <w:sz w:val="18"/>
          <w:szCs w:val="18"/>
        </w:rPr>
      </w:pPr>
      <w:bookmarkStart w:colFirst="0" w:colLast="0" w:name="_z6ne0og04bp5" w:id="0"/>
      <w:bookmarkEnd w:id="0"/>
      <w:r w:rsidDel="00000000" w:rsidR="00000000" w:rsidRPr="00000000">
        <w:rPr>
          <w:rFonts w:ascii="Open Sans" w:cs="Open Sans" w:eastAsia="Open Sans" w:hAnsi="Open Sans"/>
          <w:color w:val="695d46"/>
          <w:sz w:val="20"/>
          <w:szCs w:val="20"/>
        </w:rPr>
        <w:drawing>
          <wp:inline distB="114300" distT="114300" distL="114300" distR="114300">
            <wp:extent cx="5731200" cy="101600"/>
            <wp:effectExtent b="0" l="0" r="0" t="0"/>
            <wp:docPr descr="horizontal line" id="25" name="image23.png"/>
            <a:graphic>
              <a:graphicData uri="http://schemas.openxmlformats.org/drawingml/2006/picture">
                <pic:pic>
                  <pic:nvPicPr>
                    <pic:cNvPr descr="horizontal line" id="0" name="image23.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b w:val="1"/>
          <w:bCs w:val="1"/>
          <w:color w:val="695d46"/>
          <w:sz w:val="18"/>
          <w:szCs w:val="18"/>
        </w:rPr>
        <w:drawing>
          <wp:inline distB="114300" distT="114300" distL="114300" distR="114300">
            <wp:extent cx="5731200" cy="4000500"/>
            <wp:effectExtent b="0" l="0" r="0" t="0"/>
            <wp:docPr id="26" name="image29.png"/>
            <a:graphic>
              <a:graphicData uri="http://schemas.openxmlformats.org/drawingml/2006/picture">
                <pic:pic>
                  <pic:nvPicPr>
                    <pic:cNvPr id="0" name="image29.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lin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2"/>
          <w:szCs w:val="12"/>
          <w:rtl w:val="0"/>
        </w:rPr>
        <w:t xml:space="preserve"> https://atlas.cid.harvard.edu/</w:t>
      </w:r>
    </w:p>
    <w:p w:rsidR="00000000" w:rsidDel="00000000" w:rsidP="00000000" w:rsidRDefault="00000000" w:rsidRPr="00000000" w14:paraId="00000003">
      <w:pPr>
        <w:pStyle w:val="Title"/>
        <w:keepNext w:val="0"/>
        <w:keepLines w:val="0"/>
        <w:pageBreakBefore w:val="0"/>
        <w:spacing w:after="0" w:before="320" w:line="240" w:lineRule="auto"/>
        <w:rPr>
          <w:rFonts w:ascii="PT Sans Narrow" w:cs="PT Sans Narrow" w:eastAsia="PT Sans Narrow" w:hAnsi="PT Sans Narrow"/>
          <w:b w:val="1"/>
          <w:bCs w:val="1"/>
          <w:color w:val="666666"/>
          <w:sz w:val="56"/>
          <w:szCs w:val="56"/>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56"/>
          <w:szCs w:val="56"/>
          <w:rtl w:val="0"/>
        </w:rPr>
        <w:t xml:space="preserve">Optimal Industry Development Strategy Using Economic and Product Complexity</w:t>
      </w:r>
    </w:p>
    <w:p w:rsidR="00000000" w:rsidDel="00000000" w:rsidP="00000000" w:rsidRDefault="00000000" w:rsidRPr="00000000" w14:paraId="00000004">
      <w:pPr>
        <w:pStyle w:val="Title"/>
        <w:keepNext w:val="0"/>
        <w:keepLines w:val="0"/>
        <w:pageBreakBefore w:val="0"/>
        <w:spacing w:after="0" w:before="320" w:line="240" w:lineRule="auto"/>
        <w:rPr>
          <w:rFonts w:ascii="PT Sans Narrow" w:cs="PT Sans Narrow" w:eastAsia="PT Sans Narrow" w:hAnsi="PT Sans Narrow"/>
          <w:b w:val="1"/>
          <w:bCs w:val="1"/>
          <w:sz w:val="56"/>
          <w:szCs w:val="56"/>
        </w:rPr>
      </w:pPr>
      <w:bookmarkStart w:colFirst="0" w:colLast="0" w:name="_q5cok54tx0k8" w:id="2"/>
      <w:bookmarkEnd w:id="2"/>
      <w:r w:rsidDel="00000000" w:rsidR="00000000" w:rsidRPr="00000000">
        <w:rPr>
          <w:rFonts w:ascii="PT Sans Narrow" w:cs="PT Sans Narrow" w:eastAsia="PT Sans Narrow" w:hAnsi="PT Sans Narrow"/>
          <w:b w:val="1"/>
          <w:bCs w:val="1"/>
          <w:sz w:val="56"/>
          <w:szCs w:val="56"/>
          <w:rtl w:val="0"/>
        </w:rPr>
        <w:t xml:space="preserve">Indonesia</w:t>
      </w:r>
      <w:r w:rsidDel="00000000" w:rsidR="00000000" w:rsidRPr="00000000">
        <w:rPr>
          <w:rtl w:val="0"/>
        </w:rPr>
      </w:r>
    </w:p>
    <w:p w:rsidR="00000000" w:rsidDel="00000000" w:rsidP="00000000" w:rsidRDefault="00000000" w:rsidRPr="00000000" w14:paraId="00000005">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18"/>
          <w:szCs w:val="18"/>
        </w:rPr>
      </w:pPr>
      <w:r w:rsidDel="00000000" w:rsidR="00000000" w:rsidRPr="00000000">
        <w:rPr>
          <w:rFonts w:ascii="Arial Unicode MS" w:cs="Arial Unicode MS" w:eastAsia="Arial Unicode MS" w:hAnsi="Arial Unicode MS"/>
          <w:b w:val="1"/>
          <w:bCs w:val="1"/>
          <w:sz w:val="32"/>
          <w:szCs w:val="32"/>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240" w:lineRule="auto"/>
        <w:rPr>
          <w:rFonts w:ascii="PT Sans Narrow" w:cs="PT Sans Narrow" w:eastAsia="PT Sans Narrow" w:hAnsi="PT Sans Narrow"/>
          <w:color w:val="008575"/>
          <w:sz w:val="28"/>
          <w:szCs w:val="28"/>
        </w:rPr>
      </w:pPr>
      <w:r w:rsidDel="00000000" w:rsidR="00000000" w:rsidRPr="00000000">
        <w:rPr>
          <w:rFonts w:ascii="PT Sans Narrow" w:cs="PT Sans Narrow" w:eastAsia="PT Sans Narrow" w:hAnsi="PT Sans Narrow"/>
          <w:color w:val="008575"/>
          <w:sz w:val="28"/>
          <w:szCs w:val="28"/>
          <w:rtl w:val="0"/>
        </w:rPr>
        <w:t xml:space="preserve">The Economic Complexity Lab - Columbia University</w:t>
      </w:r>
    </w:p>
    <w:p w:rsidR="00000000" w:rsidDel="00000000" w:rsidP="00000000" w:rsidRDefault="00000000" w:rsidRPr="00000000" w14:paraId="00000008">
      <w:pPr>
        <w:pageBreakBefore w:val="0"/>
        <w:spacing w:line="240" w:lineRule="auto"/>
        <w:rPr>
          <w:rFonts w:ascii="Times New Roman" w:cs="Times New Roman" w:eastAsia="Times New Roman" w:hAnsi="Times New Roman"/>
          <w:sz w:val="40"/>
          <w:szCs w:val="40"/>
        </w:rPr>
      </w:pPr>
      <w:r w:rsidDel="00000000" w:rsidR="00000000" w:rsidRPr="00000000">
        <w:rPr>
          <w:rFonts w:ascii="PT Sans Narrow" w:cs="PT Sans Narrow" w:eastAsia="PT Sans Narrow" w:hAnsi="PT Sans Narrow"/>
          <w:sz w:val="24"/>
          <w:szCs w:val="24"/>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Optimal Industry Development Strategy for Indonesia</w:t>
      </w:r>
    </w:p>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rFonts w:ascii="Times New Roman" w:cs="Times New Roman" w:eastAsia="Times New Roman" w:hAnsi="Times New Roman"/>
          <w:sz w:val="24"/>
          <w:szCs w:val="24"/>
        </w:rPr>
      </w:pPr>
      <w:r w:rsidDel="00000000" w:rsidR="00000000" w:rsidRPr="00000000">
        <w:rPr>
          <w:rFonts w:ascii="Times" w:cs="Times" w:eastAsia="Times" w:hAnsi="Times"/>
          <w:b w:val="1"/>
          <w:bCs w:val="1"/>
          <w:sz w:val="28"/>
          <w:szCs w:val="28"/>
          <w:rtl w:val="0"/>
        </w:rPr>
        <w:t xml:space="preserve">0. Executive Summary</w:t>
      </w:r>
      <w:r w:rsidDel="00000000" w:rsidR="00000000" w:rsidRPr="00000000">
        <w:rPr>
          <w:rtl w:val="0"/>
        </w:rPr>
      </w:r>
    </w:p>
    <w:p w:rsidR="00000000" w:rsidDel="00000000" w:rsidP="00000000" w:rsidRDefault="00000000" w:rsidRPr="00000000" w14:paraId="0000000C">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aim to uncover the economic path Indonesia went through during the period from 2013 to 2018. Specifically, we dive into the topic through a macroeconomic overview of Indonesia from the perspective of Gross Domestic Product (GDP) and Economic Complexity Index (ECI), which reflect countries’ production capability and production structure, respectively. We find that during the period of our interest, Indonesia demonstrated a low level of economic growth with an annual GDP growth rate of 3.2%, concurrent with a decrease in economic complexity as compared with other major economies in Asia. </w:t>
      </w:r>
    </w:p>
    <w:p w:rsidR="00000000" w:rsidDel="00000000" w:rsidP="00000000" w:rsidRDefault="00000000" w:rsidRPr="00000000" w14:paraId="0000000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Indonesia on the industry group level. The product classification system we adopt allows us to measure the realized industry development for various industry groups and to observe that Indonesia invested heavily in developing Precious Stones, Chemical Manufacturing, and Clothing and Accessories during the period, while its emerging peers and developed economies around the globe have adopted much more complex and progressive paths.</w:t>
      </w:r>
    </w:p>
    <w:p w:rsidR="00000000" w:rsidDel="00000000" w:rsidP="00000000" w:rsidRDefault="00000000" w:rsidRPr="00000000" w14:paraId="0000001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Indonesia can further its gains by prioritizing Services and Utilities. We further note that Indonesia has a slightly mismatched development strategy that indicates a low level of structural optimality on the complexity level, having an adjusted R-square of around -5.8%. Since a significant positive correlation exists between five-year GDP growth and the structural optimality index of an economy as we define and calculate, Indonesia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3">
      <w:pPr>
        <w:pageBreakBefore w:val="0"/>
        <w:spacing w:line="240" w:lineRule="auto"/>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4">
      <w:pPr>
        <w:pageBreakBefore w:val="0"/>
        <w:spacing w:lin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5">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6">
      <w:pPr>
        <w:pageBreakBefore w:val="0"/>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In this report, we aim to uncover the economic path Brazil went through during the period from 2013 to 2018. Specifically, we dive into the topic through a macroeconomic overview of Brazil from the perspective of Gross Domestic Product (GDP) and Economic Complexity Index (ECI), which reflect countries’ production capability and production structure, respectively. We then analyze the industrial framework and changes of Brazil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Brazil, as deduced from regression models we have established on a global scale, which take into account countries’ stances in their product space.</w:t>
      </w:r>
      <w:r w:rsidDel="00000000" w:rsidR="00000000" w:rsidRPr="00000000">
        <w:rPr>
          <w:rtl w:val="0"/>
        </w:rPr>
      </w:r>
    </w:p>
    <w:p w:rsidR="00000000" w:rsidDel="00000000" w:rsidP="00000000" w:rsidRDefault="00000000" w:rsidRPr="00000000" w14:paraId="00000017">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9">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GDP Ranking and Changes</w:t>
      </w:r>
    </w:p>
    <w:p w:rsidR="00000000" w:rsidDel="00000000" w:rsidP="00000000" w:rsidRDefault="00000000" w:rsidRPr="00000000" w14:paraId="0000001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16</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largest economy in the world ranked by GDP, Indonesia has a GDP of 912 billion USD in 2013 and 1042 billion USD in 2018, exhibiting an extraordinary level of economic output. Figure 1 illustrates the time-series GDP results for major asian economies from 1999-2018, and Indonesia ranks among its peers as a small but growing economy in terms of both GDP and GDP growth. During the period from 2013 to 2018, Malaysia achieved an average annual growth of 2.2% in GDP. This number is almost at the same level as the annual growth rate of the other four leading asian economies, which have a geometric average growth rate of 3.0% and an arithmetic average growth rates of 3.2%. Compared with more developed economies on a global scale, the annual growth rate of 2.2% is comparable to countries such as the USA which has an average annual GDP increase of around 4% during the period. The rapid economic growth, we believe, can be reflected through changes in ECI and PCI, and can be further explained by a well-chosen set of production strategies adopted by Malaysia from 2013 to 2018, which we will expand at the later stage of the report.</w:t>
      </w:r>
    </w:p>
    <w:p w:rsidR="00000000" w:rsidDel="00000000" w:rsidP="00000000" w:rsidRDefault="00000000" w:rsidRPr="00000000" w14:paraId="0000001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633113" cy="3024188"/>
            <wp:effectExtent b="12700" l="12700" r="12700" t="12700"/>
            <wp:docPr id="15"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633113" cy="30241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F">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GDP Comparison Among Major Asian Economies</w:t>
      </w:r>
    </w:p>
    <w:p w:rsidR="00000000" w:rsidDel="00000000" w:rsidP="00000000" w:rsidRDefault="00000000" w:rsidRPr="00000000" w14:paraId="00000021">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ECI Ranking and Changes</w:t>
      </w:r>
    </w:p>
    <w:p w:rsidR="00000000" w:rsidDel="00000000" w:rsidP="00000000" w:rsidRDefault="00000000" w:rsidRPr="00000000" w14:paraId="0000002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Complexity Index (ECI), as defined by Ricardo Hausmann and Cesar Hidalgo in 2009 to explain the knowledge accumulated in a country's population, exhibits a similar pattern for Indonesia. As illustrated in Figure 2 below, Indonesia exhibits a stably low production capability from 2013 to 2018, as measured by ECI. This is in direct contrast to the other four major asian economies such as China, which demonstrates a huge advantage in both ECI growth rate and GDP growth rate. </w:t>
      </w:r>
    </w:p>
    <w:p w:rsidR="00000000" w:rsidDel="00000000" w:rsidP="00000000" w:rsidRDefault="00000000" w:rsidRPr="00000000" w14:paraId="0000002A">
      <w:pPr>
        <w:pageBreakBefore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00363" cy="1788402"/>
            <wp:effectExtent b="12700" l="12700" r="12700" t="12700"/>
            <wp:docPr id="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900363" cy="1788402"/>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98924" cy="1795463"/>
            <wp:effectExtent b="12700" l="12700" r="12700" t="12700"/>
            <wp:docPr id="1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898924" cy="17954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pageBreakBefore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2: ECI Comparison                           Figure 3: GDP and ECI (Indonesia)</w:t>
      </w:r>
    </w:p>
    <w:p w:rsidR="00000000" w:rsidDel="00000000" w:rsidP="00000000" w:rsidRDefault="00000000" w:rsidRPr="00000000" w14:paraId="0000002C">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offers a further comparison of GDP and ECI over the entire time span from 2013 to 2018 for Indonesia. The slight increase in GDP during the period from 2015 to 2018 is accompanied by a small improvement in ECI, indicting the potential that the mild economic growth experienced by Indonesia during this period might be attributed to its improving ECI, or the effectiveness of the country in developing a competitive product space that helps to accumulate complicated knowledge and technology. In order to provide a more concrete answer to why this has happened, we will dive into an analysis of Indonesia’s production structure and its product space designs in the next few chapters. </w:t>
      </w:r>
    </w:p>
    <w:p w:rsidR="00000000" w:rsidDel="00000000" w:rsidP="00000000" w:rsidRDefault="00000000" w:rsidRPr="00000000" w14:paraId="0000002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0">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Product Categorization</w:t>
      </w:r>
    </w:p>
    <w:p w:rsidR="00000000" w:rsidDel="00000000" w:rsidP="00000000" w:rsidRDefault="00000000" w:rsidRPr="00000000" w14:paraId="0000003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6">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Category</w:t>
            </w:r>
          </w:p>
        </w:tc>
        <w:tc>
          <w:tcPr/>
          <w:p w:rsidR="00000000" w:rsidDel="00000000" w:rsidP="00000000" w:rsidRDefault="00000000" w:rsidRPr="00000000" w14:paraId="00000037">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w:t>
            </w:r>
          </w:p>
        </w:tc>
      </w:tr>
      <w:tr>
        <w:trPr>
          <w:cantSplit w:val="0"/>
          <w:tblHeader w:val="0"/>
        </w:trPr>
        <w:tc>
          <w:tcPr/>
          <w:p w:rsidR="00000000" w:rsidDel="00000000" w:rsidP="00000000" w:rsidRDefault="00000000" w:rsidRPr="00000000" w14:paraId="0000003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p w:rsidR="00000000" w:rsidDel="00000000" w:rsidP="00000000" w:rsidRDefault="00000000" w:rsidRPr="00000000" w14:paraId="0000003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Vegetables, Fruits and Plants</w:t>
            </w:r>
          </w:p>
        </w:tc>
        <w:tc>
          <w:tcPr/>
          <w:p w:rsidR="00000000" w:rsidDel="00000000" w:rsidP="00000000" w:rsidRDefault="00000000" w:rsidRPr="00000000" w14:paraId="0000003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p w:rsidR="00000000" w:rsidDel="00000000" w:rsidP="00000000" w:rsidRDefault="00000000" w:rsidRPr="00000000" w14:paraId="0000003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Accessories</w:t>
            </w:r>
          </w:p>
        </w:tc>
        <w:tc>
          <w:tcPr/>
          <w:p w:rsidR="00000000" w:rsidDel="00000000" w:rsidP="00000000" w:rsidRDefault="00000000" w:rsidRPr="00000000" w14:paraId="0000003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p w:rsidR="00000000" w:rsidDel="00000000" w:rsidP="00000000" w:rsidRDefault="00000000" w:rsidRPr="00000000" w14:paraId="0000004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c>
          <w:tcPr/>
          <w:p w:rsidR="00000000" w:rsidDel="00000000" w:rsidP="00000000" w:rsidRDefault="00000000" w:rsidRPr="00000000" w14:paraId="0000004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c>
          <w:tcPr/>
          <w:p w:rsidR="00000000" w:rsidDel="00000000" w:rsidP="00000000" w:rsidRDefault="00000000" w:rsidRPr="00000000" w14:paraId="0000004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of all sorts of raw Metals</w:t>
            </w:r>
          </w:p>
        </w:tc>
      </w:tr>
      <w:tr>
        <w:trPr>
          <w:cantSplit w:val="0"/>
          <w:tblHeader w:val="0"/>
        </w:trPr>
        <w:tc>
          <w:tcPr/>
          <w:p w:rsidR="00000000" w:rsidDel="00000000" w:rsidP="00000000" w:rsidRDefault="00000000" w:rsidRPr="00000000" w14:paraId="00000046">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and Processed Stones</w:t>
            </w:r>
          </w:p>
        </w:tc>
        <w:tc>
          <w:tcPr/>
          <w:p w:rsidR="00000000" w:rsidDel="00000000" w:rsidP="00000000" w:rsidRDefault="00000000" w:rsidRPr="00000000" w14:paraId="0000004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p w:rsidR="00000000" w:rsidDel="00000000" w:rsidP="00000000" w:rsidRDefault="00000000" w:rsidRPr="00000000" w14:paraId="0000004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p w:rsidR="00000000" w:rsidDel="00000000" w:rsidP="00000000" w:rsidRDefault="00000000" w:rsidRPr="00000000" w14:paraId="0000004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p w:rsidR="00000000" w:rsidDel="00000000" w:rsidP="00000000" w:rsidRDefault="00000000" w:rsidRPr="00000000" w14:paraId="0000004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p w:rsidR="00000000" w:rsidDel="00000000" w:rsidP="00000000" w:rsidRDefault="00000000" w:rsidRPr="00000000" w14:paraId="0000004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p w:rsidR="00000000" w:rsidDel="00000000" w:rsidP="00000000" w:rsidRDefault="00000000" w:rsidRPr="00000000" w14:paraId="0000005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chemical materials and by-products</w:t>
            </w:r>
          </w:p>
        </w:tc>
      </w:tr>
      <w:tr>
        <w:trPr>
          <w:cantSplit w:val="0"/>
          <w:tblHeader w:val="0"/>
        </w:trPr>
        <w:tc>
          <w:tcPr/>
          <w:p w:rsidR="00000000" w:rsidDel="00000000" w:rsidP="00000000" w:rsidRDefault="00000000" w:rsidRPr="00000000" w14:paraId="00000052">
            <w:pPr>
              <w:pageBreakBefore w:val="0"/>
              <w:tabs>
                <w:tab w:val="left" w:leader="none" w:pos="1718"/>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p w:rsidR="00000000" w:rsidDel="00000000" w:rsidP="00000000" w:rsidRDefault="00000000" w:rsidRPr="00000000" w14:paraId="0000005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p w:rsidR="00000000" w:rsidDel="00000000" w:rsidP="00000000" w:rsidRDefault="00000000" w:rsidRPr="00000000" w14:paraId="0000005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p w:rsidR="00000000" w:rsidDel="00000000" w:rsidP="00000000" w:rsidRDefault="00000000" w:rsidRPr="00000000" w14:paraId="0000005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Explosives, arms and ammunition</w:t>
            </w:r>
          </w:p>
        </w:tc>
      </w:tr>
      <w:tr>
        <w:trPr>
          <w:cantSplit w:val="0"/>
          <w:tblHeader w:val="0"/>
        </w:trPr>
        <w:tc>
          <w:tcPr/>
          <w:p w:rsidR="00000000" w:rsidDel="00000000" w:rsidP="00000000" w:rsidRDefault="00000000" w:rsidRPr="00000000" w14:paraId="0000005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p w:rsidR="00000000" w:rsidDel="00000000" w:rsidP="00000000" w:rsidRDefault="00000000" w:rsidRPr="00000000" w14:paraId="0000005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Agglomeration of advanced products with highest PCIs</w:t>
            </w:r>
          </w:p>
        </w:tc>
      </w:tr>
    </w:tbl>
    <w:p w:rsidR="00000000" w:rsidDel="00000000" w:rsidP="00000000" w:rsidRDefault="00000000" w:rsidRPr="00000000" w14:paraId="0000005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Categorization of Products</w:t>
      </w:r>
    </w:p>
    <w:p w:rsidR="00000000" w:rsidDel="00000000" w:rsidP="00000000" w:rsidRDefault="00000000" w:rsidRPr="00000000" w14:paraId="0000005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6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2">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3">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64">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65">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6">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6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w:t>
            </w:r>
          </w:p>
        </w:tc>
        <w:tc>
          <w:tcPr>
            <w:vAlign w:val="bottom"/>
          </w:tcPr>
          <w:p w:rsidR="00000000" w:rsidDel="00000000" w:rsidP="00000000" w:rsidRDefault="00000000" w:rsidRPr="00000000" w14:paraId="0000006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vAlign w:val="bottom"/>
          </w:tcPr>
          <w:p w:rsidR="00000000" w:rsidDel="00000000" w:rsidP="00000000" w:rsidRDefault="00000000" w:rsidRPr="00000000" w14:paraId="0000006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r>
      <w:tr>
        <w:trPr>
          <w:cantSplit w:val="0"/>
          <w:tblHeader w:val="0"/>
        </w:trPr>
        <w:tc>
          <w:tcPr/>
          <w:p w:rsidR="00000000" w:rsidDel="00000000" w:rsidP="00000000" w:rsidRDefault="00000000" w:rsidRPr="00000000" w14:paraId="0000006A">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B">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9.556</w:t>
            </w:r>
          </w:p>
        </w:tc>
        <w:tc>
          <w:tcPr>
            <w:vAlign w:val="bottom"/>
          </w:tcPr>
          <w:p w:rsidR="00000000" w:rsidDel="00000000" w:rsidP="00000000" w:rsidRDefault="00000000" w:rsidRPr="00000000" w14:paraId="0000006C">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1.638</w:t>
            </w:r>
          </w:p>
        </w:tc>
        <w:tc>
          <w:tcPr>
            <w:vAlign w:val="bottom"/>
          </w:tcPr>
          <w:p w:rsidR="00000000" w:rsidDel="00000000" w:rsidP="00000000" w:rsidRDefault="00000000" w:rsidRPr="00000000" w14:paraId="0000006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r>
      <w:tr>
        <w:trPr>
          <w:cantSplit w:val="0"/>
          <w:tblHeader w:val="0"/>
        </w:trPr>
        <w:tc>
          <w:tcPr/>
          <w:p w:rsidR="00000000" w:rsidDel="00000000" w:rsidP="00000000" w:rsidRDefault="00000000" w:rsidRPr="00000000" w14:paraId="0000006E">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6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7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7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bl>
    <w:p w:rsidR="00000000" w:rsidDel="00000000" w:rsidP="00000000" w:rsidRDefault="00000000" w:rsidRPr="00000000" w14:paraId="00000072">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OLS Regression Results of GDP against Percentage Volume of Exports </w:t>
      </w:r>
    </w:p>
    <w:p w:rsidR="00000000" w:rsidDel="00000000" w:rsidP="00000000" w:rsidRDefault="00000000" w:rsidRPr="00000000" w14:paraId="0000007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6">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7">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78">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79">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A">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7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0.149</w:t>
            </w:r>
          </w:p>
        </w:tc>
        <w:tc>
          <w:tcPr>
            <w:vAlign w:val="bottom"/>
          </w:tcPr>
          <w:p w:rsidR="00000000" w:rsidDel="00000000" w:rsidP="00000000" w:rsidRDefault="00000000" w:rsidRPr="00000000" w14:paraId="0000007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vAlign w:val="bottom"/>
          </w:tcPr>
          <w:p w:rsidR="00000000" w:rsidDel="00000000" w:rsidP="00000000" w:rsidRDefault="00000000" w:rsidRPr="00000000" w14:paraId="0000007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r>
      <w:tr>
        <w:trPr>
          <w:cantSplit w:val="0"/>
          <w:tblHeader w:val="0"/>
        </w:trPr>
        <w:tc>
          <w:tcPr/>
          <w:p w:rsidR="00000000" w:rsidDel="00000000" w:rsidP="00000000" w:rsidRDefault="00000000" w:rsidRPr="00000000" w14:paraId="0000007E">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F">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4.510</w:t>
            </w:r>
          </w:p>
        </w:tc>
        <w:tc>
          <w:tcPr>
            <w:vAlign w:val="bottom"/>
          </w:tcPr>
          <w:p w:rsidR="00000000" w:rsidDel="00000000" w:rsidP="00000000" w:rsidRDefault="00000000" w:rsidRPr="00000000" w14:paraId="00000080">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1.059</w:t>
            </w:r>
          </w:p>
        </w:tc>
        <w:tc>
          <w:tcPr>
            <w:vAlign w:val="bottom"/>
          </w:tcPr>
          <w:p w:rsidR="00000000" w:rsidDel="00000000" w:rsidP="00000000" w:rsidRDefault="00000000" w:rsidRPr="00000000" w14:paraId="0000008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0.7542</w:t>
            </w:r>
          </w:p>
        </w:tc>
      </w:tr>
      <w:tr>
        <w:trPr>
          <w:cantSplit w:val="0"/>
          <w:tblHeader w:val="0"/>
        </w:trPr>
        <w:tc>
          <w:tcPr/>
          <w:p w:rsidR="00000000" w:rsidDel="00000000" w:rsidP="00000000" w:rsidRDefault="00000000" w:rsidRPr="00000000" w14:paraId="00000082">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8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8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8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p w:rsidR="00000000" w:rsidDel="00000000" w:rsidP="00000000" w:rsidRDefault="00000000" w:rsidRPr="00000000" w14:paraId="00000086">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OLS Regression Results of GDP against Volume of Percentage Exports</w:t>
      </w:r>
    </w:p>
    <w:p w:rsidR="00000000" w:rsidDel="00000000" w:rsidP="00000000" w:rsidRDefault="00000000" w:rsidRPr="00000000" w14:paraId="00000088">
      <w:pPr>
        <w:pageBreakBefore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9">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Realized Industry Development</w:t>
      </w:r>
    </w:p>
    <w:p w:rsidR="00000000" w:rsidDel="00000000" w:rsidP="00000000" w:rsidRDefault="00000000" w:rsidRPr="00000000" w14:paraId="0000008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product categorization aforementioned, we aim to capture Indonesia’s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Indonesia and the 18 product groups in 2013 and 2018 through subtraction, where a positive RID indicates a shortening of the distance (i.e., advancement of the industry), and a negative RID indicates the reverse. As ranked in Table 2, during the period from 2013 to 2018, Indonesia has focused on products with a moderate level of complexity and those requiring intermediate skills. </w:t>
      </w:r>
    </w:p>
    <w:p w:rsidR="00000000" w:rsidDel="00000000" w:rsidP="00000000" w:rsidRDefault="00000000" w:rsidRPr="00000000" w14:paraId="0000008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57800" cy="2524125"/>
            <wp:effectExtent b="0" l="0" r="0" t="0"/>
            <wp:docPr id="22"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2578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Realized Industry Development (RID) of Indonesia</w:t>
      </w:r>
    </w:p>
    <w:p w:rsidR="00000000" w:rsidDel="00000000" w:rsidP="00000000" w:rsidRDefault="00000000" w:rsidRPr="00000000" w14:paraId="00000090">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Regional and Global Comparison</w:t>
      </w:r>
    </w:p>
    <w:p w:rsidR="00000000" w:rsidDel="00000000" w:rsidP="00000000" w:rsidRDefault="00000000" w:rsidRPr="00000000" w14:paraId="0000009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and 4 below summarize how the production strategy adopted by Indonesia compares with leading economies and a selected group of emerging economies in the world, as measured in RID. It can be directly observed that Indonesia focused on products with a lower complexity level, when compared against leading economies such as the United States and Germany, which gave a considerable level of attention to more advanced product groups such as clothing, services and utilities, and chemical manufacturing.</w:t>
      </w:r>
    </w:p>
    <w:p w:rsidR="00000000" w:rsidDel="00000000" w:rsidP="00000000" w:rsidRDefault="00000000" w:rsidRPr="00000000" w14:paraId="0000009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9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w:t>
            </w:r>
          </w:p>
        </w:tc>
        <w:tc>
          <w:tcPr/>
          <w:p w:rsidR="00000000" w:rsidDel="00000000" w:rsidP="00000000" w:rsidRDefault="00000000" w:rsidRPr="00000000" w14:paraId="0000009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w:t>
            </w:r>
          </w:p>
        </w:tc>
        <w:tc>
          <w:tcPr/>
          <w:p w:rsidR="00000000" w:rsidDel="00000000" w:rsidP="00000000" w:rsidRDefault="00000000" w:rsidRPr="00000000" w14:paraId="0000009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w:t>
            </w:r>
          </w:p>
        </w:tc>
      </w:tr>
      <w:tr>
        <w:trPr>
          <w:cantSplit w:val="0"/>
          <w:tblHeader w:val="0"/>
        </w:trPr>
        <w:tc>
          <w:tcPr/>
          <w:p w:rsidR="00000000" w:rsidDel="00000000" w:rsidP="00000000" w:rsidRDefault="00000000" w:rsidRPr="00000000" w14:paraId="00000098">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9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9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vAlign w:val="bottom"/>
          </w:tcPr>
          <w:p w:rsidR="00000000" w:rsidDel="00000000" w:rsidP="00000000" w:rsidRDefault="00000000" w:rsidRPr="00000000" w14:paraId="0000009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9C">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9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9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vAlign w:val="bottom"/>
          </w:tcPr>
          <w:p w:rsidR="00000000" w:rsidDel="00000000" w:rsidP="00000000" w:rsidRDefault="00000000" w:rsidRPr="00000000" w14:paraId="0000009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A0">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A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A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vAlign w:val="bottom"/>
          </w:tcPr>
          <w:p w:rsidR="00000000" w:rsidDel="00000000" w:rsidP="00000000" w:rsidRDefault="00000000" w:rsidRPr="00000000" w14:paraId="000000A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r>
      <w:tr>
        <w:trPr>
          <w:cantSplit w:val="0"/>
          <w:tblHeader w:val="0"/>
        </w:trPr>
        <w:tc>
          <w:tcPr/>
          <w:p w:rsidR="00000000" w:rsidDel="00000000" w:rsidP="00000000" w:rsidRDefault="00000000" w:rsidRPr="00000000" w14:paraId="000000A4">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A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A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c>
          <w:tcPr>
            <w:vAlign w:val="bottom"/>
          </w:tcPr>
          <w:p w:rsidR="00000000" w:rsidDel="00000000" w:rsidP="00000000" w:rsidRDefault="00000000" w:rsidRPr="00000000" w14:paraId="000000A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r>
      <w:tr>
        <w:trPr>
          <w:cantSplit w:val="0"/>
          <w:tblHeader w:val="0"/>
        </w:trPr>
        <w:tc>
          <w:tcPr/>
          <w:p w:rsidR="00000000" w:rsidDel="00000000" w:rsidP="00000000" w:rsidRDefault="00000000" w:rsidRPr="00000000" w14:paraId="000000A8">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A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vAlign w:val="bottom"/>
          </w:tcPr>
          <w:p w:rsidR="00000000" w:rsidDel="00000000" w:rsidP="00000000" w:rsidRDefault="00000000" w:rsidRPr="00000000" w14:paraId="000000A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A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r>
    </w:tbl>
    <w:p w:rsidR="00000000" w:rsidDel="00000000" w:rsidP="00000000" w:rsidRDefault="00000000" w:rsidRPr="00000000" w14:paraId="000000AC">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RID Comparison across Leading Economies</w:t>
      </w:r>
    </w:p>
    <w:p w:rsidR="00000000" w:rsidDel="00000000" w:rsidP="00000000" w:rsidRDefault="00000000" w:rsidRPr="00000000" w14:paraId="000000AE">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ageBreakBefore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B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B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p w:rsidR="00000000" w:rsidDel="00000000" w:rsidP="00000000" w:rsidRDefault="00000000" w:rsidRPr="00000000" w14:paraId="000000B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Korea</w:t>
            </w:r>
          </w:p>
        </w:tc>
        <w:tc>
          <w:tcPr/>
          <w:p w:rsidR="00000000" w:rsidDel="00000000" w:rsidP="00000000" w:rsidRDefault="00000000" w:rsidRPr="00000000" w14:paraId="000000B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w:t>
            </w:r>
          </w:p>
        </w:tc>
      </w:tr>
      <w:tr>
        <w:trPr>
          <w:cantSplit w:val="0"/>
          <w:tblHeader w:val="0"/>
        </w:trPr>
        <w:tc>
          <w:tcPr/>
          <w:p w:rsidR="00000000" w:rsidDel="00000000" w:rsidP="00000000" w:rsidRDefault="00000000" w:rsidRPr="00000000" w14:paraId="000000B4">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B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B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B8">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B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w:t>
            </w:r>
          </w:p>
        </w:tc>
        <w:tc>
          <w:tcPr>
            <w:vAlign w:val="bottom"/>
          </w:tcPr>
          <w:p w:rsidR="00000000" w:rsidDel="00000000" w:rsidP="00000000" w:rsidRDefault="00000000" w:rsidRPr="00000000" w14:paraId="000000B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BC">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B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B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B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r>
      <w:tr>
        <w:trPr>
          <w:cantSplit w:val="0"/>
          <w:tblHeader w:val="0"/>
        </w:trPr>
        <w:tc>
          <w:tcPr/>
          <w:p w:rsidR="00000000" w:rsidDel="00000000" w:rsidP="00000000" w:rsidRDefault="00000000" w:rsidRPr="00000000" w14:paraId="000000C0">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C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vAlign w:val="bottom"/>
          </w:tcPr>
          <w:p w:rsidR="00000000" w:rsidDel="00000000" w:rsidP="00000000" w:rsidRDefault="00000000" w:rsidRPr="00000000" w14:paraId="000000C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C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r>
      <w:tr>
        <w:trPr>
          <w:cantSplit w:val="0"/>
          <w:tblHeader w:val="0"/>
        </w:trPr>
        <w:tc>
          <w:tcPr/>
          <w:p w:rsidR="00000000" w:rsidDel="00000000" w:rsidP="00000000" w:rsidRDefault="00000000" w:rsidRPr="00000000" w14:paraId="000000C4">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C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C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C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r>
    </w:tbl>
    <w:p w:rsidR="00000000" w:rsidDel="00000000" w:rsidP="00000000" w:rsidRDefault="00000000" w:rsidRPr="00000000" w14:paraId="000000C8">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RID Comparison across Emerging Economies</w:t>
      </w:r>
    </w:p>
    <w:p w:rsidR="00000000" w:rsidDel="00000000" w:rsidP="00000000" w:rsidRDefault="00000000" w:rsidRPr="00000000" w14:paraId="000000C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ageBreakBefore w:val="0"/>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Table 4 further examines Indonesia’s development strategy against those of emerging economies on a global scale. Reasonably, emerging economies such as China, South Korea, Singapore and India have devoted the majority of their efforts into intermediate industry groups while developed economies such as Indonesia should have relied more on advanced industry groups. This trend holds true in general, regardless of the continent or the time period, and serves as an indicator for which phase of development a country is currently in as evaluated from its production strategy. Based on this standard, Indonesia is indeed adopting a moderate but slightly out-of-phase strategy that seeks development in industry groups with a lower level of complexity than it should.</w:t>
      </w:r>
      <w:r w:rsidDel="00000000" w:rsidR="00000000" w:rsidRPr="00000000">
        <w:rPr>
          <w:rtl w:val="0"/>
        </w:rPr>
      </w:r>
    </w:p>
    <w:p w:rsidR="00000000" w:rsidDel="00000000" w:rsidP="00000000" w:rsidRDefault="00000000" w:rsidRPr="00000000" w14:paraId="000000C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E">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F">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Suggested Development Vector</w:t>
      </w:r>
    </w:p>
    <w:p w:rsidR="00000000" w:rsidDel="00000000" w:rsidP="00000000" w:rsidRDefault="00000000" w:rsidRPr="00000000" w14:paraId="000000D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 are often in better shape.</w:t>
      </w:r>
    </w:p>
    <w:p w:rsidR="00000000" w:rsidDel="00000000" w:rsidP="00000000" w:rsidRDefault="00000000" w:rsidRPr="00000000" w14:paraId="000000D1">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9750" cy="2876550"/>
            <wp:effectExtent b="0" l="0" r="0" t="0"/>
            <wp:docPr id="27" name="image28.jpg"/>
            <a:graphic>
              <a:graphicData uri="http://schemas.openxmlformats.org/drawingml/2006/picture">
                <pic:pic>
                  <pic:nvPicPr>
                    <pic:cNvPr id="0" name="image28.jpg"/>
                    <pic:cNvPicPr preferRelativeResize="0"/>
                  </pic:nvPicPr>
                  <pic:blipFill>
                    <a:blip r:embed="rId12"/>
                    <a:srcRect b="0" l="1007" r="0" t="0"/>
                    <a:stretch>
                      <a:fillRect/>
                    </a:stretch>
                  </pic:blipFill>
                  <pic:spPr>
                    <a:xfrm>
                      <a:off x="0" y="0"/>
                      <a:ext cx="56197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7850" cy="3038475"/>
            <wp:effectExtent b="0" l="0" r="0" t="0"/>
            <wp:docPr id="11"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6578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Opportunity Gain Ranking on a Comparable Scale for 2013(up) and 2018 (down)</w:t>
      </w:r>
    </w:p>
    <w:p w:rsidR="00000000" w:rsidDel="00000000" w:rsidP="00000000" w:rsidRDefault="00000000" w:rsidRPr="00000000" w14:paraId="000000D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the ranking of opportunity gain for a country c, as the Suggested Development Vector (SDV) of c. Table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Indonesia shares the characters of developing countries, with a balanced economics structure that leans towards intermediate-level industries. </w:t>
      </w:r>
    </w:p>
    <w:p w:rsidR="00000000" w:rsidDel="00000000" w:rsidP="00000000" w:rsidRDefault="00000000" w:rsidRPr="00000000" w14:paraId="000000D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57400"/>
            <wp:effectExtent b="0" l="0" r="0" t="0"/>
            <wp:docPr id="16"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57340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Opportunity Gain Ranking on a Global Scale</w:t>
      </w:r>
    </w:p>
    <w:p w:rsidR="00000000" w:rsidDel="00000000" w:rsidP="00000000" w:rsidRDefault="00000000" w:rsidRPr="00000000" w14:paraId="000000D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Budgeted Industry Development Strategy and Interpretation</w:t>
      </w:r>
    </w:p>
    <w:p w:rsidR="00000000" w:rsidDel="00000000" w:rsidP="00000000" w:rsidRDefault="00000000" w:rsidRPr="00000000" w14:paraId="000000DE">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E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8888" cy="1141284"/>
            <wp:effectExtent b="0" l="0" r="0" t="0"/>
            <wp:docPr id="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k(x) is the second largest eigenvector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CC'</m:t>
            </m:r>
          </m:sub>
        </m:sSub>
      </m:oMath>
      <w:r w:rsidDel="00000000" w:rsidR="00000000" w:rsidRPr="00000000">
        <w:rPr>
          <w:rFonts w:ascii="Times New Roman" w:cs="Times New Roman" w:eastAsia="Times New Roman" w:hAnsi="Times New Roman"/>
          <w:sz w:val="24"/>
          <w:szCs w:val="24"/>
          <w:rtl w:val="0"/>
        </w:rPr>
        <w:t xml:space="preserve"> after adding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to the original export vector, C is the country that we are interested in, P is the product space, B is the heuristic budget. </w:t>
      </w:r>
    </w:p>
    <w:p w:rsidR="00000000" w:rsidDel="00000000" w:rsidP="00000000" w:rsidRDefault="00000000" w:rsidRPr="00000000" w14:paraId="000000E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can solve this problem, then we can know what the largest ECI that a country can improve to. Accordingly, the optimal solution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8">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8363" cy="718630"/>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ECI</m:t>
            </m:r>
          </m:e>
          <m:sub>
            <m:r>
              <w:rPr>
                <w:rFonts w:ascii="Times New Roman" w:cs="Times New Roman" w:eastAsia="Times New Roman" w:hAnsi="Times New Roman"/>
                <w:sz w:val="24"/>
                <w:szCs w:val="24"/>
              </w:rPr>
              <m:t xml:space="preserve">p</m:t>
            </m:r>
          </m:sub>
        </m:sSub>
      </m:oMath>
      <w:r w:rsidDel="00000000" w:rsidR="00000000" w:rsidRPr="00000000">
        <w:rPr>
          <w:rFonts w:ascii="Times New Roman" w:cs="Times New Roman" w:eastAsia="Times New Roman" w:hAnsi="Times New Roman"/>
          <w:sz w:val="24"/>
          <w:szCs w:val="24"/>
          <w:rtl w:val="0"/>
        </w:rPr>
        <w:t xml:space="preserve"> is just the ECI of the country after adding some amount of export increment to product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which is exactly the amount that is able to make ECI change. Also, we can express it in the way of </w:t>
      </w:r>
      <m:oMath>
        <m:r>
          <w:rPr>
            <w:rFonts w:ascii="Times New Roman" w:cs="Times New Roman" w:eastAsia="Times New Roman" w:hAnsi="Times New Roman"/>
            <w:sz w:val="24"/>
            <w:szCs w:val="24"/>
          </w:rPr>
          <m:t xml:space="preserve">||</m:t>
        </m: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0</m:t>
            </m:r>
          </m:sub>
        </m:sSub>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B">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 of parts and selecting the portfolio with the largest ECI increment and most complex economic structure. </w:t>
      </w:r>
    </w:p>
    <w:p w:rsidR="00000000" w:rsidDel="00000000" w:rsidP="00000000" w:rsidRDefault="00000000" w:rsidRPr="00000000" w14:paraId="000000E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pageBreakBefore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Besides, it is quite common that there is a surplus for the budget. To deal with the surplus, we just add it to the product which needs the least amount of dollar to make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sz w:val="24"/>
          <w:szCs w:val="24"/>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F">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 Panel:</w:t>
      </w:r>
    </w:p>
    <w:p w:rsidR="00000000" w:rsidDel="00000000" w:rsidP="00000000" w:rsidRDefault="00000000" w:rsidRPr="00000000" w14:paraId="000000F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above, the enhanced greedy algorithm is developed mainly for solving the optimal allocation strategy. In order to visualize this allocation, an economic panel is created, consisting of a pie chart, a line chart and a table. Firstly, a pie chart is used to show the percentage of each product in the optimal portfolio. The number located in the center of the circle denotes the heuristic growth of total export, which is also our budget. For example, for the first pie chart below, it shows we should allocate 25% for food and preparations, animals and by-products, and chemicals. In addition, we should allocate 12.5% for raw manufacturing and chemical manufacturing. The lines below the pie charts show how the ECI changes during the searching process of the greedy algorithm. For example, in the last pie chart, we can see there are three components, but there are four increments in the last line chart. That is just because many equalized amounts have been invested in high-complexity products. Even though sometimes people may feel 15% and 20% is nonsense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0F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44700"/>
            <wp:effectExtent b="0" l="0" r="0" t="0"/>
            <wp:docPr id="1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44700"/>
            <wp:effectExtent b="0" l="0" r="0" t="0"/>
            <wp:docPr id="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1739900"/>
            <wp:effectExtent b="0" l="0" r="0" t="0"/>
            <wp:docPr id="23" name="image30.jpg"/>
            <a:graphic>
              <a:graphicData uri="http://schemas.openxmlformats.org/drawingml/2006/picture">
                <pic:pic>
                  <pic:nvPicPr>
                    <pic:cNvPr id="0" name="image30.jpg"/>
                    <pic:cNvPicPr preferRelativeResize="0"/>
                  </pic:nvPicPr>
                  <pic:blipFill>
                    <a:blip r:embed="rId19"/>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0F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economic panel for Indonesia in 2013. We can see that for different percentages of heuristic total export growth, the ECI of Indonesia has different performance. From all the four line graphs, we see that Indonesia already obtains some great increment in terms of ECI. Most importantly, the higher the budget is, the greater the ECI will be. This means that in both short term and long term, Indonesia still has great room to improve. For the case of 5 percent growth, the ECI increment is because of services industry, chemical manufacturing and food products. For the 10, 15 and 20 percent, both services industry and daily instrument serve as the main power for the ECI increment.</w:t>
      </w:r>
    </w:p>
    <w:p w:rsidR="00000000" w:rsidDel="00000000" w:rsidP="00000000" w:rsidRDefault="00000000" w:rsidRPr="00000000" w14:paraId="000000F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20900"/>
            <wp:effectExtent b="0" l="0" r="0" t="0"/>
            <wp:docPr id="2"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20900"/>
            <wp:effectExtent b="0" l="0" r="0" t="0"/>
            <wp:docPr id="30"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70100"/>
            <wp:effectExtent b="0" l="0" r="0" t="0"/>
            <wp:docPr id="29" name="image25.jpg"/>
            <a:graphic>
              <a:graphicData uri="http://schemas.openxmlformats.org/drawingml/2006/picture">
                <pic:pic>
                  <pic:nvPicPr>
                    <pic:cNvPr id="0" name="image25.jpg"/>
                    <pic:cNvPicPr preferRelativeResize="0"/>
                  </pic:nvPicPr>
                  <pic:blipFill>
                    <a:blip r:embed="rId22"/>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further suggestions on Indonesia’s development in the future. We also offer the optimization result of Indonesia based on export data in 2018. Below is the economic panel for Indonesia in 2018. We can see that for different percentages of heuristic total export growth, the ECI growth pattern of Indonesia is more stronger than the one in 2013. From all the four line graphs, we see that Greece already obtains some great increment in terms of ECI. Most importantly, the higher the budget is, the greater the ECI will be. This means that in both short term and long term, Greece still has great room to improve. For the case of 5 and 10 percent growth, ECI increment can be attributed to the development of machinery products and services industry. Therefore, for future strategy, Indonesia should prioritize development of services and utilities as well as machinery and construction, which causes the great jumps in the last two stages. And then daily instrument, in order to optimize ECI.</w:t>
      </w:r>
    </w:p>
    <w:p w:rsidR="00000000" w:rsidDel="00000000" w:rsidP="00000000" w:rsidRDefault="00000000" w:rsidRPr="00000000" w14:paraId="0000010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044700"/>
            <wp:effectExtent b="0" l="0" r="0" t="0"/>
            <wp:docPr id="32"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86438" cy="2019300"/>
            <wp:effectExtent b="0" l="0" r="0" t="0"/>
            <wp:docPr id="31" name="image27.png"/>
            <a:graphic>
              <a:graphicData uri="http://schemas.openxmlformats.org/drawingml/2006/picture">
                <pic:pic>
                  <pic:nvPicPr>
                    <pic:cNvPr id="0" name="image27.png"/>
                    <pic:cNvPicPr preferRelativeResize="0"/>
                  </pic:nvPicPr>
                  <pic:blipFill>
                    <a:blip r:embed="rId24"/>
                    <a:srcRect b="0" l="2114" r="0" t="0"/>
                    <a:stretch>
                      <a:fillRect/>
                    </a:stretch>
                  </pic:blipFill>
                  <pic:spPr>
                    <a:xfrm>
                      <a:off x="0" y="0"/>
                      <a:ext cx="5786438"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1651000"/>
            <wp:effectExtent b="0" l="0" r="0" t="0"/>
            <wp:docPr id="3" name="image21.jpg"/>
            <a:graphic>
              <a:graphicData uri="http://schemas.openxmlformats.org/drawingml/2006/picture">
                <pic:pic>
                  <pic:nvPicPr>
                    <pic:cNvPr id="0" name="image21.jpg"/>
                    <pic:cNvPicPr preferRelativeResize="0"/>
                  </pic:nvPicPr>
                  <pic:blipFill>
                    <a:blip r:embed="rId25"/>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9">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A">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D">
      <w:pPr>
        <w:pageBreakBefore w:val="0"/>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and Contingency Strategy</w:t>
      </w:r>
    </w:p>
    <w:p w:rsidR="00000000" w:rsidDel="00000000" w:rsidP="00000000" w:rsidRDefault="00000000" w:rsidRPr="00000000" w14:paraId="0000010E">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section our broad aim is to understand how sensitive Indonesia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w:t>
      </w:r>
    </w:p>
    <w:p w:rsidR="00000000" w:rsidDel="00000000" w:rsidP="00000000" w:rsidRDefault="00000000" w:rsidRPr="00000000" w14:paraId="0000010F">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ECI Sensitivity Graph</w:t>
      </w:r>
    </w:p>
    <w:p w:rsidR="00000000" w:rsidDel="00000000" w:rsidP="00000000" w:rsidRDefault="00000000" w:rsidRPr="00000000" w14:paraId="00000110">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11">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1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00700" cy="2657475"/>
            <wp:effectExtent b="0" l="0" r="0" t="0"/>
            <wp:docPr id="17" name="image2.jpg"/>
            <a:graphic>
              <a:graphicData uri="http://schemas.openxmlformats.org/drawingml/2006/picture">
                <pic:pic>
                  <pic:nvPicPr>
                    <pic:cNvPr id="0" name="image2.jpg"/>
                    <pic:cNvPicPr preferRelativeResize="0"/>
                  </pic:nvPicPr>
                  <pic:blipFill>
                    <a:blip r:embed="rId26"/>
                    <a:srcRect b="0" l="0" r="0" t="9709"/>
                    <a:stretch>
                      <a:fillRect/>
                    </a:stretch>
                  </pic:blipFill>
                  <pic:spPr>
                    <a:xfrm>
                      <a:off x="0" y="0"/>
                      <a:ext cx="56007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ageBreakBefore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2018 (Incremental ECI Sensitivity)</w:t>
      </w:r>
    </w:p>
    <w:p w:rsidR="00000000" w:rsidDel="00000000" w:rsidP="00000000" w:rsidRDefault="00000000" w:rsidRPr="00000000" w14:paraId="00000114">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SDV sensitivity</w:t>
      </w:r>
    </w:p>
    <w:p w:rsidR="00000000" w:rsidDel="00000000" w:rsidP="00000000" w:rsidRDefault="00000000" w:rsidRPr="00000000" w14:paraId="00000116">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17">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1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739900"/>
            <wp:effectExtent b="0" l="0" r="0" t="0"/>
            <wp:docPr id="20" name="image4.jpg"/>
            <a:graphic>
              <a:graphicData uri="http://schemas.openxmlformats.org/drawingml/2006/picture">
                <pic:pic>
                  <pic:nvPicPr>
                    <pic:cNvPr id="0" name="image4.jpg"/>
                    <pic:cNvPicPr preferRelativeResize="0"/>
                  </pic:nvPicPr>
                  <pic:blipFill>
                    <a:blip r:embed="rId27"/>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ageBreakBefore w:val="0"/>
        <w:spacing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High-complexity Products 2018 (Incremental SDV Sensitivity)</w:t>
      </w:r>
    </w:p>
    <w:p w:rsidR="00000000" w:rsidDel="00000000" w:rsidP="00000000" w:rsidRDefault="00000000" w:rsidRPr="00000000" w14:paraId="0000011C">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Results and Interpretation</w:t>
      </w:r>
    </w:p>
    <w:p w:rsidR="00000000" w:rsidDel="00000000" w:rsidP="00000000" w:rsidRDefault="00000000" w:rsidRPr="00000000" w14:paraId="0000011F">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Indonesia’s 2018 ECI Sensitivity Charts. Firstly in the positive chart, we notice that an increase in exports of High Complexity Products and Transportation lead to significant increases in ECI however export levels must be expanded by over 125%. The majority of the remaining industries have little effect on theECI gains. </w:t>
      </w:r>
    </w:p>
    <w:p w:rsidR="00000000" w:rsidDel="00000000" w:rsidP="00000000" w:rsidRDefault="00000000" w:rsidRPr="00000000" w14:paraId="00000121">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Indonesia’s 2018 Negative Shock chart. We can see that Indonesia is fairly sensitive to the majority of the industries though the absolute range of the ECI on either side is not drastic. Indonesia is most sensitive to Raw manufacturing however export drops of over 40% are needed to experience the decrease in ECI. </w:t>
      </w:r>
    </w:p>
    <w:p w:rsidR="00000000" w:rsidDel="00000000" w:rsidP="00000000" w:rsidRDefault="00000000" w:rsidRPr="00000000" w14:paraId="0000012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091113" cy="2554949"/>
            <wp:effectExtent b="0" l="0" r="0" t="0"/>
            <wp:docPr id="19" name="image22.jpg"/>
            <a:graphic>
              <a:graphicData uri="http://schemas.openxmlformats.org/drawingml/2006/picture">
                <pic:pic>
                  <pic:nvPicPr>
                    <pic:cNvPr id="0" name="image22.jpg"/>
                    <pic:cNvPicPr preferRelativeResize="0"/>
                  </pic:nvPicPr>
                  <pic:blipFill>
                    <a:blip r:embed="rId28"/>
                    <a:srcRect b="0" l="0" r="0" t="0"/>
                    <a:stretch>
                      <a:fillRect/>
                    </a:stretch>
                  </pic:blipFill>
                  <pic:spPr>
                    <a:xfrm>
                      <a:off x="0" y="0"/>
                      <a:ext cx="5091113" cy="2554949"/>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Indonesia 2018 (Incremental ECI Sensitivity)</w:t>
      </w:r>
      <w:r w:rsidDel="00000000" w:rsidR="00000000" w:rsidRPr="00000000">
        <w:rPr>
          <w:rtl w:val="0"/>
        </w:rPr>
      </w:r>
    </w:p>
    <w:p w:rsidR="00000000" w:rsidDel="00000000" w:rsidP="00000000" w:rsidRDefault="00000000" w:rsidRPr="00000000" w14:paraId="00000126">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7">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018719" cy="2528888"/>
            <wp:effectExtent b="0" l="0" r="0" t="0"/>
            <wp:docPr id="9" name="image19.jpg"/>
            <a:graphic>
              <a:graphicData uri="http://schemas.openxmlformats.org/drawingml/2006/picture">
                <pic:pic>
                  <pic:nvPicPr>
                    <pic:cNvPr id="0" name="image19.jpg"/>
                    <pic:cNvPicPr preferRelativeResize="0"/>
                  </pic:nvPicPr>
                  <pic:blipFill>
                    <a:blip r:embed="rId29"/>
                    <a:srcRect b="0" l="0" r="0" t="0"/>
                    <a:stretch>
                      <a:fillRect/>
                    </a:stretch>
                  </pic:blipFill>
                  <pic:spPr>
                    <a:xfrm>
                      <a:off x="0" y="0"/>
                      <a:ext cx="5018719"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 2018 (Decremental  ECI Sensitivity)</w:t>
      </w:r>
    </w:p>
    <w:p w:rsidR="00000000" w:rsidDel="00000000" w:rsidP="00000000" w:rsidRDefault="00000000" w:rsidRPr="00000000" w14:paraId="00000129">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the 2013 ECI Sensitivity graphs. We see that in the positive shocking case the 2013 profile is fairly similar to the 2018 sensitivity profile.  increase in exports of High Complexity Products and Transportation lead to significant increases in ECI however export levels must be expanded by over 125%. </w:t>
      </w:r>
    </w:p>
    <w:p w:rsidR="00000000" w:rsidDel="00000000" w:rsidP="00000000" w:rsidRDefault="00000000" w:rsidRPr="00000000" w14:paraId="0000012B">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2013 negative shocking case, we see that again Indonesia is marginally less sensitive to downturns than in the 2018 sensitivity profile. This suggests that Indonesia has become more sensitive to export downturns in the recent past as their economy begins to rely more heavily on a wider spectrum of industries to bolster their ECI score. We also see that decreases in export of Animals and By-Products as well as Energy and Drilling actually increase ECI significantly. </w:t>
      </w:r>
    </w:p>
    <w:p w:rsidR="00000000" w:rsidDel="00000000" w:rsidP="00000000" w:rsidRDefault="00000000" w:rsidRPr="00000000" w14:paraId="0000012D">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19763" cy="2823216"/>
            <wp:effectExtent b="0" l="0" r="0" t="0"/>
            <wp:docPr id="13" name="image8.jpg"/>
            <a:graphic>
              <a:graphicData uri="http://schemas.openxmlformats.org/drawingml/2006/picture">
                <pic:pic>
                  <pic:nvPicPr>
                    <pic:cNvPr id="0" name="image8.jpg"/>
                    <pic:cNvPicPr preferRelativeResize="0"/>
                  </pic:nvPicPr>
                  <pic:blipFill>
                    <a:blip r:embed="rId30"/>
                    <a:srcRect b="0" l="0" r="0" t="0"/>
                    <a:stretch>
                      <a:fillRect/>
                    </a:stretch>
                  </pic:blipFill>
                  <pic:spPr>
                    <a:xfrm>
                      <a:off x="0" y="0"/>
                      <a:ext cx="5719763" cy="2823216"/>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 2013 (Incremental ECI Sensitivity)</w:t>
      </w:r>
    </w:p>
    <w:p w:rsidR="00000000" w:rsidDel="00000000" w:rsidP="00000000" w:rsidRDefault="00000000" w:rsidRPr="00000000" w14:paraId="00000130">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67288" cy="2475709"/>
            <wp:effectExtent b="0" l="0" r="0" t="0"/>
            <wp:docPr id="14" name="image14.jpg"/>
            <a:graphic>
              <a:graphicData uri="http://schemas.openxmlformats.org/drawingml/2006/picture">
                <pic:pic>
                  <pic:nvPicPr>
                    <pic:cNvPr id="0" name="image14.jpg"/>
                    <pic:cNvPicPr preferRelativeResize="0"/>
                  </pic:nvPicPr>
                  <pic:blipFill>
                    <a:blip r:embed="rId31"/>
                    <a:srcRect b="0" l="0" r="0" t="0"/>
                    <a:stretch>
                      <a:fillRect/>
                    </a:stretch>
                  </pic:blipFill>
                  <pic:spPr>
                    <a:xfrm>
                      <a:off x="0" y="0"/>
                      <a:ext cx="4967288" cy="2475709"/>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 2013 (Decremental  ECI Sensitivity)</w:t>
      </w:r>
    </w:p>
    <w:p w:rsidR="00000000" w:rsidDel="00000000" w:rsidP="00000000" w:rsidRDefault="00000000" w:rsidRPr="00000000" w14:paraId="00000134">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5">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Below we see the SDV sensitivity charts for High Complexity Products. We see that in both the positive shocking and negative shocking cases Indonesia’s SDV is fairly insensitive to changes in High Complexity Product export levels. We see some shifting around of industries from positive to neutral however no major changes or trends are apparent. </w:t>
      </w:r>
      <w:r w:rsidDel="00000000" w:rsidR="00000000" w:rsidRPr="00000000">
        <w:rPr>
          <w:rtl w:val="0"/>
        </w:rPr>
      </w:r>
    </w:p>
    <w:p w:rsidR="00000000" w:rsidDel="00000000" w:rsidP="00000000" w:rsidRDefault="00000000" w:rsidRPr="00000000" w14:paraId="00000136">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7">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29238" cy="2570674"/>
            <wp:effectExtent b="0" l="0" r="0" t="0"/>
            <wp:docPr id="24" name="image18.jpg"/>
            <a:graphic>
              <a:graphicData uri="http://schemas.openxmlformats.org/drawingml/2006/picture">
                <pic:pic>
                  <pic:nvPicPr>
                    <pic:cNvPr id="0" name="image18.jpg"/>
                    <pic:cNvPicPr preferRelativeResize="0"/>
                  </pic:nvPicPr>
                  <pic:blipFill>
                    <a:blip r:embed="rId32"/>
                    <a:srcRect b="0" l="0" r="0" t="0"/>
                    <a:stretch>
                      <a:fillRect/>
                    </a:stretch>
                  </pic:blipFill>
                  <pic:spPr>
                    <a:xfrm>
                      <a:off x="0" y="0"/>
                      <a:ext cx="5329238" cy="2570674"/>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ageBreakBefore w:val="0"/>
        <w:spacing w:line="240" w:lineRule="auto"/>
        <w:ind w:left="720"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Indonesia High-complexity Products 2018 (Decremental SDV Sensitivity)</w:t>
      </w:r>
      <w:r w:rsidDel="00000000" w:rsidR="00000000" w:rsidRPr="00000000">
        <w:rPr>
          <w:rtl w:val="0"/>
        </w:rPr>
      </w:r>
    </w:p>
    <w:p w:rsidR="00000000" w:rsidDel="00000000" w:rsidP="00000000" w:rsidRDefault="00000000" w:rsidRPr="00000000" w14:paraId="00000139">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A">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861202" cy="2490788"/>
            <wp:effectExtent b="0" l="0" r="0" t="0"/>
            <wp:docPr id="7" name="image15.jpg"/>
            <a:graphic>
              <a:graphicData uri="http://schemas.openxmlformats.org/drawingml/2006/picture">
                <pic:pic>
                  <pic:nvPicPr>
                    <pic:cNvPr id="0" name="image15.jpg"/>
                    <pic:cNvPicPr preferRelativeResize="0"/>
                  </pic:nvPicPr>
                  <pic:blipFill>
                    <a:blip r:embed="rId33"/>
                    <a:srcRect b="0" l="0" r="0" t="0"/>
                    <a:stretch>
                      <a:fillRect/>
                    </a:stretch>
                  </pic:blipFill>
                  <pic:spPr>
                    <a:xfrm>
                      <a:off x="0" y="0"/>
                      <a:ext cx="4861202"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 High-complexity Products 2018 (Incremental SDV Sensitivity)</w:t>
      </w:r>
    </w:p>
    <w:p w:rsidR="00000000" w:rsidDel="00000000" w:rsidP="00000000" w:rsidRDefault="00000000" w:rsidRPr="00000000" w14:paraId="0000013C">
      <w:pPr>
        <w:pageBreakBefore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pageBreakBefore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E">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Below we see the SDV sensitivity charts for Food and Preparations. As expected for a developed country, Indonesia is not very sensitive in both the positive shocking and negative shocking case to Food and Preparations. The country's SDV is largely unaffected by this particular industry.</w:t>
      </w:r>
      <w:r w:rsidDel="00000000" w:rsidR="00000000" w:rsidRPr="00000000">
        <w:rPr>
          <w:rtl w:val="0"/>
        </w:rPr>
      </w:r>
    </w:p>
    <w:p w:rsidR="00000000" w:rsidDel="00000000" w:rsidP="00000000" w:rsidRDefault="00000000" w:rsidRPr="00000000" w14:paraId="00000140">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1">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2">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005803" cy="2490788"/>
            <wp:effectExtent b="0" l="0" r="0" t="0"/>
            <wp:docPr id="1" name="image9.jpg"/>
            <a:graphic>
              <a:graphicData uri="http://schemas.openxmlformats.org/drawingml/2006/picture">
                <pic:pic>
                  <pic:nvPicPr>
                    <pic:cNvPr id="0" name="image9.jpg"/>
                    <pic:cNvPicPr preferRelativeResize="0"/>
                  </pic:nvPicPr>
                  <pic:blipFill>
                    <a:blip r:embed="rId34"/>
                    <a:srcRect b="0" l="0" r="0" t="0"/>
                    <a:stretch>
                      <a:fillRect/>
                    </a:stretch>
                  </pic:blipFill>
                  <pic:spPr>
                    <a:xfrm>
                      <a:off x="0" y="0"/>
                      <a:ext cx="4005803"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 Food and Preparations 2018 (Decremental SDV Sensitivity)</w:t>
      </w:r>
    </w:p>
    <w:p w:rsidR="00000000" w:rsidDel="00000000" w:rsidP="00000000" w:rsidRDefault="00000000" w:rsidRPr="00000000" w14:paraId="00000144">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5">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1512720" cy="2833688"/>
            <wp:effectExtent b="0" l="0" r="0" t="0"/>
            <wp:docPr id="28" name="image26.jpg"/>
            <a:graphic>
              <a:graphicData uri="http://schemas.openxmlformats.org/drawingml/2006/picture">
                <pic:pic>
                  <pic:nvPicPr>
                    <pic:cNvPr id="0" name="image26.jpg"/>
                    <pic:cNvPicPr preferRelativeResize="0"/>
                  </pic:nvPicPr>
                  <pic:blipFill>
                    <a:blip r:embed="rId35"/>
                    <a:srcRect b="0" l="0" r="0" t="0"/>
                    <a:stretch>
                      <a:fillRect/>
                    </a:stretch>
                  </pic:blipFill>
                  <pic:spPr>
                    <a:xfrm>
                      <a:off x="0" y="0"/>
                      <a:ext cx="1512720" cy="2833688"/>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 Food and Preparations 2018 (Incremental SDV Sensitivity)</w:t>
      </w:r>
    </w:p>
    <w:p w:rsidR="00000000" w:rsidDel="00000000" w:rsidP="00000000" w:rsidRDefault="00000000" w:rsidRPr="00000000" w14:paraId="0000014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8">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9">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4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B">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Structural Optimality Index</w:t>
      </w:r>
    </w:p>
    <w:p w:rsidR="00000000" w:rsidDel="00000000" w:rsidP="00000000" w:rsidRDefault="00000000" w:rsidRPr="00000000" w14:paraId="0000014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4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4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0">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 Variable: </w:t>
            </w:r>
            <w:r w:rsidDel="00000000" w:rsidR="00000000" w:rsidRPr="00000000">
              <w:rPr>
                <w:rFonts w:ascii="Times New Roman" w:cs="Times New Roman" w:eastAsia="Times New Roman" w:hAnsi="Times New Roman"/>
                <w:sz w:val="24"/>
                <w:szCs w:val="24"/>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F-Statistic: </w:t>
            </w:r>
            <w:r w:rsidDel="00000000" w:rsidR="00000000" w:rsidRPr="00000000">
              <w:rPr>
                <w:rFonts w:ascii="Times New Roman" w:cs="Times New Roman" w:eastAsia="Times New Roman" w:hAnsi="Times New Roman"/>
                <w:sz w:val="24"/>
                <w:szCs w:val="24"/>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 (F-Stat):</w:t>
            </w:r>
            <w:r w:rsidDel="00000000" w:rsidR="00000000" w:rsidRPr="00000000">
              <w:rPr>
                <w:rFonts w:ascii="Times New Roman" w:cs="Times New Roman" w:eastAsia="Times New Roman" w:hAnsi="Times New Roman"/>
                <w:sz w:val="24"/>
                <w:szCs w:val="24"/>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 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Observations: </w:t>
            </w:r>
            <w:r w:rsidDel="00000000" w:rsidR="00000000" w:rsidRPr="00000000">
              <w:rPr>
                <w:rFonts w:ascii="Times New Roman" w:cs="Times New Roman" w:eastAsia="Times New Roman" w:hAnsi="Times New Roman"/>
                <w:sz w:val="24"/>
                <w:szCs w:val="24"/>
                <w:rtl w:val="0"/>
              </w:rPr>
              <w:t xml:space="preserve">106</w:t>
            </w:r>
          </w:p>
        </w:tc>
      </w:tr>
    </w:tbl>
    <w:p w:rsidR="00000000" w:rsidDel="00000000" w:rsidP="00000000" w:rsidRDefault="00000000" w:rsidRPr="00000000" w14:paraId="0000015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5"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5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Regression of Five-year GDP Growth over SOI</w:t>
      </w:r>
    </w:p>
    <w:p w:rsidR="00000000" w:rsidDel="00000000" w:rsidP="00000000" w:rsidRDefault="00000000" w:rsidRPr="00000000" w14:paraId="0000015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SOI of Indonesia and Its Implications</w:t>
      </w:r>
    </w:p>
    <w:p w:rsidR="00000000" w:rsidDel="00000000" w:rsidP="00000000" w:rsidRDefault="00000000" w:rsidRPr="00000000" w14:paraId="0000015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 for instance, has a low level of structural optimality. As the regression in Figure 7 suggests (the orange curve represents export increase and the blue curve stands for opportunity gain of the corresponding industry), Indonesia demonstrates a low level of correlation with the suggested developmental path, having an adjusted R-square of around -5.8%. Malaysia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ranks 100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place among all countries in terms of SOI and has an 5-year growth rate of 38.0% from 2013 to 2018, which is somewhat inconsistent with the regression result in Figure 6. Indonesia has grown much faster than the SOI model expected. Still, Indonesia’s amazing economic progress from 2013 to 2018 can be at least partially explained by an above average optimal development strategy that demonstrates a considerable level of matches with our suggested developmental path. </w:t>
      </w:r>
    </w:p>
    <w:p w:rsidR="00000000" w:rsidDel="00000000" w:rsidP="00000000" w:rsidRDefault="00000000" w:rsidRPr="00000000" w14:paraId="0000015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74900"/>
            <wp:effectExtent b="0" l="0" r="0" t="0"/>
            <wp:docPr id="21"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ageBreakBefore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7: SOI of Indonesia (2013-2018) </w:t>
      </w:r>
      <w:r w:rsidDel="00000000" w:rsidR="00000000" w:rsidRPr="00000000">
        <w:rPr>
          <w:rtl w:val="0"/>
        </w:rPr>
      </w:r>
    </w:p>
    <w:p w:rsidR="00000000" w:rsidDel="00000000" w:rsidP="00000000" w:rsidRDefault="00000000" w:rsidRPr="00000000" w14:paraId="00000161">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2">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6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Indonesia has demonstrated a low level of economic growth in terms of GDP during the period from 2013 to 2018, concurrent with a stagnation in economic complexity as compared with other major Asian economies. </w:t>
      </w:r>
    </w:p>
    <w:p w:rsidR="00000000" w:rsidDel="00000000" w:rsidP="00000000" w:rsidRDefault="00000000" w:rsidRPr="00000000" w14:paraId="0000016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Indonesia on the industry group level. The product classification system we adopt allows us to measure the realized industry development for various industry groups and to observe that Indonesia invested heavily in developing Precious Stones, Chemical Manufacturing, and Clothing and Accessories during the period, while its emerging peers and developed economies around the globe have adopted much more complex and progressive paths.</w:t>
      </w:r>
    </w:p>
    <w:p w:rsidR="00000000" w:rsidDel="00000000" w:rsidP="00000000" w:rsidRDefault="00000000" w:rsidRPr="00000000" w14:paraId="0000016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Indonesia can further its gains by prioritizing Services and Utilities. We further note that Indonesia has a slightly mismatched development strategy that indicates a low level of structural optimality on the complexity level, having an adjusted R-square of around -5.8%. Since a significant positive correlation exists between five-year GDP growth and the structural optimality index of an economy as we define and calculate, Indonesia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69">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A">
      <w:pPr>
        <w:pageBreakBefore w:val="0"/>
        <w:spacing w:line="24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B">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6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D">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Hausmann, R., Hidalgo, C., Bustos, S., Coscia, M., Chung, S., Jimenez, J., Simoes, A. and Yıldırım, M. (2007). </w:t>
      </w:r>
      <w:r w:rsidDel="00000000" w:rsidR="00000000" w:rsidRPr="00000000">
        <w:rPr>
          <w:rFonts w:ascii="Times New Roman" w:cs="Times New Roman" w:eastAsia="Times New Roman" w:hAnsi="Times New Roman"/>
          <w:i w:val="1"/>
          <w:iCs w:val="1"/>
          <w:sz w:val="24"/>
          <w:szCs w:val="24"/>
          <w:highlight w:val="white"/>
          <w:rtl w:val="0"/>
        </w:rPr>
        <w:t xml:space="preserve">The Atlas of Economic Complexity</w:t>
      </w:r>
      <w:r w:rsidDel="00000000" w:rsidR="00000000" w:rsidRPr="00000000">
        <w:rPr>
          <w:rFonts w:ascii="Times New Roman" w:cs="Times New Roman" w:eastAsia="Times New Roman" w:hAnsi="Times New Roman"/>
          <w:sz w:val="24"/>
          <w:szCs w:val="24"/>
          <w:highlight w:val="white"/>
          <w:rtl w:val="0"/>
        </w:rPr>
        <w:t xml:space="preserve">. [online] Atlas.cid.harvard.edu. Available at: http://atlas.cid.harvard.edu/.</w:t>
      </w:r>
    </w:p>
    <w:p w:rsidR="00000000" w:rsidDel="00000000" w:rsidP="00000000" w:rsidRDefault="00000000" w:rsidRPr="00000000" w14:paraId="0000016E">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F">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Balassa, B., “The Purchasing Power Parity Doctrine - A Reapprais- al,” </w:t>
      </w:r>
      <w:r w:rsidDel="00000000" w:rsidR="00000000" w:rsidRPr="00000000">
        <w:rPr>
          <w:rFonts w:ascii="Times New Roman" w:cs="Times New Roman" w:eastAsia="Times New Roman" w:hAnsi="Times New Roman"/>
          <w:i w:val="1"/>
          <w:iCs w:val="1"/>
          <w:sz w:val="24"/>
          <w:szCs w:val="24"/>
          <w:highlight w:val="white"/>
          <w:rtl w:val="0"/>
        </w:rPr>
        <w:t xml:space="preserve">Journal of Political Economy </w:t>
      </w:r>
      <w:r w:rsidDel="00000000" w:rsidR="00000000" w:rsidRPr="00000000">
        <w:rPr>
          <w:rFonts w:ascii="Times New Roman" w:cs="Times New Roman" w:eastAsia="Times New Roman" w:hAnsi="Times New Roman"/>
          <w:b w:val="1"/>
          <w:bCs w:val="1"/>
          <w:sz w:val="24"/>
          <w:szCs w:val="24"/>
          <w:highlight w:val="white"/>
          <w:rtl w:val="0"/>
        </w:rPr>
        <w:t xml:space="preserve">72</w:t>
      </w:r>
      <w:r w:rsidDel="00000000" w:rsidR="00000000" w:rsidRPr="00000000">
        <w:rPr>
          <w:rFonts w:ascii="Times New Roman" w:cs="Times New Roman" w:eastAsia="Times New Roman" w:hAnsi="Times New Roman"/>
          <w:sz w:val="24"/>
          <w:szCs w:val="24"/>
          <w:highlight w:val="white"/>
          <w:rtl w:val="0"/>
        </w:rPr>
        <w:t xml:space="preserve">, 584-596 (1964). </w:t>
      </w:r>
    </w:p>
    <w:p w:rsidR="00000000" w:rsidDel="00000000" w:rsidP="00000000" w:rsidRDefault="00000000" w:rsidRPr="00000000" w14:paraId="00000170">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1">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72">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3">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United Nations Commodity Trade Statistics Database (http://comtrade.un.org/db/), accessed in August 2019. </w:t>
      </w:r>
    </w:p>
    <w:p w:rsidR="00000000" w:rsidDel="00000000" w:rsidP="00000000" w:rsidRDefault="00000000" w:rsidRPr="00000000" w14:paraId="00000174">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5">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World Economic Forum, “The global competitiveness report,” (various years). </w:t>
      </w:r>
    </w:p>
    <w:p w:rsidR="00000000" w:rsidDel="00000000" w:rsidP="00000000" w:rsidRDefault="00000000" w:rsidRPr="00000000" w14:paraId="00000176">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7">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78">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9">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7A">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B">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7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sectPr>
      <w:foot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25.jpg"/><Relationship Id="rId21" Type="http://schemas.openxmlformats.org/officeDocument/2006/relationships/image" Target="media/image31.png"/><Relationship Id="rId24" Type="http://schemas.openxmlformats.org/officeDocument/2006/relationships/image" Target="media/image27.png"/><Relationship Id="rId23"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2.jpg"/><Relationship Id="rId25" Type="http://schemas.openxmlformats.org/officeDocument/2006/relationships/image" Target="media/image21.jpg"/><Relationship Id="rId28" Type="http://schemas.openxmlformats.org/officeDocument/2006/relationships/image" Target="media/image22.jpg"/><Relationship Id="rId27"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19.jpg"/><Relationship Id="rId7" Type="http://schemas.openxmlformats.org/officeDocument/2006/relationships/image" Target="media/image29.png"/><Relationship Id="rId8" Type="http://schemas.openxmlformats.org/officeDocument/2006/relationships/image" Target="media/image24.png"/><Relationship Id="rId31" Type="http://schemas.openxmlformats.org/officeDocument/2006/relationships/image" Target="media/image14.jpg"/><Relationship Id="rId30" Type="http://schemas.openxmlformats.org/officeDocument/2006/relationships/image" Target="media/image8.jpg"/><Relationship Id="rId11" Type="http://schemas.openxmlformats.org/officeDocument/2006/relationships/image" Target="media/image16.png"/><Relationship Id="rId33" Type="http://schemas.openxmlformats.org/officeDocument/2006/relationships/image" Target="media/image15.jpg"/><Relationship Id="rId10" Type="http://schemas.openxmlformats.org/officeDocument/2006/relationships/image" Target="media/image10.png"/><Relationship Id="rId32" Type="http://schemas.openxmlformats.org/officeDocument/2006/relationships/image" Target="media/image18.jpg"/><Relationship Id="rId13" Type="http://schemas.openxmlformats.org/officeDocument/2006/relationships/image" Target="media/image5.jpg"/><Relationship Id="rId35" Type="http://schemas.openxmlformats.org/officeDocument/2006/relationships/image" Target="media/image26.jpg"/><Relationship Id="rId12" Type="http://schemas.openxmlformats.org/officeDocument/2006/relationships/image" Target="media/image28.jpg"/><Relationship Id="rId34" Type="http://schemas.openxmlformats.org/officeDocument/2006/relationships/image" Target="media/image9.jpg"/><Relationship Id="rId15" Type="http://schemas.openxmlformats.org/officeDocument/2006/relationships/image" Target="media/image11.png"/><Relationship Id="rId37" Type="http://schemas.openxmlformats.org/officeDocument/2006/relationships/image" Target="media/image6.png"/><Relationship Id="rId14" Type="http://schemas.openxmlformats.org/officeDocument/2006/relationships/image" Target="media/image17.jpg"/><Relationship Id="rId36"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3.png"/><Relationship Id="rId38" Type="http://schemas.openxmlformats.org/officeDocument/2006/relationships/footer" Target="footer1.xml"/><Relationship Id="rId19" Type="http://schemas.openxmlformats.org/officeDocument/2006/relationships/image" Target="media/image30.jp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