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b w:val="1"/>
          <w:bCs w:val="1"/>
          <w:color w:val="695d46"/>
          <w:sz w:val="18"/>
          <w:szCs w:val="18"/>
        </w:rPr>
      </w:pPr>
      <w:bookmarkStart w:colFirst="0" w:colLast="0" w:name="_z6ne0og04bp5" w:id="0"/>
      <w:bookmarkEnd w:id="0"/>
      <w:r w:rsidDel="00000000" w:rsidR="00000000" w:rsidRPr="00000000">
        <w:rPr>
          <w:rFonts w:ascii="Open Sans" w:cs="Open Sans" w:eastAsia="Open Sans" w:hAnsi="Open Sans"/>
          <w:color w:val="695d46"/>
          <w:sz w:val="20"/>
          <w:szCs w:val="20"/>
        </w:rPr>
        <w:drawing>
          <wp:inline distB="114300" distT="114300" distL="114300" distR="114300">
            <wp:extent cx="5731200" cy="101600"/>
            <wp:effectExtent b="0" l="0" r="0" t="0"/>
            <wp:docPr descr="horizontal line" id="24" name="image17.png"/>
            <a:graphic>
              <a:graphicData uri="http://schemas.openxmlformats.org/drawingml/2006/picture">
                <pic:pic>
                  <pic:nvPicPr>
                    <pic:cNvPr descr="horizontal line" id="0" name="image17.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b w:val="1"/>
          <w:bCs w:val="1"/>
          <w:color w:val="695d46"/>
          <w:sz w:val="18"/>
          <w:szCs w:val="18"/>
        </w:rPr>
        <w:drawing>
          <wp:inline distB="114300" distT="114300" distL="114300" distR="114300">
            <wp:extent cx="5731200" cy="4000500"/>
            <wp:effectExtent b="0" l="0" r="0" t="0"/>
            <wp:docPr id="33" name="image30.png"/>
            <a:graphic>
              <a:graphicData uri="http://schemas.openxmlformats.org/drawingml/2006/picture">
                <pic:pic>
                  <pic:nvPicPr>
                    <pic:cNvPr id="0" name="image3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2"/>
          <w:szCs w:val="12"/>
          <w:rtl w:val="0"/>
        </w:rPr>
        <w:t xml:space="preserve"> https://atlas.cid.harvard.edu/</w:t>
      </w:r>
    </w:p>
    <w:p w:rsidR="00000000" w:rsidDel="00000000" w:rsidP="00000000" w:rsidRDefault="00000000" w:rsidRPr="00000000" w14:paraId="00000003">
      <w:pPr>
        <w:pStyle w:val="Title"/>
        <w:keepNext w:val="0"/>
        <w:keepLines w:val="0"/>
        <w:pageBreakBefore w:val="0"/>
        <w:spacing w:after="0" w:before="320" w:line="240" w:lineRule="auto"/>
        <w:rPr>
          <w:rFonts w:ascii="PT Sans Narrow" w:cs="PT Sans Narrow" w:eastAsia="PT Sans Narrow" w:hAnsi="PT Sans Narrow"/>
          <w:b w:val="1"/>
          <w:bCs w:val="1"/>
          <w:color w:val="666666"/>
          <w:sz w:val="56"/>
          <w:szCs w:val="56"/>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56"/>
          <w:szCs w:val="56"/>
          <w:rtl w:val="0"/>
        </w:rPr>
        <w:t xml:space="preserve">Optimal Industry Development Strategy Using Economic and Product Complexity</w:t>
      </w:r>
    </w:p>
    <w:p w:rsidR="00000000" w:rsidDel="00000000" w:rsidP="00000000" w:rsidRDefault="00000000" w:rsidRPr="00000000" w14:paraId="00000004">
      <w:pPr>
        <w:pStyle w:val="Title"/>
        <w:keepNext w:val="0"/>
        <w:keepLines w:val="0"/>
        <w:pageBreakBefore w:val="0"/>
        <w:spacing w:after="0" w:before="320" w:line="240" w:lineRule="auto"/>
        <w:rPr>
          <w:rFonts w:ascii="PT Sans Narrow" w:cs="PT Sans Narrow" w:eastAsia="PT Sans Narrow" w:hAnsi="PT Sans Narrow"/>
          <w:b w:val="1"/>
          <w:bCs w:val="1"/>
          <w:sz w:val="56"/>
          <w:szCs w:val="56"/>
        </w:rPr>
      </w:pPr>
      <w:bookmarkStart w:colFirst="0" w:colLast="0" w:name="_q5cok54tx0k8" w:id="2"/>
      <w:bookmarkEnd w:id="2"/>
      <w:r w:rsidDel="00000000" w:rsidR="00000000" w:rsidRPr="00000000">
        <w:rPr>
          <w:rFonts w:ascii="PT Sans Narrow" w:cs="PT Sans Narrow" w:eastAsia="PT Sans Narrow" w:hAnsi="PT Sans Narrow"/>
          <w:b w:val="1"/>
          <w:bCs w:val="1"/>
          <w:sz w:val="56"/>
          <w:szCs w:val="56"/>
          <w:rtl w:val="0"/>
        </w:rPr>
        <w:t xml:space="preserve">Poland</w:t>
      </w:r>
      <w:r w:rsidDel="00000000" w:rsidR="00000000" w:rsidRPr="00000000">
        <w:rPr>
          <w:rtl w:val="0"/>
        </w:rPr>
      </w:r>
    </w:p>
    <w:p w:rsidR="00000000" w:rsidDel="00000000" w:rsidP="00000000" w:rsidRDefault="00000000" w:rsidRPr="00000000" w14:paraId="00000005">
      <w:pPr>
        <w:pageBreakBefore w:val="0"/>
        <w:spacing w:lin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18"/>
          <w:szCs w:val="18"/>
        </w:rPr>
      </w:pPr>
      <w:r w:rsidDel="00000000" w:rsidR="00000000" w:rsidRPr="00000000">
        <w:rPr>
          <w:rFonts w:ascii="Arial Unicode MS" w:cs="Arial Unicode MS" w:eastAsia="Arial Unicode MS" w:hAnsi="Arial Unicode MS"/>
          <w:b w:val="1"/>
          <w:bCs w:val="1"/>
          <w:sz w:val="32"/>
          <w:szCs w:val="32"/>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240" w:lineRule="auto"/>
        <w:rPr>
          <w:rFonts w:ascii="PT Sans Narrow" w:cs="PT Sans Narrow" w:eastAsia="PT Sans Narrow" w:hAnsi="PT Sans Narrow"/>
          <w:color w:val="008575"/>
          <w:sz w:val="28"/>
          <w:szCs w:val="28"/>
        </w:rPr>
      </w:pPr>
      <w:r w:rsidDel="00000000" w:rsidR="00000000" w:rsidRPr="00000000">
        <w:rPr>
          <w:rFonts w:ascii="PT Sans Narrow" w:cs="PT Sans Narrow" w:eastAsia="PT Sans Narrow" w:hAnsi="PT Sans Narrow"/>
          <w:color w:val="008575"/>
          <w:sz w:val="28"/>
          <w:szCs w:val="28"/>
          <w:rtl w:val="0"/>
        </w:rPr>
        <w:t xml:space="preserve">The Economic Complexity Lab - Columbia University</w:t>
      </w:r>
    </w:p>
    <w:p w:rsidR="00000000" w:rsidDel="00000000" w:rsidP="00000000" w:rsidRDefault="00000000" w:rsidRPr="00000000" w14:paraId="00000008">
      <w:pPr>
        <w:pageBreakBefore w:val="0"/>
        <w:spacing w:line="240" w:lineRule="auto"/>
        <w:rPr>
          <w:rFonts w:ascii="Times New Roman" w:cs="Times New Roman" w:eastAsia="Times New Roman" w:hAnsi="Times New Roman"/>
          <w:sz w:val="40"/>
          <w:szCs w:val="40"/>
        </w:rPr>
      </w:pPr>
      <w:r w:rsidDel="00000000" w:rsidR="00000000" w:rsidRPr="00000000">
        <w:rPr>
          <w:rFonts w:ascii="PT Sans Narrow" w:cs="PT Sans Narrow" w:eastAsia="PT Sans Narrow" w:hAnsi="PT Sans Narrow"/>
          <w:sz w:val="24"/>
          <w:szCs w:val="24"/>
          <w:rtl w:val="0"/>
        </w:rPr>
        <w:t xml:space="preserve">Haoxian Chen, Davepriyan Gunaratnam, Rohan Macherla, Ajit Akole, Shomik Ghose, Alex Wei-Liang Ku, Sannidhya Modi, Xilin Wang,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spacing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Optimal Industry Development Strategy for Poland</w:t>
      </w:r>
    </w:p>
    <w:p w:rsidR="00000000" w:rsidDel="00000000" w:rsidP="00000000" w:rsidRDefault="00000000" w:rsidRPr="00000000" w14:paraId="0000000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sz w:val="24"/>
          <w:szCs w:val="24"/>
        </w:rPr>
      </w:pPr>
      <w:r w:rsidDel="00000000" w:rsidR="00000000" w:rsidRPr="00000000">
        <w:rPr>
          <w:rFonts w:ascii="Times" w:cs="Times" w:eastAsia="Times" w:hAnsi="Times"/>
          <w:b w:val="1"/>
          <w:bCs w:val="1"/>
          <w:sz w:val="28"/>
          <w:szCs w:val="28"/>
          <w:rtl w:val="0"/>
        </w:rPr>
        <w:t xml:space="preserve">0. Executive Summary</w:t>
      </w:r>
      <w:r w:rsidDel="00000000" w:rsidR="00000000" w:rsidRPr="00000000">
        <w:rPr>
          <w:rtl w:val="0"/>
        </w:rPr>
      </w:r>
    </w:p>
    <w:p w:rsidR="00000000" w:rsidDel="00000000" w:rsidP="00000000" w:rsidRDefault="00000000" w:rsidRPr="00000000" w14:paraId="0000000C">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we aim to uncover the economic path Poland went through during the period from 2013 to 2018. Specifically, we dive into the topic through a macroeconomic overview of Poland from the perspective of Gross Domestic Product (GDP) and Economic Complexity Index (ECI), which reflect countries’ production capability and production structure, respectively. We find that during the period of our interest, Poland demonstrated a low level of economic growth with an annual GDP growth rate of 3%, concurrent with a decrease in economic complexity as compared with other major economies in Europe. </w:t>
      </w:r>
    </w:p>
    <w:p w:rsidR="00000000" w:rsidDel="00000000" w:rsidP="00000000" w:rsidRDefault="00000000" w:rsidRPr="00000000" w14:paraId="0000000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Poland on the industry group level. The product classification system we adopt allows us to measure the realized industry development for various industry groups and to observe that Poland invested heavily in developing Animals and By-products, Chemical Manufacturing and Textiles during the period, while its emerging peers and developed economies around the globe have adopted much more complex and progressive paths.</w:t>
      </w:r>
    </w:p>
    <w:p w:rsidR="00000000" w:rsidDel="00000000" w:rsidP="00000000" w:rsidRDefault="00000000" w:rsidRPr="00000000" w14:paraId="00000010">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Poland can further its gains by prioritizing Services and Utilities, and Chemicals. We further note that Poland has a slightly mismatched development strategy that indicates a moderate level of structural optimality on the complexity level, having an adjusted R-square of around 20.3%. Since a significant positive correlation exists between five-year GDP growth and the structural optimality index of an economy as we define and calculate, Poland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012">
      <w:pPr>
        <w:pageBreakBefore w:val="0"/>
        <w:spacing w:line="240" w:lineRule="auto"/>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spacing w:line="240" w:lineRule="auto"/>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spacing w:line="240" w:lineRule="auto"/>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In this report, we aim to uncover the economic path Brazil went through during the period from 2013 to 2018. Specifically, we dive into the topic through a macroeconomic overview of Brazil from the perspective of Gross Domestic Product (GDP) and Economic Complexity Index (ECI), which reflect countries’ production capability and production structure, respectively. We then analyze the industrial framework and changes of Brazil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Brazil, as deduced from regression models we have established on a global scale, which take into account countries’ stances in their product space.</w:t>
      </w:r>
      <w:r w:rsidDel="00000000" w:rsidR="00000000" w:rsidRPr="00000000">
        <w:rPr>
          <w:rtl w:val="0"/>
        </w:rPr>
      </w:r>
    </w:p>
    <w:p w:rsidR="00000000" w:rsidDel="00000000" w:rsidP="00000000" w:rsidRDefault="00000000" w:rsidRPr="00000000" w14:paraId="00000016">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GDP Ranking and Changes</w:t>
      </w:r>
    </w:p>
    <w:p w:rsidR="00000000" w:rsidDel="00000000" w:rsidP="00000000" w:rsidRDefault="00000000" w:rsidRPr="00000000" w14:paraId="0000001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21</w:t>
      </w:r>
      <w:r w:rsidDel="00000000" w:rsidR="00000000" w:rsidRPr="00000000">
        <w:rPr>
          <w:rFonts w:ascii="Times New Roman" w:cs="Times New Roman" w:eastAsia="Times New Roman" w:hAnsi="Times New Roman"/>
          <w:sz w:val="24"/>
          <w:szCs w:val="24"/>
          <w:vertAlign w:val="superscript"/>
          <w:rtl w:val="0"/>
        </w:rPr>
        <w:t xml:space="preserve">st</w:t>
      </w:r>
      <w:r w:rsidDel="00000000" w:rsidR="00000000" w:rsidRPr="00000000">
        <w:rPr>
          <w:rFonts w:ascii="Times New Roman" w:cs="Times New Roman" w:eastAsia="Times New Roman" w:hAnsi="Times New Roman"/>
          <w:sz w:val="24"/>
          <w:szCs w:val="24"/>
          <w:rtl w:val="0"/>
        </w:rPr>
        <w:t xml:space="preserve"> largest economy in the world by GDP, Poland has a GDP of 524 billion USD in 2013 and 585 billion USD in 2018, exhibiting an extraordinary level of economic output. Figure 1 illustrates the time-series GDP results for world’s major european economies from 1999-2018, and Poland ranks among its counterparts as a stable player. Poland exhibits a consistent level of GDP during the 6 years from 2013 to 2018, with an average annual growth rate of about 3%. This rate is clearly above the average annual growth rate of the other 4 major European economies in the world, which have a geometric average growth rate of 0.6% and an arithmetic average growth rate of 0.9%. The rapid economic growth in Poland, we believe, can be reflected through consistent ECI and PCI, and can be further explained by an optimal set of production strategies Poland adopted during the period, which we will expand at the later stage of the report.</w:t>
      </w:r>
    </w:p>
    <w:p w:rsidR="00000000" w:rsidDel="00000000" w:rsidP="00000000" w:rsidRDefault="00000000" w:rsidRPr="00000000" w14:paraId="0000001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3606800"/>
            <wp:effectExtent b="12700" l="12700" r="12700" t="12700"/>
            <wp:docPr id="26" name="image33.png"/>
            <a:graphic>
              <a:graphicData uri="http://schemas.openxmlformats.org/drawingml/2006/picture">
                <pic:pic>
                  <pic:nvPicPr>
                    <pic:cNvPr id="0" name="image33.png"/>
                    <pic:cNvPicPr preferRelativeResize="0"/>
                  </pic:nvPicPr>
                  <pic:blipFill>
                    <a:blip r:embed="rId8"/>
                    <a:srcRect b="0" l="0" r="0" t="0"/>
                    <a:stretch>
                      <a:fillRect/>
                    </a:stretch>
                  </pic:blipFill>
                  <pic:spPr>
                    <a:xfrm>
                      <a:off x="0" y="0"/>
                      <a:ext cx="5943600" cy="36068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D">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GDP Comparison Among Major European Economies</w:t>
      </w:r>
    </w:p>
    <w:p w:rsidR="00000000" w:rsidDel="00000000" w:rsidP="00000000" w:rsidRDefault="00000000" w:rsidRPr="00000000" w14:paraId="0000001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ECI Ranking and Changes</w:t>
      </w:r>
    </w:p>
    <w:p w:rsidR="00000000" w:rsidDel="00000000" w:rsidP="00000000" w:rsidRDefault="00000000" w:rsidRPr="00000000" w14:paraId="0000002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Complexity Index (ECI), as defined by Ricardo Hausmann and Cesar Hidalgo in 2009 to explain the knowledge accumulated in a country's population, exhibits a similar pattern for Poland. As illustrated in Figure 2 below, Poland exhibits a stably low level in terms of its production capability from 2013 to 2018. This is in direct contrast to countries such as France, which demonstrates overwhelming advantage over Poland in terms of both ECI and GDP growth during the period.</w:t>
      </w:r>
    </w:p>
    <w:p w:rsidR="00000000" w:rsidDel="00000000" w:rsidP="00000000" w:rsidRDefault="00000000" w:rsidRPr="00000000" w14:paraId="0000002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77655" cy="1747838"/>
            <wp:effectExtent b="12700" l="12700" r="12700" t="1270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877655" cy="1747838"/>
                    </a:xfrm>
                    <a:prstGeom prst="rect"/>
                    <a:ln w="12700">
                      <a:solidFill>
                        <a:srgbClr val="000000"/>
                      </a:solidFill>
                      <a:prstDash val="solid"/>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2837142" cy="1738313"/>
            <wp:effectExtent b="12700" l="12700" r="12700" t="12700"/>
            <wp:docPr id="32"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2837142" cy="173831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Figure 2: ECI Comparison                            Figure 3: GDP and ECI (Poland)</w:t>
      </w:r>
    </w:p>
    <w:p w:rsidR="00000000" w:rsidDel="00000000" w:rsidP="00000000" w:rsidRDefault="00000000" w:rsidRPr="00000000" w14:paraId="00000023">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offers a further comparison of GDP and ECI over the time span from 2013 to 2018 for Poland. The slight increase in GDP during this period is accompanied by a huge drop in ECI, indicating that the mild economic growth experienced by Poland during the period from 2013 to 2018 might not be attributed to its stagnant ECI, or the ineffectiveness of the country in developing a competitive product space that helps to accumulate complicated knowledge and technology. In order to provide a more concrete answer to why this has happened, we will dive into an analysis of Poland’s production structure and its product space designs in the next few chapters. </w:t>
      </w:r>
    </w:p>
    <w:p w:rsidR="00000000" w:rsidDel="00000000" w:rsidP="00000000" w:rsidRDefault="00000000" w:rsidRPr="00000000" w14:paraId="00000025">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7">
      <w:pPr>
        <w:pageBreakBefore w:val="0"/>
        <w:spacing w:line="240" w:lineRule="auto"/>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2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3.1 Product Categorization</w:t>
      </w:r>
    </w:p>
    <w:p w:rsidR="00000000" w:rsidDel="00000000" w:rsidP="00000000" w:rsidRDefault="00000000" w:rsidRPr="00000000" w14:paraId="0000002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2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2C">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2D">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Category</w:t>
            </w:r>
          </w:p>
        </w:tc>
        <w:tc>
          <w:tcPr/>
          <w:p w:rsidR="00000000" w:rsidDel="00000000" w:rsidP="00000000" w:rsidRDefault="00000000" w:rsidRPr="00000000" w14:paraId="0000002E">
            <w:pPr>
              <w:pageBreakBefore w:val="0"/>
              <w:spacing w:line="240" w:lineRule="auto"/>
              <w:jc w:val="both"/>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Description</w:t>
            </w:r>
          </w:p>
        </w:tc>
      </w:tr>
      <w:tr>
        <w:trPr>
          <w:cantSplit w:val="0"/>
          <w:tblHeader w:val="0"/>
        </w:trPr>
        <w:tc>
          <w:tcPr/>
          <w:p w:rsidR="00000000" w:rsidDel="00000000" w:rsidP="00000000" w:rsidRDefault="00000000" w:rsidRPr="00000000" w14:paraId="0000002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p w:rsidR="00000000" w:rsidDel="00000000" w:rsidP="00000000" w:rsidRDefault="00000000" w:rsidRPr="00000000" w14:paraId="0000003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Vegetables, Fruits and Plants</w:t>
            </w:r>
          </w:p>
        </w:tc>
        <w:tc>
          <w:tcPr/>
          <w:p w:rsidR="00000000" w:rsidDel="00000000" w:rsidP="00000000" w:rsidRDefault="00000000" w:rsidRPr="00000000" w14:paraId="0000003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p w:rsidR="00000000" w:rsidDel="00000000" w:rsidP="00000000" w:rsidRDefault="00000000" w:rsidRPr="00000000" w14:paraId="0000003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Clothing and Accessories</w:t>
            </w:r>
          </w:p>
        </w:tc>
        <w:tc>
          <w:tcPr/>
          <w:p w:rsidR="00000000" w:rsidDel="00000000" w:rsidP="00000000" w:rsidRDefault="00000000" w:rsidRPr="00000000" w14:paraId="0000003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p w:rsidR="00000000" w:rsidDel="00000000" w:rsidP="00000000" w:rsidRDefault="00000000" w:rsidRPr="00000000" w14:paraId="0000003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3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c>
          <w:tcPr/>
          <w:p w:rsidR="00000000" w:rsidDel="00000000" w:rsidP="00000000" w:rsidRDefault="00000000" w:rsidRPr="00000000" w14:paraId="0000003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3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c>
          <w:tcPr/>
          <w:p w:rsidR="00000000" w:rsidDel="00000000" w:rsidP="00000000" w:rsidRDefault="00000000" w:rsidRPr="00000000" w14:paraId="0000003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of all sorts of raw Metals</w:t>
            </w:r>
          </w:p>
        </w:tc>
      </w:tr>
      <w:tr>
        <w:trPr>
          <w:cantSplit w:val="0"/>
          <w:tblHeader w:val="0"/>
        </w:trPr>
        <w:tc>
          <w:tcPr/>
          <w:p w:rsidR="00000000" w:rsidDel="00000000" w:rsidP="00000000" w:rsidRDefault="00000000" w:rsidRPr="00000000" w14:paraId="0000003D">
            <w:pPr>
              <w:pageBreakBefore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and Processed Stones</w:t>
            </w:r>
          </w:p>
        </w:tc>
        <w:tc>
          <w:tcPr/>
          <w:p w:rsidR="00000000" w:rsidDel="00000000" w:rsidP="00000000" w:rsidRDefault="00000000" w:rsidRPr="00000000" w14:paraId="0000003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3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p w:rsidR="00000000" w:rsidDel="00000000" w:rsidP="00000000" w:rsidRDefault="00000000" w:rsidRPr="00000000" w14:paraId="0000004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p w:rsidR="00000000" w:rsidDel="00000000" w:rsidP="00000000" w:rsidRDefault="00000000" w:rsidRPr="00000000" w14:paraId="0000004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3">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p w:rsidR="00000000" w:rsidDel="00000000" w:rsidP="00000000" w:rsidRDefault="00000000" w:rsidRPr="00000000" w14:paraId="0000004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p w:rsidR="00000000" w:rsidDel="00000000" w:rsidP="00000000" w:rsidRDefault="00000000" w:rsidRPr="00000000" w14:paraId="0000004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7">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Chemicals</w:t>
            </w:r>
          </w:p>
        </w:tc>
        <w:tc>
          <w:tcPr/>
          <w:p w:rsidR="00000000" w:rsidDel="00000000" w:rsidP="00000000" w:rsidRDefault="00000000" w:rsidRPr="00000000" w14:paraId="0000004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chemical materials and by-products</w:t>
            </w:r>
          </w:p>
        </w:tc>
      </w:tr>
      <w:tr>
        <w:trPr>
          <w:cantSplit w:val="0"/>
          <w:tblHeader w:val="0"/>
        </w:trPr>
        <w:tc>
          <w:tcPr/>
          <w:p w:rsidR="00000000" w:rsidDel="00000000" w:rsidP="00000000" w:rsidRDefault="00000000" w:rsidRPr="00000000" w14:paraId="00000049">
            <w:pPr>
              <w:pageBreakBefore w:val="0"/>
              <w:tabs>
                <w:tab w:val="left" w:leader="none" w:pos="1718"/>
              </w:tabs>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p w:rsidR="00000000" w:rsidDel="00000000" w:rsidP="00000000" w:rsidRDefault="00000000" w:rsidRPr="00000000" w14:paraId="0000004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4B">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p w:rsidR="00000000" w:rsidDel="00000000" w:rsidP="00000000" w:rsidRDefault="00000000" w:rsidRPr="00000000" w14:paraId="0000004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4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p w:rsidR="00000000" w:rsidDel="00000000" w:rsidP="00000000" w:rsidRDefault="00000000" w:rsidRPr="00000000" w14:paraId="0000004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Explosives, arms and ammunition</w:t>
            </w:r>
          </w:p>
        </w:tc>
      </w:tr>
      <w:tr>
        <w:trPr>
          <w:cantSplit w:val="0"/>
          <w:tblHeader w:val="0"/>
        </w:trPr>
        <w:tc>
          <w:tcPr/>
          <w:p w:rsidR="00000000" w:rsidDel="00000000" w:rsidP="00000000" w:rsidRDefault="00000000" w:rsidRPr="00000000" w14:paraId="0000004F">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p w:rsidR="00000000" w:rsidDel="00000000" w:rsidP="00000000" w:rsidRDefault="00000000" w:rsidRPr="00000000" w14:paraId="0000005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Agglomeration of advanced products with highest PCIs</w:t>
            </w:r>
          </w:p>
        </w:tc>
      </w:tr>
    </w:tbl>
    <w:p w:rsidR="00000000" w:rsidDel="00000000" w:rsidP="00000000" w:rsidRDefault="00000000" w:rsidRPr="00000000" w14:paraId="0000005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Categorization of Products</w:t>
      </w:r>
    </w:p>
    <w:p w:rsidR="00000000" w:rsidDel="00000000" w:rsidP="00000000" w:rsidRDefault="00000000" w:rsidRPr="00000000" w14:paraId="0000005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5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A">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5B">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5C">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5D">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5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0.075</w:t>
            </w:r>
          </w:p>
        </w:tc>
        <w:tc>
          <w:tcPr>
            <w:vAlign w:val="bottom"/>
          </w:tcPr>
          <w:p w:rsidR="00000000" w:rsidDel="00000000" w:rsidP="00000000" w:rsidRDefault="00000000" w:rsidRPr="00000000" w14:paraId="0000005F">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0.006</w:t>
            </w:r>
          </w:p>
        </w:tc>
        <w:tc>
          <w:tcPr>
            <w:vAlign w:val="bottom"/>
          </w:tcPr>
          <w:p w:rsidR="00000000" w:rsidDel="00000000" w:rsidP="00000000" w:rsidRDefault="00000000" w:rsidRPr="00000000" w14:paraId="0000006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0.002</w:t>
            </w:r>
          </w:p>
        </w:tc>
      </w:tr>
      <w:tr>
        <w:trPr>
          <w:cantSplit w:val="0"/>
          <w:tblHeader w:val="0"/>
        </w:trPr>
        <w:tc>
          <w:tcPr/>
          <w:p w:rsidR="00000000" w:rsidDel="00000000" w:rsidP="00000000" w:rsidRDefault="00000000" w:rsidRPr="00000000" w14:paraId="00000061">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2">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9.556</w:t>
            </w:r>
          </w:p>
        </w:tc>
        <w:tc>
          <w:tcPr>
            <w:vAlign w:val="bottom"/>
          </w:tcPr>
          <w:p w:rsidR="00000000" w:rsidDel="00000000" w:rsidP="00000000" w:rsidRDefault="00000000" w:rsidRPr="00000000" w14:paraId="00000063">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1.638</w:t>
            </w:r>
          </w:p>
        </w:tc>
        <w:tc>
          <w:tcPr>
            <w:vAlign w:val="bottom"/>
          </w:tcPr>
          <w:p w:rsidR="00000000" w:rsidDel="00000000" w:rsidP="00000000" w:rsidRDefault="00000000" w:rsidRPr="00000000" w14:paraId="0000006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1.175</w:t>
            </w:r>
          </w:p>
        </w:tc>
      </w:tr>
      <w:tr>
        <w:trPr>
          <w:cantSplit w:val="0"/>
          <w:tblHeader w:val="0"/>
        </w:trPr>
        <w:tc>
          <w:tcPr/>
          <w:p w:rsidR="00000000" w:rsidDel="00000000" w:rsidP="00000000" w:rsidRDefault="00000000" w:rsidRPr="00000000" w14:paraId="0000006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6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7">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c>
          <w:tcPr>
            <w:vAlign w:val="bottom"/>
          </w:tcPr>
          <w:p w:rsidR="00000000" w:rsidDel="00000000" w:rsidP="00000000" w:rsidRDefault="00000000" w:rsidRPr="00000000" w14:paraId="0000006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w:t>
            </w:r>
          </w:p>
        </w:tc>
      </w:tr>
    </w:tbl>
    <w:p w:rsidR="00000000" w:rsidDel="00000000" w:rsidP="00000000" w:rsidRDefault="00000000" w:rsidRPr="00000000" w14:paraId="0000006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OLS Regression Results of GDP against Percentage Volume of Exports </w:t>
      </w:r>
    </w:p>
    <w:p w:rsidR="00000000" w:rsidDel="00000000" w:rsidP="00000000" w:rsidRDefault="00000000" w:rsidRPr="00000000" w14:paraId="0000006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6E">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p w:rsidR="00000000" w:rsidDel="00000000" w:rsidP="00000000" w:rsidRDefault="00000000" w:rsidRPr="00000000" w14:paraId="0000006F">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w:t>
            </w:r>
            <w:r w:rsidDel="00000000" w:rsidR="00000000" w:rsidRPr="00000000">
              <w:rPr>
                <w:rFonts w:ascii="Times New Roman" w:cs="Times New Roman" w:eastAsia="Times New Roman" w:hAnsi="Times New Roman"/>
                <w:sz w:val="20"/>
                <w:szCs w:val="20"/>
                <w:rtl w:val="0"/>
              </w:rPr>
              <w:t xml:space="preserve"> Preparations</w:t>
            </w:r>
          </w:p>
        </w:tc>
        <w:tc>
          <w:tcPr/>
          <w:p w:rsidR="00000000" w:rsidDel="00000000" w:rsidP="00000000" w:rsidRDefault="00000000" w:rsidRPr="00000000" w14:paraId="00000070">
            <w:pPr>
              <w:pageBreakBefore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w:t>
            </w:r>
            <w:r w:rsidDel="00000000" w:rsidR="00000000" w:rsidRPr="00000000">
              <w:rPr>
                <w:rFonts w:ascii="Times New Roman" w:cs="Times New Roman" w:eastAsia="Times New Roman" w:hAnsi="Times New Roman"/>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1">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Adj.R-squared</w:t>
            </w:r>
          </w:p>
        </w:tc>
        <w:tc>
          <w:tcPr>
            <w:vAlign w:val="bottom"/>
          </w:tcPr>
          <w:p w:rsidR="00000000" w:rsidDel="00000000" w:rsidP="00000000" w:rsidRDefault="00000000" w:rsidRPr="00000000" w14:paraId="00000072">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0.149</w:t>
            </w:r>
          </w:p>
        </w:tc>
        <w:tc>
          <w:tcPr>
            <w:vAlign w:val="bottom"/>
          </w:tcPr>
          <w:p w:rsidR="00000000" w:rsidDel="00000000" w:rsidP="00000000" w:rsidRDefault="00000000" w:rsidRPr="00000000" w14:paraId="0000007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0.003</w:t>
            </w:r>
          </w:p>
        </w:tc>
        <w:tc>
          <w:tcPr>
            <w:vAlign w:val="bottom"/>
          </w:tcPr>
          <w:p w:rsidR="00000000" w:rsidDel="00000000" w:rsidP="00000000" w:rsidRDefault="00000000" w:rsidRPr="00000000" w14:paraId="0000007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-0.012</w:t>
            </w:r>
          </w:p>
        </w:tc>
      </w:tr>
      <w:tr>
        <w:trPr>
          <w:cantSplit w:val="0"/>
          <w:tblHeader w:val="0"/>
        </w:trPr>
        <w:tc>
          <w:tcPr/>
          <w:p w:rsidR="00000000" w:rsidDel="00000000" w:rsidP="00000000" w:rsidRDefault="00000000" w:rsidRPr="00000000" w14:paraId="00000075">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6">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4.510</w:t>
            </w:r>
          </w:p>
        </w:tc>
        <w:tc>
          <w:tcPr>
            <w:vAlign w:val="bottom"/>
          </w:tcPr>
          <w:p w:rsidR="00000000" w:rsidDel="00000000" w:rsidP="00000000" w:rsidRDefault="00000000" w:rsidRPr="00000000" w14:paraId="00000077">
            <w:pPr>
              <w:pageBreakBefore w:val="0"/>
              <w:spacing w:line="24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1.059</w:t>
            </w:r>
          </w:p>
        </w:tc>
        <w:tc>
          <w:tcPr>
            <w:vAlign w:val="bottom"/>
          </w:tcPr>
          <w:p w:rsidR="00000000" w:rsidDel="00000000" w:rsidP="00000000" w:rsidRDefault="00000000" w:rsidRPr="00000000" w14:paraId="0000007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0.7542</w:t>
            </w:r>
          </w:p>
        </w:tc>
      </w:tr>
      <w:tr>
        <w:trPr>
          <w:cantSplit w:val="0"/>
          <w:tblHeader w:val="0"/>
        </w:trPr>
        <w:tc>
          <w:tcPr/>
          <w:p w:rsidR="00000000" w:rsidDel="00000000" w:rsidP="00000000" w:rsidRDefault="00000000" w:rsidRPr="00000000" w14:paraId="00000079">
            <w:pPr>
              <w:pageBreakBefore w:val="0"/>
              <w:spacing w:line="240" w:lineRule="auto"/>
              <w:jc w:val="center"/>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No. Observations</w:t>
            </w:r>
          </w:p>
        </w:tc>
        <w:tc>
          <w:tcPr>
            <w:vAlign w:val="bottom"/>
          </w:tcPr>
          <w:p w:rsidR="00000000" w:rsidDel="00000000" w:rsidP="00000000" w:rsidRDefault="00000000" w:rsidRPr="00000000" w14:paraId="0000007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vAlign w:val="bottom"/>
          </w:tcPr>
          <w:p w:rsidR="00000000" w:rsidDel="00000000" w:rsidP="00000000" w:rsidRDefault="00000000" w:rsidRPr="00000000" w14:paraId="0000007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r>
    </w:tbl>
    <w:p w:rsidR="00000000" w:rsidDel="00000000" w:rsidP="00000000" w:rsidRDefault="00000000" w:rsidRPr="00000000" w14:paraId="0000007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 OLS Regression Results of GDP against Volume of Percentage Exports</w:t>
      </w:r>
    </w:p>
    <w:p w:rsidR="00000000" w:rsidDel="00000000" w:rsidP="00000000" w:rsidRDefault="00000000" w:rsidRPr="00000000" w14:paraId="0000007F">
      <w:pPr>
        <w:pageBreakBefore w:val="0"/>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0">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Realized Industry Development</w:t>
      </w:r>
    </w:p>
    <w:p w:rsidR="00000000" w:rsidDel="00000000" w:rsidP="00000000" w:rsidRDefault="00000000" w:rsidRPr="00000000" w14:paraId="0000008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product categorization aforementioned, we aim to capture Poland’s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Poland and the 18 product groups in 2013 and 2018 through subtraction, where a positive RID indicates a shortening of the distance (i.e., advancement of the industry), and a negative RID indicates the reverse. As ranked in Table 2, during the period from 2013 to 2018, Poland has focused on products with a moderate level of complexity and those requiring intermediate skills. </w:t>
      </w:r>
    </w:p>
    <w:p w:rsidR="00000000" w:rsidDel="00000000" w:rsidP="00000000" w:rsidRDefault="00000000" w:rsidRPr="00000000" w14:paraId="0000008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57800" cy="2543175"/>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578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Realized Industry Development (RID) of Poland</w:t>
      </w:r>
    </w:p>
    <w:p w:rsidR="00000000" w:rsidDel="00000000" w:rsidP="00000000" w:rsidRDefault="00000000" w:rsidRPr="00000000" w14:paraId="0000008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Regional and Global Comparison</w:t>
      </w:r>
    </w:p>
    <w:p w:rsidR="00000000" w:rsidDel="00000000" w:rsidP="00000000" w:rsidRDefault="00000000" w:rsidRPr="00000000" w14:paraId="0000008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and 4 below summarize how the production strategy adopted by Poland compares with leading economies and a selected group of emerging economies in the world, as measured in RID. It can be directly observed that Poland focused on products with a lower complexity level, when compared against leading economies such as the United States and Germany, which gave a considerable level of attention to more advanced product groups such as clothing, services and utilities, and chemical manufacturing.</w:t>
      </w:r>
    </w:p>
    <w:p w:rsidR="00000000" w:rsidDel="00000000" w:rsidP="00000000" w:rsidRDefault="00000000" w:rsidRPr="00000000" w14:paraId="0000008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8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8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France</w:t>
            </w:r>
          </w:p>
        </w:tc>
        <w:tc>
          <w:tcPr/>
          <w:p w:rsidR="00000000" w:rsidDel="00000000" w:rsidP="00000000" w:rsidRDefault="00000000" w:rsidRPr="00000000" w14:paraId="0000008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w:t>
            </w:r>
          </w:p>
        </w:tc>
        <w:tc>
          <w:tcPr/>
          <w:p w:rsidR="00000000" w:rsidDel="00000000" w:rsidP="00000000" w:rsidRDefault="00000000" w:rsidRPr="00000000" w14:paraId="0000008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Germany</w:t>
            </w:r>
          </w:p>
        </w:tc>
      </w:tr>
      <w:tr>
        <w:trPr>
          <w:cantSplit w:val="0"/>
          <w:tblHeader w:val="0"/>
        </w:trPr>
        <w:tc>
          <w:tcPr/>
          <w:p w:rsidR="00000000" w:rsidDel="00000000" w:rsidP="00000000" w:rsidRDefault="00000000" w:rsidRPr="00000000" w14:paraId="0000008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9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9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c>
          <w:tcPr>
            <w:vAlign w:val="bottom"/>
          </w:tcPr>
          <w:p w:rsidR="00000000" w:rsidDel="00000000" w:rsidP="00000000" w:rsidRDefault="00000000" w:rsidRPr="00000000" w14:paraId="0000009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9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9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9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Weapons</w:t>
            </w:r>
          </w:p>
        </w:tc>
        <w:tc>
          <w:tcPr>
            <w:vAlign w:val="bottom"/>
          </w:tcPr>
          <w:p w:rsidR="00000000" w:rsidDel="00000000" w:rsidP="00000000" w:rsidRDefault="00000000" w:rsidRPr="00000000" w14:paraId="0000009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97">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9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9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Raw Manufacturing</w:t>
            </w:r>
          </w:p>
        </w:tc>
        <w:tc>
          <w:tcPr>
            <w:vAlign w:val="bottom"/>
          </w:tcPr>
          <w:p w:rsidR="00000000" w:rsidDel="00000000" w:rsidP="00000000" w:rsidRDefault="00000000" w:rsidRPr="00000000" w14:paraId="0000009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 Products</w:t>
            </w:r>
          </w:p>
        </w:tc>
      </w:tr>
      <w:tr>
        <w:trPr>
          <w:cantSplit w:val="0"/>
          <w:tblHeader w:val="0"/>
        </w:trPr>
        <w:tc>
          <w:tcPr/>
          <w:p w:rsidR="00000000" w:rsidDel="00000000" w:rsidP="00000000" w:rsidRDefault="00000000" w:rsidRPr="00000000" w14:paraId="0000009B">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9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9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c>
          <w:tcPr>
            <w:vAlign w:val="bottom"/>
          </w:tcPr>
          <w:p w:rsidR="00000000" w:rsidDel="00000000" w:rsidP="00000000" w:rsidRDefault="00000000" w:rsidRPr="00000000" w14:paraId="0000009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Metals</w:t>
            </w:r>
          </w:p>
        </w:tc>
      </w:tr>
      <w:tr>
        <w:trPr>
          <w:cantSplit w:val="0"/>
          <w:tblHeader w:val="0"/>
        </w:trPr>
        <w:tc>
          <w:tcPr/>
          <w:p w:rsidR="00000000" w:rsidDel="00000000" w:rsidP="00000000" w:rsidRDefault="00000000" w:rsidRPr="00000000" w14:paraId="0000009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A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c>
          <w:tcPr>
            <w:vAlign w:val="bottom"/>
          </w:tcPr>
          <w:p w:rsidR="00000000" w:rsidDel="00000000" w:rsidP="00000000" w:rsidRDefault="00000000" w:rsidRPr="00000000" w14:paraId="000000A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Animals and By-products</w:t>
            </w:r>
          </w:p>
        </w:tc>
        <w:tc>
          <w:tcPr>
            <w:vAlign w:val="bottom"/>
          </w:tcPr>
          <w:p w:rsidR="00000000" w:rsidDel="00000000" w:rsidP="00000000" w:rsidRDefault="00000000" w:rsidRPr="00000000" w14:paraId="000000A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Preparations</w:t>
            </w:r>
          </w:p>
        </w:tc>
      </w:tr>
    </w:tbl>
    <w:p w:rsidR="00000000" w:rsidDel="00000000" w:rsidP="00000000" w:rsidRDefault="00000000" w:rsidRPr="00000000" w14:paraId="000000A3">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RID Comparison across Leading Economies</w:t>
      </w:r>
    </w:p>
    <w:p w:rsidR="00000000" w:rsidDel="00000000" w:rsidP="00000000" w:rsidRDefault="00000000" w:rsidRPr="00000000" w14:paraId="000000A5">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pageBreakBefore w:val="0"/>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Ranking</w:t>
            </w:r>
          </w:p>
        </w:tc>
        <w:tc>
          <w:tcPr/>
          <w:p w:rsidR="00000000" w:rsidDel="00000000" w:rsidP="00000000" w:rsidRDefault="00000000" w:rsidRPr="00000000" w14:paraId="000000A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China</w:t>
            </w:r>
          </w:p>
        </w:tc>
        <w:tc>
          <w:tcPr/>
          <w:p w:rsidR="00000000" w:rsidDel="00000000" w:rsidP="00000000" w:rsidRDefault="00000000" w:rsidRPr="00000000" w14:paraId="000000A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South Korea</w:t>
            </w:r>
          </w:p>
        </w:tc>
        <w:tc>
          <w:tcPr/>
          <w:p w:rsidR="00000000" w:rsidDel="00000000" w:rsidP="00000000" w:rsidRDefault="00000000" w:rsidRPr="00000000" w14:paraId="000000A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Singapore</w:t>
            </w:r>
          </w:p>
        </w:tc>
      </w:tr>
      <w:tr>
        <w:trPr>
          <w:cantSplit w:val="0"/>
          <w:tblHeader w:val="0"/>
        </w:trPr>
        <w:tc>
          <w:tcPr/>
          <w:p w:rsidR="00000000" w:rsidDel="00000000" w:rsidP="00000000" w:rsidRDefault="00000000" w:rsidRPr="00000000" w14:paraId="000000AB">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1</w:t>
            </w:r>
          </w:p>
        </w:tc>
        <w:tc>
          <w:tcPr>
            <w:vAlign w:val="bottom"/>
          </w:tcPr>
          <w:p w:rsidR="00000000" w:rsidDel="00000000" w:rsidP="00000000" w:rsidRDefault="00000000" w:rsidRPr="00000000" w14:paraId="000000A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A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A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r>
      <w:tr>
        <w:trPr>
          <w:cantSplit w:val="0"/>
          <w:tblHeader w:val="0"/>
        </w:trPr>
        <w:tc>
          <w:tcPr/>
          <w:p w:rsidR="00000000" w:rsidDel="00000000" w:rsidP="00000000" w:rsidRDefault="00000000" w:rsidRPr="00000000" w14:paraId="000000AF">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2</w:t>
            </w:r>
          </w:p>
        </w:tc>
        <w:tc>
          <w:tcPr>
            <w:vAlign w:val="bottom"/>
          </w:tcPr>
          <w:p w:rsidR="00000000" w:rsidDel="00000000" w:rsidP="00000000" w:rsidRDefault="00000000" w:rsidRPr="00000000" w14:paraId="000000B0">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w:t>
            </w:r>
          </w:p>
        </w:tc>
        <w:tc>
          <w:tcPr>
            <w:vAlign w:val="bottom"/>
          </w:tcPr>
          <w:p w:rsidR="00000000" w:rsidDel="00000000" w:rsidP="00000000" w:rsidRDefault="00000000" w:rsidRPr="00000000" w14:paraId="000000B1">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w:t>
            </w:r>
          </w:p>
        </w:tc>
        <w:tc>
          <w:tcPr>
            <w:vAlign w:val="bottom"/>
          </w:tcPr>
          <w:p w:rsidR="00000000" w:rsidDel="00000000" w:rsidP="00000000" w:rsidRDefault="00000000" w:rsidRPr="00000000" w14:paraId="000000B2">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r>
      <w:tr>
        <w:trPr>
          <w:cantSplit w:val="0"/>
          <w:tblHeader w:val="0"/>
        </w:trPr>
        <w:tc>
          <w:tcPr/>
          <w:p w:rsidR="00000000" w:rsidDel="00000000" w:rsidP="00000000" w:rsidRDefault="00000000" w:rsidRPr="00000000" w14:paraId="000000B3">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3</w:t>
            </w:r>
          </w:p>
        </w:tc>
        <w:tc>
          <w:tcPr>
            <w:vAlign w:val="bottom"/>
          </w:tcPr>
          <w:p w:rsidR="00000000" w:rsidDel="00000000" w:rsidP="00000000" w:rsidRDefault="00000000" w:rsidRPr="00000000" w14:paraId="000000B4">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5">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High-complexity Products</w:t>
            </w:r>
          </w:p>
        </w:tc>
        <w:tc>
          <w:tcPr>
            <w:vAlign w:val="bottom"/>
          </w:tcPr>
          <w:p w:rsidR="00000000" w:rsidDel="00000000" w:rsidP="00000000" w:rsidRDefault="00000000" w:rsidRPr="00000000" w14:paraId="000000B6">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Precious Stones</w:t>
            </w:r>
          </w:p>
        </w:tc>
      </w:tr>
      <w:tr>
        <w:trPr>
          <w:cantSplit w:val="0"/>
          <w:tblHeader w:val="0"/>
        </w:trPr>
        <w:tc>
          <w:tcPr/>
          <w:p w:rsidR="00000000" w:rsidDel="00000000" w:rsidP="00000000" w:rsidRDefault="00000000" w:rsidRPr="00000000" w14:paraId="000000B7">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4</w:t>
            </w:r>
          </w:p>
        </w:tc>
        <w:tc>
          <w:tcPr>
            <w:vAlign w:val="bottom"/>
          </w:tcPr>
          <w:p w:rsidR="00000000" w:rsidDel="00000000" w:rsidP="00000000" w:rsidRDefault="00000000" w:rsidRPr="00000000" w14:paraId="000000B8">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Energy Drilling and Mining</w:t>
            </w:r>
          </w:p>
        </w:tc>
        <w:tc>
          <w:tcPr>
            <w:vAlign w:val="bottom"/>
          </w:tcPr>
          <w:p w:rsidR="00000000" w:rsidDel="00000000" w:rsidP="00000000" w:rsidRDefault="00000000" w:rsidRPr="00000000" w14:paraId="000000B9">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Chemical Manufacturing</w:t>
            </w:r>
          </w:p>
        </w:tc>
        <w:tc>
          <w:tcPr>
            <w:vAlign w:val="bottom"/>
          </w:tcPr>
          <w:p w:rsidR="00000000" w:rsidDel="00000000" w:rsidP="00000000" w:rsidRDefault="00000000" w:rsidRPr="00000000" w14:paraId="000000BA">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r>
      <w:tr>
        <w:trPr>
          <w:cantSplit w:val="0"/>
          <w:tblHeader w:val="0"/>
        </w:trPr>
        <w:tc>
          <w:tcPr/>
          <w:p w:rsidR="00000000" w:rsidDel="00000000" w:rsidP="00000000" w:rsidRDefault="00000000" w:rsidRPr="00000000" w14:paraId="000000BB">
            <w:pPr>
              <w:pageBreakBefore w:val="0"/>
              <w:spacing w:line="240" w:lineRule="auto"/>
              <w:jc w:val="both"/>
              <w:rPr>
                <w:rFonts w:ascii="Times New Roman" w:cs="Times New Roman" w:eastAsia="Times New Roman" w:hAnsi="Times New Roman"/>
                <w:b w:val="0"/>
                <w:bCs w:val="0"/>
                <w:sz w:val="20"/>
                <w:szCs w:val="20"/>
              </w:rPr>
            </w:pPr>
            <w:r w:rsidDel="00000000" w:rsidR="00000000" w:rsidRPr="00000000">
              <w:rPr>
                <w:rFonts w:ascii="Times New Roman" w:cs="Times New Roman" w:eastAsia="Times New Roman" w:hAnsi="Times New Roman"/>
                <w:b w:val="0"/>
                <w:bCs w:val="0"/>
                <w:sz w:val="20"/>
                <w:szCs w:val="20"/>
                <w:rtl w:val="0"/>
              </w:rPr>
              <w:t xml:space="preserve">5</w:t>
            </w:r>
          </w:p>
        </w:tc>
        <w:tc>
          <w:tcPr>
            <w:vAlign w:val="bottom"/>
          </w:tcPr>
          <w:p w:rsidR="00000000" w:rsidDel="00000000" w:rsidP="00000000" w:rsidRDefault="00000000" w:rsidRPr="00000000" w14:paraId="000000BC">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Daily Instruments</w:t>
            </w:r>
          </w:p>
        </w:tc>
        <w:tc>
          <w:tcPr>
            <w:vAlign w:val="bottom"/>
          </w:tcPr>
          <w:p w:rsidR="00000000" w:rsidDel="00000000" w:rsidP="00000000" w:rsidRDefault="00000000" w:rsidRPr="00000000" w14:paraId="000000BD">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 and Construction</w:t>
            </w:r>
          </w:p>
        </w:tc>
        <w:tc>
          <w:tcPr>
            <w:vAlign w:val="bottom"/>
          </w:tcPr>
          <w:p w:rsidR="00000000" w:rsidDel="00000000" w:rsidP="00000000" w:rsidRDefault="00000000" w:rsidRPr="00000000" w14:paraId="000000BE">
            <w:pPr>
              <w:pageBreakBefore w:val="0"/>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Services and Utilities</w:t>
            </w:r>
          </w:p>
        </w:tc>
      </w:tr>
    </w:tbl>
    <w:p w:rsidR="00000000" w:rsidDel="00000000" w:rsidP="00000000" w:rsidRDefault="00000000" w:rsidRPr="00000000" w14:paraId="000000B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4: RID Comparison across Emerging Economies</w:t>
      </w:r>
    </w:p>
    <w:p w:rsidR="00000000" w:rsidDel="00000000" w:rsidP="00000000" w:rsidRDefault="00000000" w:rsidRPr="00000000" w14:paraId="000000C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spacing w:line="240" w:lineRule="auto"/>
        <w:jc w:val="both"/>
        <w:rPr>
          <w:rFonts w:ascii="Times" w:cs="Times" w:eastAsia="Times" w:hAnsi="Times"/>
          <w:b w:val="1"/>
          <w:bCs w:val="1"/>
          <w:sz w:val="28"/>
          <w:szCs w:val="28"/>
        </w:rPr>
      </w:pPr>
      <w:r w:rsidDel="00000000" w:rsidR="00000000" w:rsidRPr="00000000">
        <w:rPr>
          <w:rFonts w:ascii="Times New Roman" w:cs="Times New Roman" w:eastAsia="Times New Roman" w:hAnsi="Times New Roman"/>
          <w:sz w:val="24"/>
          <w:szCs w:val="24"/>
          <w:rtl w:val="0"/>
        </w:rPr>
        <w:t xml:space="preserve">Table 4 further examines Poland’s development strategy against those of emerging economies on a global scale. Reasonably, emerging economies such as China, South Korea, Singapore and India have devoted the majority of their efforts into intermediate industry groups while developed economies such as Poland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Poland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0C3">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4">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0C5">
      <w:pPr>
        <w:pageBreakBefore w:val="0"/>
        <w:spacing w:line="240" w:lineRule="auto"/>
        <w:jc w:val="both"/>
        <w:rPr>
          <w:rFonts w:ascii="Times" w:cs="Times" w:eastAsia="Times" w:hAnsi="Times"/>
          <w:b w:val="1"/>
          <w:bCs w:val="1"/>
          <w:sz w:val="28"/>
          <w:szCs w:val="28"/>
        </w:rPr>
      </w:pPr>
      <w:bookmarkStart w:colFirst="0" w:colLast="0" w:name="_gjdgxs" w:id="3"/>
      <w:bookmarkEnd w:id="3"/>
      <w:r w:rsidDel="00000000" w:rsidR="00000000" w:rsidRPr="00000000">
        <w:rPr>
          <w:rtl w:val="0"/>
        </w:rPr>
      </w:r>
    </w:p>
    <w:p w:rsidR="00000000" w:rsidDel="00000000" w:rsidP="00000000" w:rsidRDefault="00000000" w:rsidRPr="00000000" w14:paraId="000000C6">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Suggested Development Vector</w:t>
      </w:r>
    </w:p>
    <w:p w:rsidR="00000000" w:rsidDel="00000000" w:rsidP="00000000" w:rsidRDefault="00000000" w:rsidRPr="00000000" w14:paraId="000000C7">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0C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600200"/>
            <wp:effectExtent b="0" l="0" r="0" t="0"/>
            <wp:docPr id="8" name="image5.jpg"/>
            <a:graphic>
              <a:graphicData uri="http://schemas.openxmlformats.org/drawingml/2006/picture">
                <pic:pic>
                  <pic:nvPicPr>
                    <pic:cNvPr id="0" name="image5.jpg"/>
                    <pic:cNvPicPr preferRelativeResize="0"/>
                  </pic:nvPicPr>
                  <pic:blipFill>
                    <a:blip r:embed="rId12"/>
                    <a:srcRect b="0" l="0" r="0" t="0"/>
                    <a:stretch>
                      <a:fillRect/>
                    </a:stretch>
                  </pic:blipFill>
                  <pic:spPr>
                    <a:xfrm>
                      <a:off x="0" y="0"/>
                      <a:ext cx="59436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714500"/>
            <wp:effectExtent b="0" l="0" r="0" t="0"/>
            <wp:docPr id="29"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5: SDV of High ECI Countries 2013(up) 2018(down)</w:t>
      </w:r>
    </w:p>
    <w:p w:rsidR="00000000" w:rsidDel="00000000" w:rsidP="00000000" w:rsidRDefault="00000000" w:rsidRPr="00000000" w14:paraId="000000CD">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 the ranking of opportunity gain for a country c, as the Suggested Development Vector (SDV) of c. Table 5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6 have nearly half of industries with positive opportunity gain. While the economies with absolute negative ECI, such as South Africa and Poland, all need to develop High-complexity Products, Machinery and Construction and Daily Instruments, those with median ECI are facing a more complicated and diverse situation, such as Italy and Spain.   </w:t>
      </w:r>
    </w:p>
    <w:p w:rsidR="00000000" w:rsidDel="00000000" w:rsidP="00000000" w:rsidRDefault="00000000" w:rsidRPr="00000000" w14:paraId="000000C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can be concluded that Poland is categorized to be a highly complexed country as compared with the world’s leading economies and other major economies in Europe.</w:t>
      </w:r>
    </w:p>
    <w:p w:rsidR="00000000" w:rsidDel="00000000" w:rsidP="00000000" w:rsidRDefault="00000000" w:rsidRPr="00000000" w14:paraId="000000D1">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2260600"/>
            <wp:effectExtent b="0" l="0" r="0" t="0"/>
            <wp:docPr id="7"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73405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6: SDV of Other Typical Countries 2013</w:t>
      </w:r>
    </w:p>
    <w:p w:rsidR="00000000" w:rsidDel="00000000" w:rsidP="00000000" w:rsidRDefault="00000000" w:rsidRPr="00000000" w14:paraId="000000D5">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ageBreakBefore w:val="0"/>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Budgeted Industry Development Strategy and Interpretation</w:t>
      </w:r>
    </w:p>
    <w:p w:rsidR="00000000" w:rsidDel="00000000" w:rsidP="00000000" w:rsidRDefault="00000000" w:rsidRPr="00000000" w14:paraId="000000D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DA">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28888" cy="1141284"/>
            <wp:effectExtent b="0" l="0" r="0" t="0"/>
            <wp:docPr id="1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k(x) is the second largest eigenvector of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CC'</m:t>
            </m:r>
          </m:sub>
        </m:sSub>
      </m:oMath>
      <w:r w:rsidDel="00000000" w:rsidR="00000000" w:rsidRPr="00000000">
        <w:rPr>
          <w:rFonts w:ascii="Times New Roman" w:cs="Times New Roman" w:eastAsia="Times New Roman" w:hAnsi="Times New Roman"/>
          <w:sz w:val="24"/>
          <w:szCs w:val="24"/>
          <w:rtl w:val="0"/>
        </w:rPr>
        <w:t xml:space="preserve"> after adding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to the original export vector, C is the country that we are interested in, P is the product space, B is the heuristic budget. </w:t>
      </w:r>
    </w:p>
    <w:p w:rsidR="00000000" w:rsidDel="00000000" w:rsidP="00000000" w:rsidRDefault="00000000" w:rsidRPr="00000000" w14:paraId="000000D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can solve this problem, then we can know what the largest ECI that a country can improve to. Accordingly, the optimal solution </w:t>
      </w:r>
      <m:oMath>
        <m:r>
          <w:rPr>
            <w:rFonts w:ascii="Times New Roman" w:cs="Times New Roman" w:eastAsia="Times New Roman" w:hAnsi="Times New Roman"/>
            <w:sz w:val="24"/>
            <w:szCs w:val="24"/>
          </w:rPr>
          <m:t xml:space="preserve">x*</m:t>
        </m:r>
      </m:oMath>
      <w:r w:rsidDel="00000000" w:rsidR="00000000" w:rsidRPr="00000000">
        <w:rPr>
          <w:rFonts w:ascii="Times New Roman" w:cs="Times New Roman" w:eastAsia="Times New Roman" w:hAnsi="Times New Roman"/>
          <w:sz w:val="24"/>
          <w:szCs w:val="24"/>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w:rFonts w:ascii="Times New Roman" w:cs="Times New Roman" w:eastAsia="Times New Roman" w:hAnsi="Times New Roman"/>
            <w:sz w:val="24"/>
            <w:szCs w:val="24"/>
          </w:rPr>
          <m:t xml:space="preserve">p</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0">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2">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38363" cy="718630"/>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ECI</m:t>
            </m:r>
          </m:e>
          <m:sub>
            <m:r>
              <w:rPr>
                <w:rFonts w:ascii="Times New Roman" w:cs="Times New Roman" w:eastAsia="Times New Roman" w:hAnsi="Times New Roman"/>
                <w:sz w:val="24"/>
                <w:szCs w:val="24"/>
              </w:rPr>
              <m:t xml:space="preserve">p</m:t>
            </m:r>
          </m:sub>
        </m:sSub>
      </m:oMath>
      <w:r w:rsidDel="00000000" w:rsidR="00000000" w:rsidRPr="00000000">
        <w:rPr>
          <w:rFonts w:ascii="Times New Roman" w:cs="Times New Roman" w:eastAsia="Times New Roman" w:hAnsi="Times New Roman"/>
          <w:sz w:val="24"/>
          <w:szCs w:val="24"/>
          <w:rtl w:val="0"/>
        </w:rPr>
        <w:t xml:space="preserve"> is just the ECI of the country after adding some amount of export increment to product </w:t>
      </w:r>
      <m:oMath>
        <m:r>
          <w:rPr>
            <w:rFonts w:ascii="Times New Roman" w:cs="Times New Roman" w:eastAsia="Times New Roman" w:hAnsi="Times New Roman"/>
            <w:sz w:val="24"/>
            <w:szCs w:val="24"/>
          </w:rPr>
          <m:t xml:space="preserve">p</m:t>
        </m:r>
      </m:oMath>
      <w:r w:rsidDel="00000000" w:rsidR="00000000" w:rsidRPr="00000000">
        <w:rPr>
          <w:rFonts w:ascii="Times New Roman" w:cs="Times New Roman" w:eastAsia="Times New Roman" w:hAnsi="Times New Roman"/>
          <w:sz w:val="24"/>
          <w:szCs w:val="24"/>
          <w:rtl w:val="0"/>
        </w:rPr>
        <w:t xml:space="preserve">, which is exactly the amount that is able to make ECI change. Also, we can express it in the way of </w:t>
      </w:r>
      <m:oMath>
        <m:r>
          <w:rPr>
            <w:rFonts w:ascii="Times New Roman" w:cs="Times New Roman" w:eastAsia="Times New Roman" w:hAnsi="Times New Roman"/>
            <w:sz w:val="24"/>
            <w:szCs w:val="24"/>
          </w:rPr>
          <m:t xml:space="preserve">||</m:t>
        </m:r>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p</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x</m:t>
            </m:r>
          </m:e>
          <m:sub>
            <m:r>
              <w:rPr>
                <w:rFonts w:ascii="Times New Roman" w:cs="Times New Roman" w:eastAsia="Times New Roman" w:hAnsi="Times New Roman"/>
                <w:sz w:val="24"/>
                <w:szCs w:val="24"/>
              </w:rPr>
              <m:t xml:space="preserve">0</m:t>
            </m:r>
          </m:sub>
        </m:sSub>
      </m:oMath>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t>
            </m:r>
          </m:e>
          <m:sub>
            <m:r>
              <w:rPr>
                <w:rFonts w:ascii="Times New Roman" w:cs="Times New Roman" w:eastAsia="Times New Roman" w:hAnsi="Times New Roman"/>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5">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 of parts and selecting the portfolio with the largest ECI increment and most complex economic structure. </w:t>
      </w:r>
    </w:p>
    <w:p w:rsidR="00000000" w:rsidDel="00000000" w:rsidP="00000000" w:rsidRDefault="00000000" w:rsidRPr="00000000" w14:paraId="000000E7">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it is quite common that there is a surplus for the budget. To deal with the surplus, we just add it to the product which needs the least amount of dollar to make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M</m:t>
            </m:r>
          </m:e>
          <m:sub>
            <m:r>
              <w:rPr>
                <w:rFonts w:ascii="Times New Roman" w:cs="Times New Roman" w:eastAsia="Times New Roman" w:hAnsi="Times New Roman"/>
                <w:sz w:val="24"/>
                <w:szCs w:val="24"/>
              </w:rPr>
              <m:t xml:space="preserve">cp</m:t>
            </m:r>
          </m:sub>
        </m:sSub>
      </m:oMath>
      <w:r w:rsidDel="00000000" w:rsidR="00000000" w:rsidRPr="00000000">
        <w:rPr>
          <w:rFonts w:ascii="Times New Roman" w:cs="Times New Roman" w:eastAsia="Times New Roman" w:hAnsi="Times New Roman"/>
          <w:sz w:val="24"/>
          <w:szCs w:val="24"/>
          <w:rtl w:val="0"/>
        </w:rPr>
        <w:t xml:space="preserve"> = 1, (i.e., the smallest amount of required export increase).</w:t>
      </w:r>
    </w:p>
    <w:p w:rsidR="00000000" w:rsidDel="00000000" w:rsidP="00000000" w:rsidRDefault="00000000" w:rsidRPr="00000000" w14:paraId="000000E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Economic Panel:</w:t>
      </w:r>
    </w:p>
    <w:p w:rsidR="00000000" w:rsidDel="00000000" w:rsidP="00000000" w:rsidRDefault="00000000" w:rsidRPr="00000000" w14:paraId="000000EB">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stated above, the enhanced greedy algorithm is developed mainly for solving the optimal allocation strategy. In order to visualize this allocation, an economic panel is created, consisting of a pie chart, a line chart and a table. Firstly, a pie chart is used to show the percentage of each product in the optimal portfolio. The number located in the center of the circle denotes the heuristic growth of total export, which is also our budget. For example, for the first pie chart below, it shows we should allocate 25% for food and preparations, animals and by-products, and chemicals. In addition, we should allocate 12.5% for raw manufacturing and chemical manufacturing. The lines below the pie charts show how the ECI changes during the searching process of the greedy algorithm. For example, in the last pie chart, we can see there are three components, but there are four increments in the last line chart. That is just because many equalized amounts have been invested in high-complexity products. Even though sometimes people may feel 15% and 20% is nonsense to developed countries, yet it can also give a sense of how a country should develop in the long term. Eventually, the graph in the end is just for numerical explanation for the pie chart.</w:t>
      </w:r>
    </w:p>
    <w:p w:rsidR="00000000" w:rsidDel="00000000" w:rsidP="00000000" w:rsidRDefault="00000000" w:rsidRPr="00000000" w14:paraId="000000E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56926" cy="2128838"/>
            <wp:effectExtent b="0" l="0" r="0" t="0"/>
            <wp:docPr id="6"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56926" cy="212883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20900"/>
            <wp:effectExtent b="0" l="0" r="0" t="0"/>
            <wp:docPr id="2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4050" cy="1739900"/>
            <wp:effectExtent b="0" l="0" r="0" t="0"/>
            <wp:docPr id="17" name="image16.jpg"/>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Interpretation:</w:t>
      </w:r>
    </w:p>
    <w:p w:rsidR="00000000" w:rsidDel="00000000" w:rsidP="00000000" w:rsidRDefault="00000000" w:rsidRPr="00000000" w14:paraId="000000F2">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economic panel for Poland in 2013. We can see that for different percentages of heuristic total export growth, the ECI of Poland has relatively similar performance. From all the four line graphs, we see that Poland already obtains some great increment in terms of ECI. However, increasing the budget for too large an amount would not produce a higher and higher ECI. Also the optimal ECI that we can achieve in all stages is not a great gain from the original one. This means that in long terms, Poland does not have a lot of room to improve. For the four export growth budget, the increment of ECI depends on services and utilities first and then shift to chemical manufacturing. Therefore, Poland should focus on developing services industry first, and then chemical manufacturing.</w:t>
      </w:r>
    </w:p>
    <w:p w:rsidR="00000000" w:rsidDel="00000000" w:rsidP="00000000" w:rsidRDefault="00000000" w:rsidRPr="00000000" w14:paraId="000000F4">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95500"/>
            <wp:effectExtent b="0" l="0" r="0" t="0"/>
            <wp:docPr id="25"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84400"/>
            <wp:effectExtent b="0" l="0" r="0" t="0"/>
            <wp:docPr id="31"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8313" cy="1666875"/>
            <wp:effectExtent b="0" l="0" r="0" t="0"/>
            <wp:docPr id="4" name="image12.jpg"/>
            <a:graphic>
              <a:graphicData uri="http://schemas.openxmlformats.org/drawingml/2006/picture">
                <pic:pic>
                  <pic:nvPicPr>
                    <pic:cNvPr id="0" name="image12.jpg"/>
                    <pic:cNvPicPr preferRelativeResize="0"/>
                  </pic:nvPicPr>
                  <pic:blipFill>
                    <a:blip r:embed="rId22"/>
                    <a:srcRect b="0" l="0" r="0" t="0"/>
                    <a:stretch>
                      <a:fillRect/>
                    </a:stretch>
                  </pic:blipFill>
                  <pic:spPr>
                    <a:xfrm>
                      <a:off x="0" y="0"/>
                      <a:ext cx="5548313"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further suggestions on Poland’s development in the future. We also offer the optimization result of Poland based on export data in 2018. Below is the economic panel for Poland in 2018. We can see that for different percentages of heuristic total export growth, the ECI growth pattern of Poland is similar to the one in 2013. From all the four line graphs, we cannot see Poland has a great increase in ECI. This means that Poland does not have a lot of room to improve. However, our optimization method shows Poland still can have gains by investing in transportation, services industry and high complexity products. Therefore, for future strategy, Poland should prioritize development of these three products in order to optimize the ECI.</w:t>
      </w:r>
    </w:p>
    <w:p w:rsidR="00000000" w:rsidDel="00000000" w:rsidP="00000000" w:rsidRDefault="00000000" w:rsidRPr="00000000" w14:paraId="000000F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070100"/>
            <wp:effectExtent b="0" l="0" r="0" t="0"/>
            <wp:docPr id="1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159000"/>
            <wp:effectExtent b="0" l="0" r="0" t="0"/>
            <wp:docPr id="18"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511300"/>
            <wp:effectExtent b="0" l="0" r="0" t="0"/>
            <wp:docPr id="28" name="image27.jpg"/>
            <a:graphic>
              <a:graphicData uri="http://schemas.openxmlformats.org/drawingml/2006/picture">
                <pic:pic>
                  <pic:nvPicPr>
                    <pic:cNvPr id="0" name="image27.jpg"/>
                    <pic:cNvPicPr preferRelativeResize="0"/>
                  </pic:nvPicPr>
                  <pic:blipFill>
                    <a:blip r:embed="rId25"/>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pageBreakBefore w:val="0"/>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and Contingency Strategy</w:t>
      </w:r>
    </w:p>
    <w:p w:rsidR="00000000" w:rsidDel="00000000" w:rsidP="00000000" w:rsidRDefault="00000000" w:rsidRPr="00000000" w14:paraId="00000103">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following section our broad aim is to understand how sensitive Poland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w:t>
      </w:r>
    </w:p>
    <w:p w:rsidR="00000000" w:rsidDel="00000000" w:rsidP="00000000" w:rsidRDefault="00000000" w:rsidRPr="00000000" w14:paraId="00000104">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ECI Sensitivity Graph</w:t>
      </w:r>
    </w:p>
    <w:p w:rsidR="00000000" w:rsidDel="00000000" w:rsidP="00000000" w:rsidRDefault="00000000" w:rsidRPr="00000000" w14:paraId="00000105">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06">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07">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00700" cy="2657475"/>
            <wp:effectExtent b="0" l="0" r="0" t="0"/>
            <wp:docPr id="30" name="image22.jpg"/>
            <a:graphic>
              <a:graphicData uri="http://schemas.openxmlformats.org/drawingml/2006/picture">
                <pic:pic>
                  <pic:nvPicPr>
                    <pic:cNvPr id="0" name="image22.jpg"/>
                    <pic:cNvPicPr preferRelativeResize="0"/>
                  </pic:nvPicPr>
                  <pic:blipFill>
                    <a:blip r:embed="rId26"/>
                    <a:srcRect b="0" l="0" r="0" t="9709"/>
                    <a:stretch>
                      <a:fillRect/>
                    </a:stretch>
                  </pic:blipFill>
                  <pic:spPr>
                    <a:xfrm>
                      <a:off x="0" y="0"/>
                      <a:ext cx="5600700"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pageBreakBefore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2018 (Incremental ECI Sensitivity)</w:t>
      </w:r>
    </w:p>
    <w:p w:rsidR="00000000" w:rsidDel="00000000" w:rsidP="00000000" w:rsidRDefault="00000000" w:rsidRPr="00000000" w14:paraId="00000109">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0A">
      <w:pPr>
        <w:pageBreakBefore w:val="0"/>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SDV sensitivity</w:t>
      </w:r>
    </w:p>
    <w:p w:rsidR="00000000" w:rsidDel="00000000" w:rsidP="00000000" w:rsidRDefault="00000000" w:rsidRPr="00000000" w14:paraId="0000010B">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0C">
      <w:pPr>
        <w:pageBreakBefore w:val="0"/>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0D">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0E">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39900"/>
            <wp:effectExtent b="0" l="0" r="0" t="0"/>
            <wp:docPr id="13"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ageBreakBefore w:val="0"/>
        <w:spacing w:line="240"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Example High-complexity Products 2018 (Incremental SDV Sensitivity)</w:t>
      </w:r>
    </w:p>
    <w:p w:rsidR="00000000" w:rsidDel="00000000" w:rsidP="00000000" w:rsidRDefault="00000000" w:rsidRPr="00000000" w14:paraId="00000111">
      <w:pPr>
        <w:pageBreakBefore w:val="0"/>
        <w:spacing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ageBreakBefore w:val="0"/>
        <w:spacing w:line="240"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4">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Sensitivity Analysis Results and Interpretation</w:t>
      </w:r>
    </w:p>
    <w:p w:rsidR="00000000" w:rsidDel="00000000" w:rsidP="00000000" w:rsidRDefault="00000000" w:rsidRPr="00000000" w14:paraId="00000115">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Poland’s 2018 ECI Sensitivity Charts. Firstly in the positive chart, we notice that only High Complexity products lead to any positive gain in ECI. However over 150% expansion in High Complexity Product export is needed to experience this gain. Italy is mildly insensitive to the majority of the other industries . </w:t>
      </w:r>
    </w:p>
    <w:p w:rsidR="00000000" w:rsidDel="00000000" w:rsidP="00000000" w:rsidRDefault="00000000" w:rsidRPr="00000000" w14:paraId="0000011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8">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Next we consider Poland’s 2018 Negative Shock chart. We can see that Poland is highly sensitive to decreases in export of Transportation and mildly sensitive to decreases in export of Machinery. Decreases in export from the majority of industries actually improves the ECI, most drastically within the Metals and Animals and By-products industries. </w:t>
      </w:r>
      <w:r w:rsidDel="00000000" w:rsidR="00000000" w:rsidRPr="00000000">
        <w:rPr>
          <w:rtl w:val="0"/>
        </w:rPr>
      </w:r>
    </w:p>
    <w:p w:rsidR="00000000" w:rsidDel="00000000" w:rsidP="00000000" w:rsidRDefault="00000000" w:rsidRPr="00000000" w14:paraId="00000119">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A">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756763" cy="2443163"/>
            <wp:effectExtent b="0" l="0" r="0" t="0"/>
            <wp:docPr id="9" name="image13.jpg"/>
            <a:graphic>
              <a:graphicData uri="http://schemas.openxmlformats.org/drawingml/2006/picture">
                <pic:pic>
                  <pic:nvPicPr>
                    <pic:cNvPr id="0" name="image13.jpg"/>
                    <pic:cNvPicPr preferRelativeResize="0"/>
                  </pic:nvPicPr>
                  <pic:blipFill>
                    <a:blip r:embed="rId28"/>
                    <a:srcRect b="0" l="0" r="0" t="0"/>
                    <a:stretch>
                      <a:fillRect/>
                    </a:stretch>
                  </pic:blipFill>
                  <pic:spPr>
                    <a:xfrm>
                      <a:off x="0" y="0"/>
                      <a:ext cx="4756763"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2018 (Incremental ECI Sensitivity)</w:t>
      </w:r>
    </w:p>
    <w:p w:rsidR="00000000" w:rsidDel="00000000" w:rsidP="00000000" w:rsidRDefault="00000000" w:rsidRPr="00000000" w14:paraId="0000011C">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D">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38700" cy="2409825"/>
            <wp:effectExtent b="0" l="0" r="0" t="0"/>
            <wp:docPr id="12" name="image24.jpg"/>
            <a:graphic>
              <a:graphicData uri="http://schemas.openxmlformats.org/drawingml/2006/picture">
                <pic:pic>
                  <pic:nvPicPr>
                    <pic:cNvPr id="0" name="image24.jpg"/>
                    <pic:cNvPicPr preferRelativeResize="0"/>
                  </pic:nvPicPr>
                  <pic:blipFill>
                    <a:blip r:embed="rId29"/>
                    <a:srcRect b="1938" l="0" r="0" t="0"/>
                    <a:stretch>
                      <a:fillRect/>
                    </a:stretch>
                  </pic:blipFill>
                  <pic:spPr>
                    <a:xfrm>
                      <a:off x="0" y="0"/>
                      <a:ext cx="48387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2018 (Decremental  ECI Sensitivity)</w:t>
      </w:r>
    </w:p>
    <w:p w:rsidR="00000000" w:rsidDel="00000000" w:rsidP="00000000" w:rsidRDefault="00000000" w:rsidRPr="00000000" w14:paraId="0000011F">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consider the 2013 ECI Sensitivity graphs. We see that in the positive shocking case we have a similar profile as the 2018 case. Most industries giver either no benefit or negative benefit to ECI. However only High Complexity Products offer significant increases to ECI. </w:t>
      </w:r>
    </w:p>
    <w:p w:rsidR="00000000" w:rsidDel="00000000" w:rsidP="00000000" w:rsidRDefault="00000000" w:rsidRPr="00000000" w14:paraId="00000121">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2013 negative shocking case, we see that again Poland is even more sensitive to downturns than in the 2018 case. Poland is highly sensitive to drawdown in Transportation, Machinery and High COmplexity Products. Regarding the remaining industries, decreases in export seem to increase ECI levels marginally. </w:t>
      </w:r>
    </w:p>
    <w:p w:rsidR="00000000" w:rsidDel="00000000" w:rsidP="00000000" w:rsidRDefault="00000000" w:rsidRPr="00000000" w14:paraId="00000123">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891088" cy="2508250"/>
            <wp:effectExtent b="0" l="0" r="0" t="0"/>
            <wp:docPr id="1" name="image15.jpg"/>
            <a:graphic>
              <a:graphicData uri="http://schemas.openxmlformats.org/drawingml/2006/picture">
                <pic:pic>
                  <pic:nvPicPr>
                    <pic:cNvPr id="0" name="image15.jpg"/>
                    <pic:cNvPicPr preferRelativeResize="0"/>
                  </pic:nvPicPr>
                  <pic:blipFill>
                    <a:blip r:embed="rId30"/>
                    <a:srcRect b="0" l="0" r="0" t="0"/>
                    <a:stretch>
                      <a:fillRect/>
                    </a:stretch>
                  </pic:blipFill>
                  <pic:spPr>
                    <a:xfrm>
                      <a:off x="0" y="0"/>
                      <a:ext cx="4891088" cy="250825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2013 (Incremental ECI Sensitivity)</w:t>
      </w:r>
    </w:p>
    <w:p w:rsidR="00000000" w:rsidDel="00000000" w:rsidP="00000000" w:rsidRDefault="00000000" w:rsidRPr="00000000" w14:paraId="00000126">
      <w:pPr>
        <w:pageBreakBefore w:val="0"/>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7">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729163" cy="2372160"/>
            <wp:effectExtent b="0" l="0" r="0" t="0"/>
            <wp:docPr id="22" name="image19.jpg"/>
            <a:graphic>
              <a:graphicData uri="http://schemas.openxmlformats.org/drawingml/2006/picture">
                <pic:pic>
                  <pic:nvPicPr>
                    <pic:cNvPr id="0" name="image19.jpg"/>
                    <pic:cNvPicPr preferRelativeResize="0"/>
                  </pic:nvPicPr>
                  <pic:blipFill>
                    <a:blip r:embed="rId31"/>
                    <a:srcRect b="0" l="0" r="0" t="0"/>
                    <a:stretch>
                      <a:fillRect/>
                    </a:stretch>
                  </pic:blipFill>
                  <pic:spPr>
                    <a:xfrm>
                      <a:off x="0" y="0"/>
                      <a:ext cx="4729163" cy="237216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2013 (Decremental  ECI Sensitivity)</w:t>
      </w:r>
    </w:p>
    <w:p w:rsidR="00000000" w:rsidDel="00000000" w:rsidP="00000000" w:rsidRDefault="00000000" w:rsidRPr="00000000" w14:paraId="0000012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High Complexity Products. We see that moderate increases in export of High Complexity Products makes room for other industries to shift into positive opportunity gain territory. An increase of 60% seems to be optimal in that this shocked SDV contains 8 industries that offer attractive positive opportunity gains. </w:t>
      </w:r>
    </w:p>
    <w:p w:rsidR="00000000" w:rsidDel="00000000" w:rsidP="00000000" w:rsidRDefault="00000000" w:rsidRPr="00000000" w14:paraId="0000012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Considering the Negative SDV sensitivity chart we observe that as export of High Complexity products decrease, the number of industries with positive opportunity gains begins to twindle. Intuitively as High complexity products begin to recede other industries that are “close” to this industry become less attractive options to pursue. </w:t>
      </w:r>
    </w:p>
    <w:p w:rsidR="00000000" w:rsidDel="00000000" w:rsidP="00000000" w:rsidRDefault="00000000" w:rsidRPr="00000000" w14:paraId="00000130">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1">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1549400"/>
            <wp:effectExtent b="0" l="0" r="0" t="0"/>
            <wp:docPr id="19" name="image26.jpg"/>
            <a:graphic>
              <a:graphicData uri="http://schemas.openxmlformats.org/drawingml/2006/picture">
                <pic:pic>
                  <pic:nvPicPr>
                    <pic:cNvPr id="0" name="image26.jpg"/>
                    <pic:cNvPicPr preferRelativeResize="0"/>
                  </pic:nvPicPr>
                  <pic:blipFill>
                    <a:blip r:embed="rId3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High-complexity Products 2018 (Incremental SDV Sensitivity)</w:t>
      </w:r>
    </w:p>
    <w:p w:rsidR="00000000" w:rsidDel="00000000" w:rsidP="00000000" w:rsidRDefault="00000000" w:rsidRPr="00000000" w14:paraId="00000133">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4">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5">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816498" cy="2366963"/>
            <wp:effectExtent b="0" l="0" r="0" t="0"/>
            <wp:docPr id="14" name="image9.jpg"/>
            <a:graphic>
              <a:graphicData uri="http://schemas.openxmlformats.org/drawingml/2006/picture">
                <pic:pic>
                  <pic:nvPicPr>
                    <pic:cNvPr id="0" name="image9.jpg"/>
                    <pic:cNvPicPr preferRelativeResize="0"/>
                  </pic:nvPicPr>
                  <pic:blipFill>
                    <a:blip r:embed="rId33"/>
                    <a:srcRect b="0" l="0" r="0" t="0"/>
                    <a:stretch>
                      <a:fillRect/>
                    </a:stretch>
                  </pic:blipFill>
                  <pic:spPr>
                    <a:xfrm>
                      <a:off x="0" y="0"/>
                      <a:ext cx="3816498" cy="2366963"/>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High-complexity Products 2018 (Decremental SDV Sensitivity)</w:t>
      </w:r>
    </w:p>
    <w:p w:rsidR="00000000" w:rsidDel="00000000" w:rsidP="00000000" w:rsidRDefault="00000000" w:rsidRPr="00000000" w14:paraId="00000137">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C">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D">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we see the SDV sensitivity charts for Food and Preparations. Interestingly, in the positive shocking case we see that a small increase in this industry leads to quite a few industries switching from the negative and neutral categories to the positive opportunity gain category. </w:t>
      </w:r>
    </w:p>
    <w:p w:rsidR="00000000" w:rsidDel="00000000" w:rsidP="00000000" w:rsidRDefault="00000000" w:rsidRPr="00000000" w14:paraId="0000013E">
      <w:pPr>
        <w:pageBreakBefore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negative shocking case we see that again small drawdowns of the Food and Preparations Industry can cause drastic shifts in the suggested development vector.  </w:t>
      </w:r>
    </w:p>
    <w:p w:rsidR="00000000" w:rsidDel="00000000" w:rsidP="00000000" w:rsidRDefault="00000000" w:rsidRPr="00000000" w14:paraId="00000140">
      <w:pPr>
        <w:pageBreakBefore w:val="0"/>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2">
      <w:pPr>
        <w:pageBreakBefore w:val="0"/>
        <w:spacing w:line="24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3263" cy="2900865"/>
            <wp:effectExtent b="0" l="0" r="0" t="0"/>
            <wp:docPr id="16" name="image25.jpg"/>
            <a:graphic>
              <a:graphicData uri="http://schemas.openxmlformats.org/drawingml/2006/picture">
                <pic:pic>
                  <pic:nvPicPr>
                    <pic:cNvPr id="0" name="image25.jpg"/>
                    <pic:cNvPicPr preferRelativeResize="0"/>
                  </pic:nvPicPr>
                  <pic:blipFill>
                    <a:blip r:embed="rId34"/>
                    <a:srcRect b="0" l="0" r="0" t="0"/>
                    <a:stretch>
                      <a:fillRect/>
                    </a:stretch>
                  </pic:blipFill>
                  <pic:spPr>
                    <a:xfrm>
                      <a:off x="0" y="0"/>
                      <a:ext cx="3243263" cy="290086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Food and Preparations 2018 (Incremental SDV Sensitivity)</w:t>
      </w:r>
    </w:p>
    <w:p w:rsidR="00000000" w:rsidDel="00000000" w:rsidP="00000000" w:rsidRDefault="00000000" w:rsidRPr="00000000" w14:paraId="00000144">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pageBreakBefore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919109" cy="2443163"/>
            <wp:effectExtent b="0" l="0" r="0" t="0"/>
            <wp:docPr id="3" name="image11.jpg"/>
            <a:graphic>
              <a:graphicData uri="http://schemas.openxmlformats.org/drawingml/2006/picture">
                <pic:pic>
                  <pic:nvPicPr>
                    <pic:cNvPr id="0" name="image11.jpg"/>
                    <pic:cNvPicPr preferRelativeResize="0"/>
                  </pic:nvPicPr>
                  <pic:blipFill>
                    <a:blip r:embed="rId35"/>
                    <a:srcRect b="0" l="0" r="0" t="0"/>
                    <a:stretch>
                      <a:fillRect/>
                    </a:stretch>
                  </pic:blipFill>
                  <pic:spPr>
                    <a:xfrm>
                      <a:off x="0" y="0"/>
                      <a:ext cx="3919109" cy="244316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Food and Preparations 2018 (Decremental SDV Sensitivity)</w:t>
      </w:r>
    </w:p>
    <w:p w:rsidR="00000000" w:rsidDel="00000000" w:rsidP="00000000" w:rsidRDefault="00000000" w:rsidRPr="00000000" w14:paraId="00000148">
      <w:pPr>
        <w:pageBreakBefore w:val="0"/>
        <w:spacing w:line="240" w:lineRule="auto"/>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4A">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B">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Structural Optimality Index</w:t>
      </w:r>
    </w:p>
    <w:p w:rsidR="00000000" w:rsidDel="00000000" w:rsidP="00000000" w:rsidRDefault="00000000" w:rsidRPr="00000000" w14:paraId="0000014C">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groups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4D">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4F">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6"/>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pageBreakBefore w:val="0"/>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 Variable: </w:t>
            </w:r>
            <w:r w:rsidDel="00000000" w:rsidR="00000000" w:rsidRPr="00000000">
              <w:rPr>
                <w:rFonts w:ascii="Times New Roman" w:cs="Times New Roman" w:eastAsia="Times New Roman" w:hAnsi="Times New Roman"/>
                <w:sz w:val="24"/>
                <w:szCs w:val="24"/>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F-Statistic: </w:t>
            </w:r>
            <w:r w:rsidDel="00000000" w:rsidR="00000000" w:rsidRPr="00000000">
              <w:rPr>
                <w:rFonts w:ascii="Times New Roman" w:cs="Times New Roman" w:eastAsia="Times New Roman" w:hAnsi="Times New Roman"/>
                <w:sz w:val="24"/>
                <w:szCs w:val="24"/>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 (F-Stat):</w:t>
            </w:r>
            <w:r w:rsidDel="00000000" w:rsidR="00000000" w:rsidRPr="00000000">
              <w:rPr>
                <w:rFonts w:ascii="Times New Roman" w:cs="Times New Roman" w:eastAsia="Times New Roman" w:hAnsi="Times New Roman"/>
                <w:sz w:val="24"/>
                <w:szCs w:val="24"/>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Adj R</w:t>
            </w:r>
            <w:r w:rsidDel="00000000" w:rsidR="00000000" w:rsidRPr="00000000">
              <w:rPr>
                <w:rFonts w:ascii="Times New Roman" w:cs="Times New Roman" w:eastAsia="Times New Roman" w:hAnsi="Times New Roman"/>
                <w:b w:val="1"/>
                <w:bCs w:val="1"/>
                <w:sz w:val="24"/>
                <w:szCs w:val="24"/>
                <w:vertAlign w:val="superscript"/>
                <w:rtl w:val="0"/>
              </w:rPr>
              <w:t xml:space="preserve">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pageBreakBefore w:val="0"/>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 Observations: </w:t>
            </w:r>
            <w:r w:rsidDel="00000000" w:rsidR="00000000" w:rsidRPr="00000000">
              <w:rPr>
                <w:rFonts w:ascii="Times New Roman" w:cs="Times New Roman" w:eastAsia="Times New Roman" w:hAnsi="Times New Roman"/>
                <w:sz w:val="24"/>
                <w:szCs w:val="24"/>
                <w:rtl w:val="0"/>
              </w:rPr>
              <w:t xml:space="preserve">106</w:t>
            </w:r>
          </w:p>
        </w:tc>
      </w:tr>
    </w:tbl>
    <w:p w:rsidR="00000000" w:rsidDel="00000000" w:rsidP="00000000" w:rsidRDefault="00000000" w:rsidRPr="00000000" w14:paraId="00000158">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3"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59">
      <w:pPr>
        <w:pageBreakBefore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A">
      <w:pPr>
        <w:pageBreakBefore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Regression of Five-year GDP Growth over SOI</w:t>
      </w:r>
    </w:p>
    <w:p w:rsidR="00000000" w:rsidDel="00000000" w:rsidP="00000000" w:rsidRDefault="00000000" w:rsidRPr="00000000" w14:paraId="0000015B">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ageBreakBefore w:val="0"/>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SOI of Poland and Its Implications</w:t>
      </w:r>
    </w:p>
    <w:p w:rsidR="00000000" w:rsidDel="00000000" w:rsidP="00000000" w:rsidRDefault="00000000" w:rsidRPr="00000000" w14:paraId="0000015D">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Poland, for instance, has a relatively high level of structural optimality as compared with its developed peers. As the regression in Figure 7 suggests (the orange curve represents export increase and the blue curve stands for opportunity gain of the corresponding industry), Poland demonstrates a high level of correlation with the suggested developmental path, having an adjusted R-square of around 20.3%. Poland ranks 25</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place among all countries in terms of SOI and has a 5-year growth rate of 26.5% from 2013 to 2018, which is consistent with the regression result in Figure 6. This is similar to some emerging economies such as Turkey, where there is high SOI of around 21.8% and a corresponding GDP growth of 36.7% from 2013 to 2018, making it one of the fastest developing economies during the period. In sum, Poland’s relative economic progress from 2013 to 2018 can be at least partially explained by a matching development strategy that demonstrates a correlation to our suggested developmental path. </w:t>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734050" cy="2298700"/>
            <wp:effectExtent b="0" l="0" r="0" t="0"/>
            <wp:wrapTopAndBottom distB="0" distT="0"/>
            <wp:docPr id="20" name="image14.png"/>
            <a:graphic>
              <a:graphicData uri="http://schemas.openxmlformats.org/drawingml/2006/picture">
                <pic:pic>
                  <pic:nvPicPr>
                    <pic:cNvPr id="0" name="image14.png"/>
                    <pic:cNvPicPr preferRelativeResize="0"/>
                  </pic:nvPicPr>
                  <pic:blipFill>
                    <a:blip r:embed="rId37"/>
                    <a:srcRect b="0" l="0" r="0" t="0"/>
                    <a:stretch>
                      <a:fillRect/>
                    </a:stretch>
                  </pic:blipFill>
                  <pic:spPr>
                    <a:xfrm>
                      <a:off x="0" y="0"/>
                      <a:ext cx="5734050" cy="2298700"/>
                    </a:xfrm>
                    <a:prstGeom prst="rect"/>
                    <a:ln/>
                  </pic:spPr>
                </pic:pic>
              </a:graphicData>
            </a:graphic>
          </wp:anchor>
        </w:drawing>
      </w:r>
    </w:p>
    <w:p w:rsidR="00000000" w:rsidDel="00000000" w:rsidP="00000000" w:rsidRDefault="00000000" w:rsidRPr="00000000" w14:paraId="0000015E">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374900"/>
            <wp:effectExtent b="0" l="0" r="0" t="0"/>
            <wp:docPr id="27" name="image21.png"/>
            <a:graphic>
              <a:graphicData uri="http://schemas.openxmlformats.org/drawingml/2006/picture">
                <pic:pic>
                  <pic:nvPicPr>
                    <pic:cNvPr id="0" name="image21.png"/>
                    <pic:cNvPicPr preferRelativeResize="0"/>
                  </pic:nvPicPr>
                  <pic:blipFill>
                    <a:blip r:embed="rId38"/>
                    <a:srcRect b="0" l="0" r="0"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Figure 7: SOI of Poland(2013-2018)</w:t>
      </w:r>
      <w:r w:rsidDel="00000000" w:rsidR="00000000" w:rsidRPr="00000000">
        <w:rPr>
          <w:rtl w:val="0"/>
        </w:rPr>
      </w:r>
    </w:p>
    <w:p w:rsidR="00000000" w:rsidDel="00000000" w:rsidP="00000000" w:rsidRDefault="00000000" w:rsidRPr="00000000" w14:paraId="00000161">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2">
      <w:pPr>
        <w:pageBreakBefore w:val="0"/>
        <w:spacing w:line="240" w:lineRule="auto"/>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63">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Poland has demonstrated a low level of economic growth in terms of GDP during the period from 2013 to 2018, concurrent with a stagnation in economic complexity as compared with other major European economies. </w:t>
      </w:r>
    </w:p>
    <w:p w:rsidR="00000000" w:rsidDel="00000000" w:rsidP="00000000" w:rsidRDefault="00000000" w:rsidRPr="00000000" w14:paraId="00000165">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of economic progress during the period, we believe, can be partially explained through analysis of the economic and product complexity structure of Poland on the industry group level. The product classification system we adopt allows us to measure the realized industry development for various industry groups and to observe that Poland invested heavily in developing Animals and By-products, Chemical Manufacturing and Textiles during the period, while its emerging peers and developed economies around the globe have adopted much more complex and progressive paths.</w:t>
      </w:r>
    </w:p>
    <w:p w:rsidR="00000000" w:rsidDel="00000000" w:rsidP="00000000" w:rsidRDefault="00000000" w:rsidRPr="00000000" w14:paraId="00000167">
      <w:pPr>
        <w:pageBreakBefore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pageBreakBefore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our analysis of the opportunity gain and a sensitivity analysis of major industry groups, Poland can further its gains by prioritizing Services and Utilities, and Chemicals. We further note that Poland has a slightly mismatched development strategy that indicates a moderate level of structural optimality on the complexity level, having an adjusted R-square of around 20.3%. Since a significant positive correlation exists between five-year GDP growth and the structural optimality index of an economy as we define and calculate, Poland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69">
      <w:pPr>
        <w:pageBreakBefore w:val="0"/>
        <w:spacing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A">
      <w:pPr>
        <w:pageBreakBefore w:val="0"/>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16B">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6C">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Hausmann, R., Hidalgo, C., Bustos, S., Coscia, M., Chung, S., Jimenez, J., Simoes, A. and Yıldırım, M. (2007). </w:t>
      </w:r>
      <w:r w:rsidDel="00000000" w:rsidR="00000000" w:rsidRPr="00000000">
        <w:rPr>
          <w:rFonts w:ascii="Times New Roman" w:cs="Times New Roman" w:eastAsia="Times New Roman" w:hAnsi="Times New Roman"/>
          <w:i w:val="1"/>
          <w:iCs w:val="1"/>
          <w:sz w:val="24"/>
          <w:szCs w:val="24"/>
          <w:highlight w:val="white"/>
          <w:rtl w:val="0"/>
        </w:rPr>
        <w:t xml:space="preserve">The Atlas of Economic Complexity</w:t>
      </w:r>
      <w:r w:rsidDel="00000000" w:rsidR="00000000" w:rsidRPr="00000000">
        <w:rPr>
          <w:rFonts w:ascii="Times New Roman" w:cs="Times New Roman" w:eastAsia="Times New Roman" w:hAnsi="Times New Roman"/>
          <w:sz w:val="24"/>
          <w:szCs w:val="24"/>
          <w:highlight w:val="white"/>
          <w:rtl w:val="0"/>
        </w:rPr>
        <w:t xml:space="preserve">. [online] Atlas.cid.harvard.edu. Available at: http://atlas.cid.harvard.edu/.</w:t>
      </w:r>
    </w:p>
    <w:p w:rsidR="00000000" w:rsidDel="00000000" w:rsidP="00000000" w:rsidRDefault="00000000" w:rsidRPr="00000000" w14:paraId="0000016D">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E">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Balassa, B., “The Purchasing Power Parity Doctrine - A Reapprais- al,” </w:t>
      </w:r>
      <w:r w:rsidDel="00000000" w:rsidR="00000000" w:rsidRPr="00000000">
        <w:rPr>
          <w:rFonts w:ascii="Times New Roman" w:cs="Times New Roman" w:eastAsia="Times New Roman" w:hAnsi="Times New Roman"/>
          <w:i w:val="1"/>
          <w:iCs w:val="1"/>
          <w:sz w:val="24"/>
          <w:szCs w:val="24"/>
          <w:highlight w:val="white"/>
          <w:rtl w:val="0"/>
        </w:rPr>
        <w:t xml:space="preserve">Journal of Political Economy </w:t>
      </w:r>
      <w:r w:rsidDel="00000000" w:rsidR="00000000" w:rsidRPr="00000000">
        <w:rPr>
          <w:rFonts w:ascii="Times New Roman" w:cs="Times New Roman" w:eastAsia="Times New Roman" w:hAnsi="Times New Roman"/>
          <w:b w:val="1"/>
          <w:bCs w:val="1"/>
          <w:sz w:val="24"/>
          <w:szCs w:val="24"/>
          <w:highlight w:val="white"/>
          <w:rtl w:val="0"/>
        </w:rPr>
        <w:t xml:space="preserve">72</w:t>
      </w:r>
      <w:r w:rsidDel="00000000" w:rsidR="00000000" w:rsidRPr="00000000">
        <w:rPr>
          <w:rFonts w:ascii="Times New Roman" w:cs="Times New Roman" w:eastAsia="Times New Roman" w:hAnsi="Times New Roman"/>
          <w:sz w:val="24"/>
          <w:szCs w:val="24"/>
          <w:highlight w:val="white"/>
          <w:rtl w:val="0"/>
        </w:rPr>
        <w:t xml:space="preserve">, 584-596 (1964). </w:t>
      </w:r>
    </w:p>
    <w:p w:rsidR="00000000" w:rsidDel="00000000" w:rsidP="00000000" w:rsidRDefault="00000000" w:rsidRPr="00000000" w14:paraId="0000016F">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0">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71">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2">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United Nations Commodity Trade Statistics Database (http://comtrade.un.org/db/), accessed in August 2019. </w:t>
      </w:r>
    </w:p>
    <w:p w:rsidR="00000000" w:rsidDel="00000000" w:rsidP="00000000" w:rsidRDefault="00000000" w:rsidRPr="00000000" w14:paraId="00000173">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4">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World Economic Forum, “The global competitiveness report,” (various years). </w:t>
      </w:r>
    </w:p>
    <w:p w:rsidR="00000000" w:rsidDel="00000000" w:rsidP="00000000" w:rsidRDefault="00000000" w:rsidRPr="00000000" w14:paraId="00000175">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6">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77">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8">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79">
      <w:pPr>
        <w:pageBreakBefore w:val="0"/>
        <w:spacing w:line="240"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A">
      <w:pPr>
        <w:pageBreakBefore w:val="0"/>
        <w:spacing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highlight w:val="white"/>
          <w:rtl w:val="0"/>
        </w:rPr>
        <w:t xml:space="preserve">Hanushek, E.A. &amp; Woessmann, L. “The Role of Cognitive Skills in Economic Development,” Journal of Economic Literature 46(3), 607- 668 (2008). </w:t>
      </w:r>
      <w:r w:rsidDel="00000000" w:rsidR="00000000" w:rsidRPr="00000000">
        <w:rPr>
          <w:rtl w:val="0"/>
        </w:rPr>
      </w:r>
    </w:p>
    <w:sectPr>
      <w:foot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pageBreakBefore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22" Type="http://schemas.openxmlformats.org/officeDocument/2006/relationships/image" Target="media/image12.jpg"/><Relationship Id="rId21" Type="http://schemas.openxmlformats.org/officeDocument/2006/relationships/image" Target="media/image28.png"/><Relationship Id="rId24" Type="http://schemas.openxmlformats.org/officeDocument/2006/relationships/image" Target="media/image32.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22.jpg"/><Relationship Id="rId25" Type="http://schemas.openxmlformats.org/officeDocument/2006/relationships/image" Target="media/image27.jpg"/><Relationship Id="rId28" Type="http://schemas.openxmlformats.org/officeDocument/2006/relationships/image" Target="media/image13.jpg"/><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17.png"/><Relationship Id="rId29" Type="http://schemas.openxmlformats.org/officeDocument/2006/relationships/image" Target="media/image24.jpg"/><Relationship Id="rId7" Type="http://schemas.openxmlformats.org/officeDocument/2006/relationships/image" Target="media/image30.png"/><Relationship Id="rId8" Type="http://schemas.openxmlformats.org/officeDocument/2006/relationships/image" Target="media/image33.png"/><Relationship Id="rId31" Type="http://schemas.openxmlformats.org/officeDocument/2006/relationships/image" Target="media/image19.jpg"/><Relationship Id="rId30" Type="http://schemas.openxmlformats.org/officeDocument/2006/relationships/image" Target="media/image15.jpg"/><Relationship Id="rId11" Type="http://schemas.openxmlformats.org/officeDocument/2006/relationships/image" Target="media/image6.png"/><Relationship Id="rId33" Type="http://schemas.openxmlformats.org/officeDocument/2006/relationships/image" Target="media/image9.jpg"/><Relationship Id="rId10" Type="http://schemas.openxmlformats.org/officeDocument/2006/relationships/image" Target="media/image31.png"/><Relationship Id="rId32" Type="http://schemas.openxmlformats.org/officeDocument/2006/relationships/image" Target="media/image26.jpg"/><Relationship Id="rId13" Type="http://schemas.openxmlformats.org/officeDocument/2006/relationships/image" Target="media/image18.jpg"/><Relationship Id="rId35" Type="http://schemas.openxmlformats.org/officeDocument/2006/relationships/image" Target="media/image11.jpg"/><Relationship Id="rId12" Type="http://schemas.openxmlformats.org/officeDocument/2006/relationships/image" Target="media/image5.jpg"/><Relationship Id="rId34" Type="http://schemas.openxmlformats.org/officeDocument/2006/relationships/image" Target="media/image25.jpg"/><Relationship Id="rId15" Type="http://schemas.openxmlformats.org/officeDocument/2006/relationships/image" Target="media/image7.png"/><Relationship Id="rId37" Type="http://schemas.openxmlformats.org/officeDocument/2006/relationships/image" Target="media/image14.png"/><Relationship Id="rId14" Type="http://schemas.openxmlformats.org/officeDocument/2006/relationships/image" Target="media/image1.jpg"/><Relationship Id="rId36" Type="http://schemas.openxmlformats.org/officeDocument/2006/relationships/image" Target="media/image20.png"/><Relationship Id="rId17" Type="http://schemas.openxmlformats.org/officeDocument/2006/relationships/image" Target="media/image4.png"/><Relationship Id="rId39" Type="http://schemas.openxmlformats.org/officeDocument/2006/relationships/footer" Target="footer1.xml"/><Relationship Id="rId16" Type="http://schemas.openxmlformats.org/officeDocument/2006/relationships/image" Target="media/image2.png"/><Relationship Id="rId38" Type="http://schemas.openxmlformats.org/officeDocument/2006/relationships/image" Target="media/image21.png"/><Relationship Id="rId19" Type="http://schemas.openxmlformats.org/officeDocument/2006/relationships/image" Target="media/image16.jp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