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b w:val="1"/>
          <w:bCs w:val="1"/>
          <w:color w:val="695d46"/>
          <w:sz w:val="20"/>
          <w:szCs w:val="20"/>
        </w:rPr>
      </w:pPr>
      <w:bookmarkStart w:colFirst="0" w:colLast="0" w:name="_z6ne0og04bp5" w:id="0"/>
      <w:bookmarkEnd w:id="0"/>
      <w:r w:rsidDel="00000000" w:rsidR="00000000" w:rsidRPr="00000000">
        <w:rPr>
          <w:rFonts w:ascii="Open Sans" w:cs="Open Sans" w:eastAsia="Open Sans" w:hAnsi="Open Sans"/>
          <w:color w:val="695d46"/>
          <w:sz w:val="22"/>
          <w:szCs w:val="22"/>
        </w:rPr>
        <w:drawing>
          <wp:inline distB="114300" distT="114300" distL="114300" distR="114300">
            <wp:extent cx="5731200" cy="101600"/>
            <wp:effectExtent b="0" l="0" r="0" t="0"/>
            <wp:docPr descr="horizontal line" id="26" name="image9.png"/>
            <a:graphic>
              <a:graphicData uri="http://schemas.openxmlformats.org/drawingml/2006/picture">
                <pic:pic>
                  <pic:nvPicPr>
                    <pic:cNvPr descr="horizontal line" id="0" name="image9.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b w:val="1"/>
          <w:bCs w:val="1"/>
          <w:color w:val="695d46"/>
          <w:sz w:val="20"/>
          <w:szCs w:val="20"/>
        </w:rPr>
        <w:drawing>
          <wp:inline distB="114300" distT="114300" distL="114300" distR="114300">
            <wp:extent cx="5731200" cy="4000500"/>
            <wp:effectExtent b="0" l="0" r="0" t="0"/>
            <wp:docPr id="31" name="image32.png"/>
            <a:graphic>
              <a:graphicData uri="http://schemas.openxmlformats.org/drawingml/2006/picture">
                <pic:pic>
                  <pic:nvPicPr>
                    <pic:cNvPr id="0" name="image32.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spacing w:lin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4"/>
          <w:szCs w:val="14"/>
          <w:rtl w:val="0"/>
        </w:rPr>
        <w:t xml:space="preserve"> https://atlas.cid.harvard.edu/</w:t>
      </w:r>
    </w:p>
    <w:p w:rsidR="00000000" w:rsidDel="00000000" w:rsidP="00000000" w:rsidRDefault="00000000" w:rsidRPr="00000000" w14:paraId="00000003">
      <w:pPr>
        <w:pStyle w:val="Title"/>
        <w:keepNext w:val="0"/>
        <w:keepLines w:val="0"/>
        <w:pageBreakBefore w:val="0"/>
        <w:spacing w:after="0" w:before="320" w:line="240" w:lineRule="auto"/>
        <w:rPr>
          <w:rFonts w:ascii="PT Sans Narrow" w:cs="PT Sans Narrow" w:eastAsia="PT Sans Narrow" w:hAnsi="PT Sans Narrow"/>
          <w:b w:val="1"/>
          <w:bCs w:val="1"/>
          <w:color w:val="666666"/>
          <w:sz w:val="54"/>
          <w:szCs w:val="54"/>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54"/>
          <w:szCs w:val="54"/>
          <w:rtl w:val="0"/>
        </w:rPr>
        <w:t xml:space="preserve">Optimal Industry Development Strategy Using Economic and Product Complexity</w:t>
      </w:r>
    </w:p>
    <w:p w:rsidR="00000000" w:rsidDel="00000000" w:rsidP="00000000" w:rsidRDefault="00000000" w:rsidRPr="00000000" w14:paraId="00000004">
      <w:pPr>
        <w:pStyle w:val="Title"/>
        <w:keepNext w:val="0"/>
        <w:keepLines w:val="0"/>
        <w:pageBreakBefore w:val="0"/>
        <w:spacing w:after="0" w:before="320" w:line="240" w:lineRule="auto"/>
        <w:rPr>
          <w:rFonts w:ascii="PT Sans Narrow" w:cs="PT Sans Narrow" w:eastAsia="PT Sans Narrow" w:hAnsi="PT Sans Narrow"/>
          <w:b w:val="1"/>
          <w:bCs w:val="1"/>
          <w:sz w:val="54"/>
          <w:szCs w:val="54"/>
        </w:rPr>
      </w:pPr>
      <w:bookmarkStart w:colFirst="0" w:colLast="0" w:name="_q5cok54tx0k8" w:id="2"/>
      <w:bookmarkEnd w:id="2"/>
      <w:r w:rsidDel="00000000" w:rsidR="00000000" w:rsidRPr="00000000">
        <w:rPr>
          <w:rFonts w:ascii="PT Sans Narrow" w:cs="PT Sans Narrow" w:eastAsia="PT Sans Narrow" w:hAnsi="PT Sans Narrow"/>
          <w:b w:val="1"/>
          <w:bCs w:val="1"/>
          <w:sz w:val="54"/>
          <w:szCs w:val="54"/>
          <w:rtl w:val="0"/>
        </w:rPr>
        <w:t xml:space="preserve">Thailand</w:t>
      </w:r>
      <w:r w:rsidDel="00000000" w:rsidR="00000000" w:rsidRPr="00000000">
        <w:rPr>
          <w:rtl w:val="0"/>
        </w:rPr>
      </w:r>
    </w:p>
    <w:p w:rsidR="00000000" w:rsidDel="00000000" w:rsidP="00000000" w:rsidRDefault="00000000" w:rsidRPr="00000000" w14:paraId="00000005">
      <w:pPr>
        <w:pageBreakBefore w:val="0"/>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16"/>
          <w:szCs w:val="16"/>
        </w:rPr>
      </w:pPr>
      <w:r w:rsidDel="00000000" w:rsidR="00000000" w:rsidRPr="00000000">
        <w:rPr>
          <w:rFonts w:ascii="Arial Unicode MS" w:cs="Arial Unicode MS" w:eastAsia="Arial Unicode MS" w:hAnsi="Arial Unicode MS"/>
          <w:b w:val="1"/>
          <w:bCs w:val="1"/>
          <w:sz w:val="30"/>
          <w:szCs w:val="30"/>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240" w:lineRule="auto"/>
        <w:rPr>
          <w:rFonts w:ascii="PT Sans Narrow" w:cs="PT Sans Narrow" w:eastAsia="PT Sans Narrow" w:hAnsi="PT Sans Narrow"/>
          <w:color w:val="008575"/>
          <w:sz w:val="28"/>
          <w:szCs w:val="28"/>
        </w:rPr>
      </w:pPr>
      <w:r w:rsidDel="00000000" w:rsidR="00000000" w:rsidRPr="00000000">
        <w:rPr>
          <w:rFonts w:ascii="PT Sans Narrow" w:cs="PT Sans Narrow" w:eastAsia="PT Sans Narrow" w:hAnsi="PT Sans Narrow"/>
          <w:color w:val="008575"/>
          <w:sz w:val="28"/>
          <w:szCs w:val="28"/>
          <w:rtl w:val="0"/>
        </w:rPr>
        <w:t xml:space="preserve">The Economic Complexity Lab - Columbia University</w:t>
      </w:r>
    </w:p>
    <w:p w:rsidR="00000000" w:rsidDel="00000000" w:rsidP="00000000" w:rsidRDefault="00000000" w:rsidRPr="00000000" w14:paraId="00000008">
      <w:pPr>
        <w:pageBreakBefore w:val="0"/>
        <w:spacing w:before="120" w:line="240" w:lineRule="auto"/>
        <w:rPr>
          <w:rFonts w:ascii="Times New Roman" w:cs="Times New Roman" w:eastAsia="Times New Roman" w:hAnsi="Times New Roman"/>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Optimal Industry Development Strategy for Thailand</w:t>
      </w:r>
    </w:p>
    <w:p w:rsidR="00000000" w:rsidDel="00000000" w:rsidP="00000000" w:rsidRDefault="00000000" w:rsidRPr="00000000" w14:paraId="0000000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spacing w:line="240" w:lineRule="auto"/>
        <w:rPr>
          <w:rFonts w:ascii="Times New Roman" w:cs="Times New Roman" w:eastAsia="Times New Roman" w:hAnsi="Times New Roman"/>
          <w:sz w:val="24"/>
          <w:szCs w:val="24"/>
        </w:rPr>
      </w:pPr>
      <w:r w:rsidDel="00000000" w:rsidR="00000000" w:rsidRPr="00000000">
        <w:rPr>
          <w:rFonts w:ascii="Times" w:cs="Times" w:eastAsia="Times" w:hAnsi="Times"/>
          <w:b w:val="1"/>
          <w:bCs w:val="1"/>
          <w:sz w:val="28"/>
          <w:szCs w:val="28"/>
          <w:rtl w:val="0"/>
        </w:rPr>
        <w:t xml:space="preserve">0. Executive Summary</w:t>
      </w:r>
      <w:r w:rsidDel="00000000" w:rsidR="00000000" w:rsidRPr="00000000">
        <w:rPr>
          <w:rtl w:val="0"/>
        </w:rPr>
      </w:r>
    </w:p>
    <w:p w:rsidR="00000000" w:rsidDel="00000000" w:rsidP="00000000" w:rsidRDefault="00000000" w:rsidRPr="00000000" w14:paraId="0000000C">
      <w:pPr>
        <w:pageBreakBefore w:val="0"/>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report, we aim to uncover the economic path Thailand went through during the period from 2013 to 2018. Specifically, we dive into the topic through a macroeconomic overview of Thailand from the perspective of Gross Domestic Product (GDP) and Economic Complexity Index (ECI), which reflect countries’ production capability and production structure, respectively. We find that during the period of our interest, Thailand demonstrated a low level of economic growth with an annual GDP growth rate of 4.2%, concurrent with a decrease in economic complexity as compared with other major economies in Asia. </w:t>
      </w:r>
    </w:p>
    <w:p w:rsidR="00000000" w:rsidDel="00000000" w:rsidP="00000000" w:rsidRDefault="00000000" w:rsidRPr="00000000" w14:paraId="0000000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economic progress during the period, we believe, can be partially explained through analysis of the economic and product complexity structure of Thailand on the industry group level. The product classification system we adopt allows us to measure the realized industry development for various industry groups and to observe that Thailand invested heavily in developing Chemicals, Food and Preparations, and Energy Drilling and Mining during the period, while its emerging peers and developed economies around the globe have adopted much more complex and progressive paths.</w:t>
      </w:r>
    </w:p>
    <w:p w:rsidR="00000000" w:rsidDel="00000000" w:rsidP="00000000" w:rsidRDefault="00000000" w:rsidRPr="00000000" w14:paraId="0000001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Thailand can further its gains by prioritizing Services and Utilities, and Wood Products. We further note that Thailand has a slightly mismatched development strategy that indicates a moderate level of structural optimality on the complexity level, having an adjusted R-square of around -5.8%. Since a significant positive correlation exists between five-year GDP growth and the structural optimality index of an economy as we define and calculate, Thailand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spacing w:line="240" w:lineRule="auto"/>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spacing w:line="24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spacing w:line="240" w:lineRule="auto"/>
        <w:jc w:val="both"/>
        <w:rPr>
          <w:rFonts w:ascii="Times" w:cs="Times" w:eastAsia="Times" w:hAnsi="Times"/>
          <w:b w:val="1"/>
          <w:bCs w:val="1"/>
          <w:sz w:val="28"/>
          <w:szCs w:val="28"/>
        </w:rPr>
      </w:pPr>
      <w:r w:rsidDel="00000000" w:rsidR="00000000" w:rsidRPr="00000000">
        <w:rPr>
          <w:rFonts w:ascii="Times New Roman" w:cs="Times New Roman" w:eastAsia="Times New Roman" w:hAnsi="Times New Roman"/>
          <w:sz w:val="24"/>
          <w:szCs w:val="24"/>
          <w:rtl w:val="0"/>
        </w:rPr>
        <w:t xml:space="preserve">In this report, we aim to uncover the economic path Brazil went through during the period from 2013 to 2018. Specifically, we dive into the topic through a macroeconomic overview of Brazil from the perspective of Gross Domestic Product (GDP) and Economic Complexity Index (ECI), which reflect countries’ production capability and production structure, respectively. We then analyze the industrial framework and changes of Brazil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Brazil, as deduced from regression models we have established on a global scale, which take into account countries’ stances in their product space.</w:t>
      </w:r>
      <w:r w:rsidDel="00000000" w:rsidR="00000000" w:rsidRPr="00000000">
        <w:rPr>
          <w:rtl w:val="0"/>
        </w:rPr>
      </w:r>
    </w:p>
    <w:p w:rsidR="00000000" w:rsidDel="00000000" w:rsidP="00000000" w:rsidRDefault="00000000" w:rsidRPr="00000000" w14:paraId="00000016">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GDP Ranking and Changes</w:t>
      </w:r>
    </w:p>
    <w:p w:rsidR="00000000" w:rsidDel="00000000" w:rsidP="00000000" w:rsidRDefault="00000000" w:rsidRPr="00000000" w14:paraId="0000001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22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largest economy in the world ranked by GDP, Thailand has a GDP of 420 billion USD in 2013 and 504 billion USD in 2018, exhibiting an extraordinary level of economic output. Figure 1 illustrates the time-series GDP results for major asian economies from 1999-2018, and Thailand ranks among its peers as a small but growing economy in terms of both GDP and GDP growth. During the period from 2013 to 2018, Thailand achieved an average annual growth of 4.2% in GDP. This number is almost at the same level as the annual growth rate of the other four leading asian economies, which have a geometric average growth rate of 3.0% and an arithmetic average growth rates of 3.2%. Compared with more developed economies on a global scale, the annual growth rate of 4.2% is comparable to countries such as the USA which has an average annual GDP increase of around 4% during the period. The rapid economic growth, we believe, can be reflected through changes in ECI and PCI, and can be further explained by a well-chosen set of production strategies adopted by Thailand from 2013 to 2018, which we will expand at the later stage of the report.</w:t>
      </w:r>
    </w:p>
    <w:p w:rsidR="00000000" w:rsidDel="00000000" w:rsidP="00000000" w:rsidRDefault="00000000" w:rsidRPr="00000000" w14:paraId="0000001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633113" cy="3024188"/>
            <wp:effectExtent b="12700" l="12700" r="12700" t="12700"/>
            <wp:docPr id="12"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5633113" cy="30241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D">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GDP Comparison Among Major Asian Economies</w:t>
      </w:r>
    </w:p>
    <w:p w:rsidR="00000000" w:rsidDel="00000000" w:rsidP="00000000" w:rsidRDefault="00000000" w:rsidRPr="00000000" w14:paraId="0000001F">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ECI Ranking and Changes</w:t>
      </w:r>
    </w:p>
    <w:p w:rsidR="00000000" w:rsidDel="00000000" w:rsidP="00000000" w:rsidRDefault="00000000" w:rsidRPr="00000000" w14:paraId="0000002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Economic Complexity Index (ECI), as defined by Ricardo Hausmann and Cesar Hidalgo in 2009 to explain the knowledge accumulated in a country's population, exhibits a similar pattern for Thailand. As illustrated in Figure 2 below, Thailand exhibits a stable production capability from 2013 to 2018, as measured by ECI. This is in direct contrast to some other asian economies such as Indonesia, which demonstrates a huge disadvantage in both ECI growth rate and GDP growth rate. </w:t>
      </w:r>
    </w:p>
    <w:p w:rsidR="00000000" w:rsidDel="00000000" w:rsidP="00000000" w:rsidRDefault="00000000" w:rsidRPr="00000000" w14:paraId="0000002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00363" cy="1788402"/>
            <wp:effectExtent b="12700" l="12700" r="12700" t="12700"/>
            <wp:docPr id="13"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2900363" cy="1788402"/>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843624" cy="1795463"/>
            <wp:effectExtent b="12700" l="12700" r="12700" t="12700"/>
            <wp:docPr id="29"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2843624" cy="17954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3">
      <w:pPr>
        <w:pageBreakBefore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2: ECI Comparison                           Figure 3: GDP and ECI (Thailand)</w:t>
      </w:r>
    </w:p>
    <w:p w:rsidR="00000000" w:rsidDel="00000000" w:rsidP="00000000" w:rsidRDefault="00000000" w:rsidRPr="00000000" w14:paraId="00000024">
      <w:pPr>
        <w:pageBreakBefore w:val="0"/>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offers a further comparison of GDP and ECI over the entire time span from 2013 to 2018 for Thailand. The increase in GDP growth during the period from 2013 to 2018 is accompanied by a significant decrease in ECI. The results show that the economic growth experienced by Thailand during this period, though stable, is not very consistent with the predictions by ECI. In order to provide a more concrete answer to why this has happened, we will dive into an analysis of Thailand’s production structure and its product space designs in the next few chapters. </w:t>
      </w:r>
    </w:p>
    <w:p w:rsidR="00000000" w:rsidDel="00000000" w:rsidP="00000000" w:rsidRDefault="00000000" w:rsidRPr="00000000" w14:paraId="00000026">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8">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9">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Product Categorization</w:t>
      </w:r>
    </w:p>
    <w:p w:rsidR="00000000" w:rsidDel="00000000" w:rsidP="00000000" w:rsidRDefault="00000000" w:rsidRPr="00000000" w14:paraId="0000002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2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2D">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2E">
            <w:pPr>
              <w:pageBreakBefore w:val="0"/>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Category</w:t>
            </w:r>
          </w:p>
        </w:tc>
        <w:tc>
          <w:tcPr/>
          <w:p w:rsidR="00000000" w:rsidDel="00000000" w:rsidP="00000000" w:rsidRDefault="00000000" w:rsidRPr="00000000" w14:paraId="0000002F">
            <w:pPr>
              <w:pageBreakBefore w:val="0"/>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Description</w:t>
            </w:r>
          </w:p>
        </w:tc>
      </w:tr>
      <w:tr>
        <w:trPr>
          <w:cantSplit w:val="0"/>
          <w:tblHeader w:val="0"/>
        </w:trPr>
        <w:tc>
          <w:tcPr/>
          <w:p w:rsidR="00000000" w:rsidDel="00000000" w:rsidP="00000000" w:rsidRDefault="00000000" w:rsidRPr="00000000" w14:paraId="0000003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p w:rsidR="00000000" w:rsidDel="00000000" w:rsidP="00000000" w:rsidRDefault="00000000" w:rsidRPr="00000000" w14:paraId="0000003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Vegetables, Fruits and Plants</w:t>
            </w:r>
          </w:p>
        </w:tc>
        <w:tc>
          <w:tcPr/>
          <w:p w:rsidR="00000000" w:rsidDel="00000000" w:rsidP="00000000" w:rsidRDefault="00000000" w:rsidRPr="00000000" w14:paraId="0000003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p w:rsidR="00000000" w:rsidDel="00000000" w:rsidP="00000000" w:rsidRDefault="00000000" w:rsidRPr="00000000" w14:paraId="0000003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Clothing and Accessories</w:t>
            </w:r>
          </w:p>
        </w:tc>
        <w:tc>
          <w:tcPr/>
          <w:p w:rsidR="00000000" w:rsidDel="00000000" w:rsidP="00000000" w:rsidRDefault="00000000" w:rsidRPr="00000000" w14:paraId="0000003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p w:rsidR="00000000" w:rsidDel="00000000" w:rsidP="00000000" w:rsidRDefault="00000000" w:rsidRPr="00000000" w14:paraId="0000003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3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c>
          <w:tcPr/>
          <w:p w:rsidR="00000000" w:rsidDel="00000000" w:rsidP="00000000" w:rsidRDefault="00000000" w:rsidRPr="00000000" w14:paraId="0000003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3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c>
          <w:tcPr/>
          <w:p w:rsidR="00000000" w:rsidDel="00000000" w:rsidP="00000000" w:rsidRDefault="00000000" w:rsidRPr="00000000" w14:paraId="0000003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of all sorts of raw Metals</w:t>
            </w:r>
          </w:p>
        </w:tc>
      </w:tr>
      <w:tr>
        <w:trPr>
          <w:cantSplit w:val="0"/>
          <w:tblHeader w:val="0"/>
        </w:trPr>
        <w:tc>
          <w:tcPr/>
          <w:p w:rsidR="00000000" w:rsidDel="00000000" w:rsidP="00000000" w:rsidRDefault="00000000" w:rsidRPr="00000000" w14:paraId="0000003E">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and Processed Stones</w:t>
            </w:r>
          </w:p>
        </w:tc>
        <w:tc>
          <w:tcPr/>
          <w:p w:rsidR="00000000" w:rsidDel="00000000" w:rsidP="00000000" w:rsidRDefault="00000000" w:rsidRPr="00000000" w14:paraId="0000003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p w:rsidR="00000000" w:rsidDel="00000000" w:rsidP="00000000" w:rsidRDefault="00000000" w:rsidRPr="00000000" w14:paraId="0000004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p w:rsidR="00000000" w:rsidDel="00000000" w:rsidP="00000000" w:rsidRDefault="00000000" w:rsidRPr="00000000" w14:paraId="0000004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p w:rsidR="00000000" w:rsidDel="00000000" w:rsidP="00000000" w:rsidRDefault="00000000" w:rsidRPr="00000000" w14:paraId="0000004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p w:rsidR="00000000" w:rsidDel="00000000" w:rsidP="00000000" w:rsidRDefault="00000000" w:rsidRPr="00000000" w14:paraId="0000004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Chemicals</w:t>
            </w:r>
          </w:p>
        </w:tc>
        <w:tc>
          <w:tcPr/>
          <w:p w:rsidR="00000000" w:rsidDel="00000000" w:rsidP="00000000" w:rsidRDefault="00000000" w:rsidRPr="00000000" w14:paraId="0000004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chemical materials and by-products</w:t>
            </w:r>
          </w:p>
        </w:tc>
      </w:tr>
      <w:tr>
        <w:trPr>
          <w:cantSplit w:val="0"/>
          <w:tblHeader w:val="0"/>
        </w:trPr>
        <w:tc>
          <w:tcPr/>
          <w:p w:rsidR="00000000" w:rsidDel="00000000" w:rsidP="00000000" w:rsidRDefault="00000000" w:rsidRPr="00000000" w14:paraId="0000004A">
            <w:pPr>
              <w:pageBreakBefore w:val="0"/>
              <w:tabs>
                <w:tab w:val="left" w:leader="none" w:pos="1718"/>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p w:rsidR="00000000" w:rsidDel="00000000" w:rsidP="00000000" w:rsidRDefault="00000000" w:rsidRPr="00000000" w14:paraId="0000004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4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p w:rsidR="00000000" w:rsidDel="00000000" w:rsidP="00000000" w:rsidRDefault="00000000" w:rsidRPr="00000000" w14:paraId="0000004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4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p w:rsidR="00000000" w:rsidDel="00000000" w:rsidP="00000000" w:rsidRDefault="00000000" w:rsidRPr="00000000" w14:paraId="0000004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Explosives, arms and ammunition</w:t>
            </w:r>
          </w:p>
        </w:tc>
      </w:tr>
      <w:tr>
        <w:trPr>
          <w:cantSplit w:val="0"/>
          <w:tblHeader w:val="0"/>
        </w:trPr>
        <w:tc>
          <w:tcPr/>
          <w:p w:rsidR="00000000" w:rsidDel="00000000" w:rsidP="00000000" w:rsidRDefault="00000000" w:rsidRPr="00000000" w14:paraId="0000005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p w:rsidR="00000000" w:rsidDel="00000000" w:rsidP="00000000" w:rsidRDefault="00000000" w:rsidRPr="00000000" w14:paraId="0000005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5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Agglomeration of advanced products with highest PCIs</w:t>
            </w:r>
          </w:p>
        </w:tc>
      </w:tr>
    </w:tbl>
    <w:p w:rsidR="00000000" w:rsidDel="00000000" w:rsidP="00000000" w:rsidRDefault="00000000" w:rsidRPr="00000000" w14:paraId="0000005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Categorization of Products</w:t>
      </w:r>
    </w:p>
    <w:p w:rsidR="00000000" w:rsidDel="00000000" w:rsidP="00000000" w:rsidRDefault="00000000" w:rsidRPr="00000000" w14:paraId="00000056">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8">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5A">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B">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5C">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5D">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5E">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5F">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0.075</w:t>
            </w:r>
          </w:p>
        </w:tc>
        <w:tc>
          <w:tcPr>
            <w:vAlign w:val="bottom"/>
          </w:tcPr>
          <w:p w:rsidR="00000000" w:rsidDel="00000000" w:rsidP="00000000" w:rsidRDefault="00000000" w:rsidRPr="00000000" w14:paraId="00000060">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w:t>
            </w:r>
          </w:p>
        </w:tc>
        <w:tc>
          <w:tcPr>
            <w:vAlign w:val="bottom"/>
          </w:tcPr>
          <w:p w:rsidR="00000000" w:rsidDel="00000000" w:rsidP="00000000" w:rsidRDefault="00000000" w:rsidRPr="00000000" w14:paraId="00000061">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w:t>
            </w:r>
          </w:p>
        </w:tc>
      </w:tr>
      <w:tr>
        <w:trPr>
          <w:cantSplit w:val="0"/>
          <w:tblHeader w:val="0"/>
        </w:trPr>
        <w:tc>
          <w:tcPr/>
          <w:p w:rsidR="00000000" w:rsidDel="00000000" w:rsidP="00000000" w:rsidRDefault="00000000" w:rsidRPr="00000000" w14:paraId="00000062">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3">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9.556</w:t>
            </w:r>
          </w:p>
        </w:tc>
        <w:tc>
          <w:tcPr>
            <w:vAlign w:val="bottom"/>
          </w:tcPr>
          <w:p w:rsidR="00000000" w:rsidDel="00000000" w:rsidP="00000000" w:rsidRDefault="00000000" w:rsidRPr="00000000" w14:paraId="00000064">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1.638</w:t>
            </w:r>
          </w:p>
        </w:tc>
        <w:tc>
          <w:tcPr>
            <w:vAlign w:val="bottom"/>
          </w:tcPr>
          <w:p w:rsidR="00000000" w:rsidDel="00000000" w:rsidP="00000000" w:rsidRDefault="00000000" w:rsidRPr="00000000" w14:paraId="0000006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1.175</w:t>
            </w:r>
          </w:p>
        </w:tc>
      </w:tr>
      <w:tr>
        <w:trPr>
          <w:cantSplit w:val="0"/>
          <w:tblHeader w:val="0"/>
        </w:trPr>
        <w:tc>
          <w:tcPr/>
          <w:p w:rsidR="00000000" w:rsidDel="00000000" w:rsidP="00000000" w:rsidRDefault="00000000" w:rsidRPr="00000000" w14:paraId="00000066">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6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6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69">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r>
    </w:tbl>
    <w:p w:rsidR="00000000" w:rsidDel="00000000" w:rsidP="00000000" w:rsidRDefault="00000000" w:rsidRPr="00000000" w14:paraId="0000006A">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OLS Regression Results of GDP against Percentage Volume of Exports </w:t>
      </w:r>
    </w:p>
    <w:p w:rsidR="00000000" w:rsidDel="00000000" w:rsidP="00000000" w:rsidRDefault="00000000" w:rsidRPr="00000000" w14:paraId="0000006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E">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F">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70">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71">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2">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73">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0.149</w:t>
            </w:r>
          </w:p>
        </w:tc>
        <w:tc>
          <w:tcPr>
            <w:vAlign w:val="bottom"/>
          </w:tcPr>
          <w:p w:rsidR="00000000" w:rsidDel="00000000" w:rsidP="00000000" w:rsidRDefault="00000000" w:rsidRPr="00000000" w14:paraId="0000007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w:t>
            </w:r>
          </w:p>
        </w:tc>
        <w:tc>
          <w:tcPr>
            <w:vAlign w:val="bottom"/>
          </w:tcPr>
          <w:p w:rsidR="00000000" w:rsidDel="00000000" w:rsidP="00000000" w:rsidRDefault="00000000" w:rsidRPr="00000000" w14:paraId="0000007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w:t>
            </w:r>
          </w:p>
        </w:tc>
      </w:tr>
      <w:tr>
        <w:trPr>
          <w:cantSplit w:val="0"/>
          <w:tblHeader w:val="0"/>
        </w:trPr>
        <w:tc>
          <w:tcPr/>
          <w:p w:rsidR="00000000" w:rsidDel="00000000" w:rsidP="00000000" w:rsidRDefault="00000000" w:rsidRPr="00000000" w14:paraId="00000076">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7">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4.510</w:t>
            </w:r>
          </w:p>
        </w:tc>
        <w:tc>
          <w:tcPr>
            <w:vAlign w:val="bottom"/>
          </w:tcPr>
          <w:p w:rsidR="00000000" w:rsidDel="00000000" w:rsidP="00000000" w:rsidRDefault="00000000" w:rsidRPr="00000000" w14:paraId="00000078">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1.059</w:t>
            </w:r>
          </w:p>
        </w:tc>
        <w:tc>
          <w:tcPr>
            <w:vAlign w:val="bottom"/>
          </w:tcPr>
          <w:p w:rsidR="00000000" w:rsidDel="00000000" w:rsidP="00000000" w:rsidRDefault="00000000" w:rsidRPr="00000000" w14:paraId="00000079">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0.7542</w:t>
            </w:r>
          </w:p>
        </w:tc>
      </w:tr>
      <w:tr>
        <w:trPr>
          <w:cantSplit w:val="0"/>
          <w:tblHeader w:val="0"/>
        </w:trPr>
        <w:tc>
          <w:tcPr/>
          <w:p w:rsidR="00000000" w:rsidDel="00000000" w:rsidP="00000000" w:rsidRDefault="00000000" w:rsidRPr="00000000" w14:paraId="0000007A">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7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7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7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bl>
    <w:p w:rsidR="00000000" w:rsidDel="00000000" w:rsidP="00000000" w:rsidRDefault="00000000" w:rsidRPr="00000000" w14:paraId="0000007E">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OLS Regression Results of GDP against Volume of Percentage Exports</w:t>
      </w:r>
    </w:p>
    <w:p w:rsidR="00000000" w:rsidDel="00000000" w:rsidP="00000000" w:rsidRDefault="00000000" w:rsidRPr="00000000" w14:paraId="00000080">
      <w:pPr>
        <w:pageBreakBefore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1">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Realized Industry Development</w:t>
      </w:r>
    </w:p>
    <w:p w:rsidR="00000000" w:rsidDel="00000000" w:rsidP="00000000" w:rsidRDefault="00000000" w:rsidRPr="00000000" w14:paraId="0000008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product categorization aforementioned, we aim to capture Thailand’s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Thailand and the 18 product groups in 2013 and 2018 through subtraction, where a positive RID indicates a shortening of the distance (i.e., advancement of the industry), and a negative RID indicates the reverse. As ranked in Table 2, during the period from 2013 to 2018, Thailand has focused on products with a moderate level of complexity and those requiring intermediate skills. </w:t>
      </w:r>
    </w:p>
    <w:p w:rsidR="00000000" w:rsidDel="00000000" w:rsidP="00000000" w:rsidRDefault="00000000" w:rsidRPr="00000000" w14:paraId="0000008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24450" cy="25146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1244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Realized Industry Development (RID) of Thailand</w:t>
      </w:r>
    </w:p>
    <w:p w:rsidR="00000000" w:rsidDel="00000000" w:rsidP="00000000" w:rsidRDefault="00000000" w:rsidRPr="00000000" w14:paraId="00000089">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Regional and Global Comparison</w:t>
      </w:r>
    </w:p>
    <w:p w:rsidR="00000000" w:rsidDel="00000000" w:rsidP="00000000" w:rsidRDefault="00000000" w:rsidRPr="00000000" w14:paraId="0000008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and 4 below summarize how the production strategy adopted by Thailand compares with leading economies and a selected group of emerging economies in the world, as measured in RID. It can be directly observed that Thailand focused on products with a lower complexity level, when compared against leading economies such as the United States and Germany, which gave a considerable level of attention to more advanced product groups such as clothing, services and utilities, and chemical manufacturing.</w:t>
      </w:r>
    </w:p>
    <w:p w:rsidR="00000000" w:rsidDel="00000000" w:rsidP="00000000" w:rsidRDefault="00000000" w:rsidRPr="00000000" w14:paraId="0000008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8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08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France</w:t>
            </w:r>
          </w:p>
        </w:tc>
        <w:tc>
          <w:tcPr/>
          <w:p w:rsidR="00000000" w:rsidDel="00000000" w:rsidP="00000000" w:rsidRDefault="00000000" w:rsidRPr="00000000" w14:paraId="0000008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w:t>
            </w:r>
          </w:p>
        </w:tc>
        <w:tc>
          <w:tcPr/>
          <w:p w:rsidR="00000000" w:rsidDel="00000000" w:rsidP="00000000" w:rsidRDefault="00000000" w:rsidRPr="00000000" w14:paraId="0000009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Germany</w:t>
            </w:r>
          </w:p>
        </w:tc>
      </w:tr>
      <w:tr>
        <w:trPr>
          <w:cantSplit w:val="0"/>
          <w:tblHeader w:val="0"/>
        </w:trPr>
        <w:tc>
          <w:tcPr/>
          <w:p w:rsidR="00000000" w:rsidDel="00000000" w:rsidP="00000000" w:rsidRDefault="00000000" w:rsidRPr="00000000" w14:paraId="00000091">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09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9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vAlign w:val="bottom"/>
          </w:tcPr>
          <w:p w:rsidR="00000000" w:rsidDel="00000000" w:rsidP="00000000" w:rsidRDefault="00000000" w:rsidRPr="00000000" w14:paraId="0000009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p w:rsidR="00000000" w:rsidDel="00000000" w:rsidP="00000000" w:rsidRDefault="00000000" w:rsidRPr="00000000" w14:paraId="00000095">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09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09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vAlign w:val="bottom"/>
          </w:tcPr>
          <w:p w:rsidR="00000000" w:rsidDel="00000000" w:rsidP="00000000" w:rsidRDefault="00000000" w:rsidRPr="00000000" w14:paraId="0000009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099">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09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09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vAlign w:val="bottom"/>
          </w:tcPr>
          <w:p w:rsidR="00000000" w:rsidDel="00000000" w:rsidP="00000000" w:rsidRDefault="00000000" w:rsidRPr="00000000" w14:paraId="0000009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r>
      <w:tr>
        <w:trPr>
          <w:cantSplit w:val="0"/>
          <w:tblHeader w:val="0"/>
        </w:trPr>
        <w:tc>
          <w:tcPr/>
          <w:p w:rsidR="00000000" w:rsidDel="00000000" w:rsidP="00000000" w:rsidRDefault="00000000" w:rsidRPr="00000000" w14:paraId="0000009D">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09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bottom"/>
          </w:tcPr>
          <w:p w:rsidR="00000000" w:rsidDel="00000000" w:rsidP="00000000" w:rsidRDefault="00000000" w:rsidRPr="00000000" w14:paraId="0000009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c>
          <w:tcPr>
            <w:vAlign w:val="bottom"/>
          </w:tcPr>
          <w:p w:rsidR="00000000" w:rsidDel="00000000" w:rsidP="00000000" w:rsidRDefault="00000000" w:rsidRPr="00000000" w14:paraId="000000A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r>
      <w:tr>
        <w:trPr>
          <w:cantSplit w:val="0"/>
          <w:tblHeader w:val="0"/>
        </w:trPr>
        <w:tc>
          <w:tcPr/>
          <w:p w:rsidR="00000000" w:rsidDel="00000000" w:rsidP="00000000" w:rsidRDefault="00000000" w:rsidRPr="00000000" w14:paraId="000000A1">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0A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vAlign w:val="bottom"/>
          </w:tcPr>
          <w:p w:rsidR="00000000" w:rsidDel="00000000" w:rsidP="00000000" w:rsidRDefault="00000000" w:rsidRPr="00000000" w14:paraId="000000A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bottom"/>
          </w:tcPr>
          <w:p w:rsidR="00000000" w:rsidDel="00000000" w:rsidP="00000000" w:rsidRDefault="00000000" w:rsidRPr="00000000" w14:paraId="000000A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r>
    </w:tbl>
    <w:p w:rsidR="00000000" w:rsidDel="00000000" w:rsidP="00000000" w:rsidRDefault="00000000" w:rsidRPr="00000000" w14:paraId="000000A5">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RID Comparison across Leading Economies</w:t>
      </w:r>
    </w:p>
    <w:p w:rsidR="00000000" w:rsidDel="00000000" w:rsidP="00000000" w:rsidRDefault="00000000" w:rsidRPr="00000000" w14:paraId="000000A7">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ageBreakBefore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0A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w:t>
            </w:r>
          </w:p>
        </w:tc>
        <w:tc>
          <w:tcPr/>
          <w:p w:rsidR="00000000" w:rsidDel="00000000" w:rsidP="00000000" w:rsidRDefault="00000000" w:rsidRPr="00000000" w14:paraId="000000A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Korea</w:t>
            </w:r>
          </w:p>
        </w:tc>
        <w:tc>
          <w:tcPr/>
          <w:p w:rsidR="00000000" w:rsidDel="00000000" w:rsidP="00000000" w:rsidRDefault="00000000" w:rsidRPr="00000000" w14:paraId="000000A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w:t>
            </w:r>
          </w:p>
        </w:tc>
      </w:tr>
      <w:tr>
        <w:trPr>
          <w:cantSplit w:val="0"/>
          <w:tblHeader w:val="0"/>
        </w:trPr>
        <w:tc>
          <w:tcPr/>
          <w:p w:rsidR="00000000" w:rsidDel="00000000" w:rsidP="00000000" w:rsidRDefault="00000000" w:rsidRPr="00000000" w14:paraId="000000AD">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0A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A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0B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0B1">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0B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0B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w:t>
            </w:r>
          </w:p>
        </w:tc>
        <w:tc>
          <w:tcPr>
            <w:vAlign w:val="bottom"/>
          </w:tcPr>
          <w:p w:rsidR="00000000" w:rsidDel="00000000" w:rsidP="00000000" w:rsidRDefault="00000000" w:rsidRPr="00000000" w14:paraId="000000B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p w:rsidR="00000000" w:rsidDel="00000000" w:rsidP="00000000" w:rsidRDefault="00000000" w:rsidRPr="00000000" w14:paraId="000000B5">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0B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0B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B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r>
      <w:tr>
        <w:trPr>
          <w:cantSplit w:val="0"/>
          <w:tblHeader w:val="0"/>
        </w:trPr>
        <w:tc>
          <w:tcPr/>
          <w:p w:rsidR="00000000" w:rsidDel="00000000" w:rsidP="00000000" w:rsidRDefault="00000000" w:rsidRPr="00000000" w14:paraId="000000B9">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0B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vAlign w:val="bottom"/>
          </w:tcPr>
          <w:p w:rsidR="00000000" w:rsidDel="00000000" w:rsidP="00000000" w:rsidRDefault="00000000" w:rsidRPr="00000000" w14:paraId="000000B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0B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r>
      <w:tr>
        <w:trPr>
          <w:cantSplit w:val="0"/>
          <w:tblHeader w:val="0"/>
        </w:trPr>
        <w:tc>
          <w:tcPr/>
          <w:p w:rsidR="00000000" w:rsidDel="00000000" w:rsidP="00000000" w:rsidRDefault="00000000" w:rsidRPr="00000000" w14:paraId="000000BD">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0B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0B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0C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r>
    </w:tbl>
    <w:p w:rsidR="00000000" w:rsidDel="00000000" w:rsidP="00000000" w:rsidRDefault="00000000" w:rsidRPr="00000000" w14:paraId="000000C1">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RID Comparison across Emerging Economies</w:t>
      </w:r>
    </w:p>
    <w:p w:rsidR="00000000" w:rsidDel="00000000" w:rsidP="00000000" w:rsidRDefault="00000000" w:rsidRPr="00000000" w14:paraId="000000C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ageBreakBefore w:val="0"/>
        <w:spacing w:line="240" w:lineRule="auto"/>
        <w:jc w:val="both"/>
        <w:rPr>
          <w:rFonts w:ascii="Times" w:cs="Times" w:eastAsia="Times" w:hAnsi="Times"/>
          <w:b w:val="1"/>
          <w:bCs w:val="1"/>
          <w:sz w:val="28"/>
          <w:szCs w:val="28"/>
        </w:rPr>
      </w:pPr>
      <w:r w:rsidDel="00000000" w:rsidR="00000000" w:rsidRPr="00000000">
        <w:rPr>
          <w:rFonts w:ascii="Times New Roman" w:cs="Times New Roman" w:eastAsia="Times New Roman" w:hAnsi="Times New Roman"/>
          <w:sz w:val="24"/>
          <w:szCs w:val="24"/>
          <w:rtl w:val="0"/>
        </w:rPr>
        <w:t xml:space="preserve">Table 4 further examines Thailand’s development strategy against those of emerging economies on a global scale. Reasonably, emerging economies such as China, South Korea, Singapore and India have devoted the majority of their efforts into intermediate industry groups while developed economies such as Thailand should have relied more on advanced industry groups. This trend holds true in general, regardless of the continent or the time period, and serves as an indicator for which phase of development a country is currently in as evaluated from its production strategy. Based on this standard, Thailand is indeed adopting a moderate but slightly out-of-phase strategy that seeks development in industry groups with a lower level of complexity than it should.</w:t>
      </w:r>
      <w:r w:rsidDel="00000000" w:rsidR="00000000" w:rsidRPr="00000000">
        <w:rPr>
          <w:rtl w:val="0"/>
        </w:rPr>
      </w:r>
    </w:p>
    <w:p w:rsidR="00000000" w:rsidDel="00000000" w:rsidP="00000000" w:rsidRDefault="00000000" w:rsidRPr="00000000" w14:paraId="000000C5">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6">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8">
      <w:pPr>
        <w:pageBreakBefore w:val="0"/>
        <w:spacing w:line="240" w:lineRule="auto"/>
        <w:jc w:val="both"/>
        <w:rPr>
          <w:rFonts w:ascii="Times" w:cs="Times" w:eastAsia="Times" w:hAnsi="Times"/>
          <w:b w:val="1"/>
          <w:bCs w:val="1"/>
          <w:sz w:val="28"/>
          <w:szCs w:val="28"/>
        </w:rPr>
      </w:pPr>
      <w:bookmarkStart w:colFirst="0" w:colLast="0" w:name="_gjdgxs" w:id="3"/>
      <w:bookmarkEnd w:id="3"/>
      <w:r w:rsidDel="00000000" w:rsidR="00000000" w:rsidRPr="00000000">
        <w:rPr>
          <w:rtl w:val="0"/>
        </w:rPr>
      </w:r>
    </w:p>
    <w:p w:rsidR="00000000" w:rsidDel="00000000" w:rsidP="00000000" w:rsidRDefault="00000000" w:rsidRPr="00000000" w14:paraId="000000C9">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Suggested Development Vector</w:t>
      </w:r>
    </w:p>
    <w:p w:rsidR="00000000" w:rsidDel="00000000" w:rsidP="00000000" w:rsidRDefault="00000000" w:rsidRPr="00000000" w14:paraId="000000C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 are often in better shape.</w:t>
      </w:r>
    </w:p>
    <w:p w:rsidR="00000000" w:rsidDel="00000000" w:rsidP="00000000" w:rsidRDefault="00000000" w:rsidRPr="00000000" w14:paraId="000000C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43100"/>
            <wp:effectExtent b="0" l="0" r="0" t="0"/>
            <wp:docPr id="5" name="image19.jpg"/>
            <a:graphic>
              <a:graphicData uri="http://schemas.openxmlformats.org/drawingml/2006/picture">
                <pic:pic>
                  <pic:nvPicPr>
                    <pic:cNvPr id="0" name="image19.jpg"/>
                    <pic:cNvPicPr preferRelativeResize="0"/>
                  </pic:nvPicPr>
                  <pic:blipFill>
                    <a:blip r:embed="rId12"/>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79600"/>
            <wp:effectExtent b="0" l="0" r="0" t="0"/>
            <wp:docPr id="16" name="image28.jpg"/>
            <a:graphic>
              <a:graphicData uri="http://schemas.openxmlformats.org/drawingml/2006/picture">
                <pic:pic>
                  <pic:nvPicPr>
                    <pic:cNvPr id="0" name="image28.jpg"/>
                    <pic:cNvPicPr preferRelativeResize="0"/>
                  </pic:nvPicPr>
                  <pic:blipFill>
                    <a:blip r:embed="rId13"/>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SDV of High ECI Countries 2013(up) and 2018(down)</w:t>
      </w:r>
    </w:p>
    <w:p w:rsidR="00000000" w:rsidDel="00000000" w:rsidP="00000000" w:rsidRDefault="00000000" w:rsidRPr="00000000" w14:paraId="000000D0">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define the ranking of opportunity gain for a country c, as the Suggested Development Vector (SDV) of c. Table 5 shows the SDV of a selected group of leading economies with outstanding economic complexity,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countries listed in Table 6 have nearly half of industries with positive opportunity gain. While the economies with absolute negative ECI, such as South Africa and Colombia, all need to develop High-complexity Products, Machinery and Construction and Daily Instruments, those with median ECI are facing a more complicated and diverse situation, such as Italy and Spain.   </w:t>
      </w:r>
    </w:p>
    <w:p w:rsidR="00000000" w:rsidDel="00000000" w:rsidP="00000000" w:rsidRDefault="00000000" w:rsidRPr="00000000" w14:paraId="000000D2">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concluded that Thailand is categorized to be a highly complexed country as compared with the world’s leading economies and other major economies in Europe.</w:t>
      </w:r>
    </w:p>
    <w:p w:rsidR="00000000" w:rsidDel="00000000" w:rsidP="00000000" w:rsidRDefault="00000000" w:rsidRPr="00000000" w14:paraId="000000D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260600"/>
            <wp:effectExtent b="0" l="0" r="0" t="0"/>
            <wp:docPr id="30" name="image22.jpg"/>
            <a:graphic>
              <a:graphicData uri="http://schemas.openxmlformats.org/drawingml/2006/picture">
                <pic:pic>
                  <pic:nvPicPr>
                    <pic:cNvPr id="0" name="image22.jpg"/>
                    <pic:cNvPicPr preferRelativeResize="0"/>
                  </pic:nvPicPr>
                  <pic:blipFill>
                    <a:blip r:embed="rId14"/>
                    <a:srcRect b="0" l="0" r="0" t="0"/>
                    <a:stretch>
                      <a:fillRect/>
                    </a:stretch>
                  </pic:blipFill>
                  <pic:spPr>
                    <a:xfrm>
                      <a:off x="0" y="0"/>
                      <a:ext cx="573405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SDV of Other Typical Countries 2013</w:t>
      </w:r>
    </w:p>
    <w:p w:rsidR="00000000" w:rsidDel="00000000" w:rsidP="00000000" w:rsidRDefault="00000000" w:rsidRPr="00000000" w14:paraId="000000D8">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Budgeted Industry Development Strategy and Interpretation</w:t>
      </w:r>
    </w:p>
    <w:p w:rsidR="00000000" w:rsidDel="00000000" w:rsidP="00000000" w:rsidRDefault="00000000" w:rsidRPr="00000000" w14:paraId="000000D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D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8888" cy="1141284"/>
            <wp:effectExtent b="0" l="0" r="0" t="0"/>
            <wp:docPr id="1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k(x) is the second largest eigenvector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CC'</m:t>
            </m:r>
          </m:sub>
        </m:sSub>
      </m:oMath>
      <w:r w:rsidDel="00000000" w:rsidR="00000000" w:rsidRPr="00000000">
        <w:rPr>
          <w:rFonts w:ascii="Times New Roman" w:cs="Times New Roman" w:eastAsia="Times New Roman" w:hAnsi="Times New Roman"/>
          <w:sz w:val="24"/>
          <w:szCs w:val="24"/>
          <w:rtl w:val="0"/>
        </w:rPr>
        <w:t xml:space="preserve"> after adding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to the original export vector, C is the country that we are interested in, P is the product space, B is the heuristic budget. </w:t>
      </w:r>
    </w:p>
    <w:p w:rsidR="00000000" w:rsidDel="00000000" w:rsidP="00000000" w:rsidRDefault="00000000" w:rsidRPr="00000000" w14:paraId="000000E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can solve this problem, then we can know what the largest ECI that a country can improve to. Accordingly, the optimal solution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w:rFonts w:ascii="Times New Roman" w:cs="Times New Roman" w:eastAsia="Times New Roman" w:hAnsi="Times New Roman"/>
            <w:sz w:val="24"/>
            <w:szCs w:val="24"/>
          </w:rPr>
          <m:t xml:space="preserve">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4">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38363" cy="718630"/>
            <wp:effectExtent b="0" l="0" r="0" t="0"/>
            <wp:docPr id="1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ECI</m:t>
            </m:r>
          </m:e>
          <m:sub>
            <m:r>
              <w:rPr>
                <w:rFonts w:ascii="Times New Roman" w:cs="Times New Roman" w:eastAsia="Times New Roman" w:hAnsi="Times New Roman"/>
                <w:sz w:val="24"/>
                <w:szCs w:val="24"/>
              </w:rPr>
              <m:t xml:space="preserve">p</m:t>
            </m:r>
          </m:sub>
        </m:sSub>
      </m:oMath>
      <w:r w:rsidDel="00000000" w:rsidR="00000000" w:rsidRPr="00000000">
        <w:rPr>
          <w:rFonts w:ascii="Times New Roman" w:cs="Times New Roman" w:eastAsia="Times New Roman" w:hAnsi="Times New Roman"/>
          <w:sz w:val="24"/>
          <w:szCs w:val="24"/>
          <w:rtl w:val="0"/>
        </w:rPr>
        <w:t xml:space="preserve"> is just the ECI of the country after adding some amount of export increment to product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which is exactly the amount that is able to make ECI change. Also, we can express it in the way of </w:t>
      </w:r>
      <m:oMath>
        <m:r>
          <w:rPr>
            <w:rFonts w:ascii="Times New Roman" w:cs="Times New Roman" w:eastAsia="Times New Roman" w:hAnsi="Times New Roman"/>
            <w:sz w:val="24"/>
            <w:szCs w:val="24"/>
          </w:rPr>
          <m:t xml:space="preserve">||</m:t>
        </m:r>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0</m:t>
            </m:r>
          </m:sub>
        </m:sSub>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7">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 of parts and selecting the portfolio with the largest ECI increment and most complex economic structure. </w:t>
      </w:r>
    </w:p>
    <w:p w:rsidR="00000000" w:rsidDel="00000000" w:rsidP="00000000" w:rsidRDefault="00000000" w:rsidRPr="00000000" w14:paraId="000000E9">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A">
      <w:pPr>
        <w:pageBreakBefore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Besides, it is quite common that there is a surplus for the budget. To deal with the surplus, we just add it to the product which needs the least amount of dollar to make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cp</m:t>
            </m:r>
          </m:sub>
        </m:sSub>
      </m:oMath>
      <w:r w:rsidDel="00000000" w:rsidR="00000000" w:rsidRPr="00000000">
        <w:rPr>
          <w:rFonts w:ascii="Times New Roman" w:cs="Times New Roman" w:eastAsia="Times New Roman" w:hAnsi="Times New Roman"/>
          <w:sz w:val="24"/>
          <w:szCs w:val="24"/>
          <w:rtl w:val="0"/>
        </w:rPr>
        <w:t xml:space="preserve"> = 1, (i.e., the smallest amount of required export increase).</w:t>
      </w:r>
      <w:r w:rsidDel="00000000" w:rsidR="00000000" w:rsidRPr="00000000">
        <w:rPr>
          <w:rtl w:val="0"/>
        </w:rPr>
      </w:r>
    </w:p>
    <w:p w:rsidR="00000000" w:rsidDel="00000000" w:rsidP="00000000" w:rsidRDefault="00000000" w:rsidRPr="00000000" w14:paraId="000000E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Economic Panel:</w:t>
      </w:r>
    </w:p>
    <w:p w:rsidR="00000000" w:rsidDel="00000000" w:rsidP="00000000" w:rsidRDefault="00000000" w:rsidRPr="00000000" w14:paraId="000000E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stated above, the enhanced greedy algorithm is developed mainly for solving the optimal allocation strategy. In order to visualize this allocation, an economic panel is created, consisting of a pie chart, a line chart and a table. Firstly, a pie chart is used to show the percentage of each product in the optimal portfolio. The number located in the center of the circle denotes the heuristic growth of total export, which is also our budget. For example, for the first pie chart below, it shows we should allocate 25% for food and preparations, animals and by-products, and chemicals. In addition, we should allocate 12.5% for raw manufacturing and chemical manufacturing. The lines below the pie charts show how the ECI changes during the searching process of the greedy algorithm. For example, in the last pie chart, we can see there are three components, but there are four increments in the last line chart. That is just because many equalized amounts have been invested in high-complexity products. Even though sometimes people may feel 15% and 20% is nonsense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0E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044700"/>
            <wp:effectExtent b="0" l="0" r="0" t="0"/>
            <wp:docPr id="10"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044700"/>
            <wp:effectExtent b="0" l="0" r="0" t="0"/>
            <wp:docPr id="7"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1739900"/>
            <wp:effectExtent b="0" l="0" r="0" t="0"/>
            <wp:docPr id="25"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4">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p w:rsidR="00000000" w:rsidDel="00000000" w:rsidP="00000000" w:rsidRDefault="00000000" w:rsidRPr="00000000" w14:paraId="000000F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economic panel for Thailand in 2013. We can see that for different percentages of heuristic total export growth, the ECI of Thailand has different performance. From all the four line graphs, we see that Thailand already obtains some great increment in terms of ECI. Most importantly, the higher the budget is, the greater the ECI will be. This means that in both short term and long term, Thailand still has great room to improve. For the case of 5 and 10 percent growth, the ECI does not increase so much. The increment of ECI is mainly from fundamental products, including wood products, raw manufacturing etc. For 15 and 20 percent, ECI increases a lot because of the increase in high-complexity product and services and utilities industries.</w:t>
      </w:r>
    </w:p>
    <w:p w:rsidR="00000000" w:rsidDel="00000000" w:rsidP="00000000" w:rsidRDefault="00000000" w:rsidRPr="00000000" w14:paraId="000000F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70100"/>
            <wp:effectExtent b="0" l="0" r="0" t="0"/>
            <wp:docPr id="21"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48651" cy="2100263"/>
            <wp:effectExtent b="0" l="0" r="0" t="0"/>
            <wp:docPr id="23"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648651" cy="2100263"/>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95963" cy="1819275"/>
            <wp:effectExtent b="0" l="0" r="0" t="0"/>
            <wp:docPr id="19" name="image25.jpg"/>
            <a:graphic>
              <a:graphicData uri="http://schemas.openxmlformats.org/drawingml/2006/picture">
                <pic:pic>
                  <pic:nvPicPr>
                    <pic:cNvPr id="0" name="image25.jpg"/>
                    <pic:cNvPicPr preferRelativeResize="0"/>
                  </pic:nvPicPr>
                  <pic:blipFill>
                    <a:blip r:embed="rId22"/>
                    <a:srcRect b="0" l="0" r="0" t="0"/>
                    <a:stretch>
                      <a:fillRect/>
                    </a:stretch>
                  </pic:blipFill>
                  <pic:spPr>
                    <a:xfrm>
                      <a:off x="0" y="0"/>
                      <a:ext cx="5795963"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further suggestions on Thailand’s development in the future. We also offer the optimization result of Thailand based on export data in 2018. Below is the economic panel for Thailand in 2018. We can see that for different percentages of heuristic total export growth, the ECI growth pattern of Thailand is different from the one in 2013. From all the four line graphs, we see that Thailand already obtains some great increment in terms of ECI. However, increasing the budget for too large an amount would not produce a higher and higher ECI. Also, the optimized ECI is not much higher than before, meaning that nowadays Thailand is a pretty mature economy in terms of ECI. For all cases of export growth, the ECI increment comes from daily instrument, services industry and textile. Therefore, for future strategy, Thailand should prioritize development of daily instrument, which causes the greatest jump in each stage. And then services industry and textiles, in order to optimize ECI.</w:t>
      </w:r>
    </w:p>
    <w:p w:rsidR="00000000" w:rsidDel="00000000" w:rsidP="00000000" w:rsidRDefault="00000000" w:rsidRPr="00000000" w14:paraId="0000010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70100"/>
            <wp:effectExtent b="0" l="0" r="0" t="0"/>
            <wp:docPr id="4"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86438" cy="2080092"/>
            <wp:effectExtent b="0" l="0" r="0" t="0"/>
            <wp:docPr id="32"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786438" cy="2080092"/>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498600"/>
            <wp:effectExtent b="0" l="0" r="0" t="0"/>
            <wp:docPr id="22" name="image26.jpg"/>
            <a:graphic>
              <a:graphicData uri="http://schemas.openxmlformats.org/drawingml/2006/picture">
                <pic:pic>
                  <pic:nvPicPr>
                    <pic:cNvPr id="0" name="image26.jpg"/>
                    <pic:cNvPicPr preferRelativeResize="0"/>
                  </pic:nvPicPr>
                  <pic:blipFill>
                    <a:blip r:embed="rId25"/>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9">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A">
      <w:pPr>
        <w:pageBreakBefore w:val="0"/>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w:t>
      </w:r>
    </w:p>
    <w:p w:rsidR="00000000" w:rsidDel="00000000" w:rsidP="00000000" w:rsidRDefault="00000000" w:rsidRPr="00000000" w14:paraId="0000010B">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following section our broad aim is to understand how sensitive Thailand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w:t>
      </w:r>
    </w:p>
    <w:p w:rsidR="00000000" w:rsidDel="00000000" w:rsidP="00000000" w:rsidRDefault="00000000" w:rsidRPr="00000000" w14:paraId="0000010C">
      <w:pPr>
        <w:pageBreakBefore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ECI Sensitivity Graph</w:t>
      </w:r>
    </w:p>
    <w:p w:rsidR="00000000" w:rsidDel="00000000" w:rsidP="00000000" w:rsidRDefault="00000000" w:rsidRPr="00000000" w14:paraId="0000010D">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0E">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0F">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00700" cy="2657475"/>
            <wp:effectExtent b="0" l="0" r="0" t="0"/>
            <wp:docPr id="6" name="image6.jpg"/>
            <a:graphic>
              <a:graphicData uri="http://schemas.openxmlformats.org/drawingml/2006/picture">
                <pic:pic>
                  <pic:nvPicPr>
                    <pic:cNvPr id="0" name="image6.jpg"/>
                    <pic:cNvPicPr preferRelativeResize="0"/>
                  </pic:nvPicPr>
                  <pic:blipFill>
                    <a:blip r:embed="rId26"/>
                    <a:srcRect b="0" l="0" r="0" t="9709"/>
                    <a:stretch>
                      <a:fillRect/>
                    </a:stretch>
                  </pic:blipFill>
                  <pic:spPr>
                    <a:xfrm>
                      <a:off x="0" y="0"/>
                      <a:ext cx="56007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ageBreakBefore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2018 (Incremental ECI Sensitivity)</w:t>
      </w:r>
    </w:p>
    <w:p w:rsidR="00000000" w:rsidDel="00000000" w:rsidP="00000000" w:rsidRDefault="00000000" w:rsidRPr="00000000" w14:paraId="00000111">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pageBreakBefore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SDV sensitivity</w:t>
      </w:r>
    </w:p>
    <w:p w:rsidR="00000000" w:rsidDel="00000000" w:rsidP="00000000" w:rsidRDefault="00000000" w:rsidRPr="00000000" w14:paraId="00000113">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14">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1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1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1739900"/>
            <wp:effectExtent b="0" l="0" r="0" t="0"/>
            <wp:docPr id="24" name="image15.jpg"/>
            <a:graphic>
              <a:graphicData uri="http://schemas.openxmlformats.org/drawingml/2006/picture">
                <pic:pic>
                  <pic:nvPicPr>
                    <pic:cNvPr id="0" name="image15.jpg"/>
                    <pic:cNvPicPr preferRelativeResize="0"/>
                  </pic:nvPicPr>
                  <pic:blipFill>
                    <a:blip r:embed="rId27"/>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ageBreakBefore w:val="0"/>
        <w:spacing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High-complexity Products 2018 (Incremental SDV Sensitivity)</w:t>
      </w:r>
    </w:p>
    <w:p w:rsidR="00000000" w:rsidDel="00000000" w:rsidP="00000000" w:rsidRDefault="00000000" w:rsidRPr="00000000" w14:paraId="0000011A">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F">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0">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5">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Results and Interpretation</w:t>
        <w:br w:type="textWrapping"/>
      </w:r>
    </w:p>
    <w:p w:rsidR="00000000" w:rsidDel="00000000" w:rsidP="00000000" w:rsidRDefault="00000000" w:rsidRPr="00000000" w14:paraId="0000012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Thailand’s 2018 ECI Sensitivity Charts. Firstly in the positive chart, we notice immediately that no industries in particular lead to gains in ECI. In fact increasing exports in many of the industries lead to dramatic downturns in the ECI level.  This is especially true for Machinery and Raw Manufacturing.</w:t>
      </w:r>
    </w:p>
    <w:p w:rsidR="00000000" w:rsidDel="00000000" w:rsidP="00000000" w:rsidRDefault="00000000" w:rsidRPr="00000000" w14:paraId="0000012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pageBreakBefore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Next we consider Thailand’s 2018 Negative Shock chart. We can see that Thailand is fairly sensitive to downturns in export of High Complexity Products, Machinery, and Transportation in particular.  Interestingly, decrease in export of Precious Stones, Animals and By-products, Food and Preparation actually result in ECI gains. </w:t>
      </w:r>
      <w:r w:rsidDel="00000000" w:rsidR="00000000" w:rsidRPr="00000000">
        <w:rPr>
          <w:rtl w:val="0"/>
        </w:rPr>
      </w:r>
    </w:p>
    <w:p w:rsidR="00000000" w:rsidDel="00000000" w:rsidP="00000000" w:rsidRDefault="00000000" w:rsidRPr="00000000" w14:paraId="0000012B">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C">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253038" cy="2626519"/>
            <wp:effectExtent b="0" l="0" r="0" t="0"/>
            <wp:docPr id="18" name="image27.jpg"/>
            <a:graphic>
              <a:graphicData uri="http://schemas.openxmlformats.org/drawingml/2006/picture">
                <pic:pic>
                  <pic:nvPicPr>
                    <pic:cNvPr id="0" name="image27.jpg"/>
                    <pic:cNvPicPr preferRelativeResize="0"/>
                  </pic:nvPicPr>
                  <pic:blipFill>
                    <a:blip r:embed="rId28"/>
                    <a:srcRect b="0" l="0" r="0" t="0"/>
                    <a:stretch>
                      <a:fillRect/>
                    </a:stretch>
                  </pic:blipFill>
                  <pic:spPr>
                    <a:xfrm>
                      <a:off x="0" y="0"/>
                      <a:ext cx="5253038" cy="2626519"/>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Thailand 2018 (Incremental ECI Sensitivity)</w:t>
      </w:r>
    </w:p>
    <w:p w:rsidR="00000000" w:rsidDel="00000000" w:rsidP="00000000" w:rsidRDefault="00000000" w:rsidRPr="00000000" w14:paraId="0000012E">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F">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148263" cy="2560559"/>
            <wp:effectExtent b="0" l="0" r="0" t="0"/>
            <wp:docPr id="14" name="image5.jpg"/>
            <a:graphic>
              <a:graphicData uri="http://schemas.openxmlformats.org/drawingml/2006/picture">
                <pic:pic>
                  <pic:nvPicPr>
                    <pic:cNvPr id="0" name="image5.jpg"/>
                    <pic:cNvPicPr preferRelativeResize="0"/>
                  </pic:nvPicPr>
                  <pic:blipFill>
                    <a:blip r:embed="rId29"/>
                    <a:srcRect b="0" l="0" r="0" t="0"/>
                    <a:stretch>
                      <a:fillRect/>
                    </a:stretch>
                  </pic:blipFill>
                  <pic:spPr>
                    <a:xfrm>
                      <a:off x="0" y="0"/>
                      <a:ext cx="5148263" cy="2560559"/>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Thailand 2018 (Decremental  ECI Sensitivity)</w:t>
      </w:r>
    </w:p>
    <w:p w:rsidR="00000000" w:rsidDel="00000000" w:rsidP="00000000" w:rsidRDefault="00000000" w:rsidRPr="00000000" w14:paraId="00000131">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pageBreakBefore w:val="0"/>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consider the 2013 ECI Sensitivity graphs. We see that in the positive shocking case we have a similar profile as the 2018 graph. No industries in particular lead to gains in ECI. In fact increasing exports in many of the industries lead to dramatic downturns in the ECI level.</w:t>
      </w:r>
    </w:p>
    <w:p w:rsidR="00000000" w:rsidDel="00000000" w:rsidP="00000000" w:rsidRDefault="00000000" w:rsidRPr="00000000" w14:paraId="00000133">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2013 negative shocking case, we see that again Thailand is fairly sensitive to downturns in export of High Complexity Products, Machinery, and Transportation in particular. We see that ECI gains are caused by the same industries as seen in the 2018 graph as well. The sensitivity outlook for Thailand is quite stagnant over this five year period. </w:t>
      </w:r>
    </w:p>
    <w:p w:rsidR="00000000" w:rsidDel="00000000" w:rsidP="00000000" w:rsidRDefault="00000000" w:rsidRPr="00000000" w14:paraId="00000135">
      <w:pPr>
        <w:pageBreakBefore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36">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212944" cy="2576513"/>
            <wp:effectExtent b="0" l="0" r="0" t="0"/>
            <wp:docPr id="2" name="image10.jpg"/>
            <a:graphic>
              <a:graphicData uri="http://schemas.openxmlformats.org/drawingml/2006/picture">
                <pic:pic>
                  <pic:nvPicPr>
                    <pic:cNvPr id="0" name="image10.jpg"/>
                    <pic:cNvPicPr preferRelativeResize="0"/>
                  </pic:nvPicPr>
                  <pic:blipFill>
                    <a:blip r:embed="rId30"/>
                    <a:srcRect b="0" l="0" r="0" t="0"/>
                    <a:stretch>
                      <a:fillRect/>
                    </a:stretch>
                  </pic:blipFill>
                  <pic:spPr>
                    <a:xfrm>
                      <a:off x="0" y="0"/>
                      <a:ext cx="5212944" cy="2576513"/>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Thailand 2013 (Incremental ECI Sensitivity)</w:t>
      </w:r>
      <w:r w:rsidDel="00000000" w:rsidR="00000000" w:rsidRPr="00000000">
        <w:rPr>
          <w:rtl w:val="0"/>
        </w:rPr>
      </w:r>
    </w:p>
    <w:p w:rsidR="00000000" w:rsidDel="00000000" w:rsidP="00000000" w:rsidRDefault="00000000" w:rsidRPr="00000000" w14:paraId="00000138">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9">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957763" cy="2550387"/>
            <wp:effectExtent b="0" l="0" r="0" t="0"/>
            <wp:docPr id="28" name="image17.jpg"/>
            <a:graphic>
              <a:graphicData uri="http://schemas.openxmlformats.org/drawingml/2006/picture">
                <pic:pic>
                  <pic:nvPicPr>
                    <pic:cNvPr id="0" name="image17.jpg"/>
                    <pic:cNvPicPr preferRelativeResize="0"/>
                  </pic:nvPicPr>
                  <pic:blipFill>
                    <a:blip r:embed="rId31"/>
                    <a:srcRect b="0" l="0" r="0" t="0"/>
                    <a:stretch>
                      <a:fillRect/>
                    </a:stretch>
                  </pic:blipFill>
                  <pic:spPr>
                    <a:xfrm>
                      <a:off x="0" y="0"/>
                      <a:ext cx="4957763" cy="2550387"/>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Thailand 2013 (Decremental  ECI Sensitivity)</w:t>
      </w:r>
    </w:p>
    <w:p w:rsidR="00000000" w:rsidDel="00000000" w:rsidP="00000000" w:rsidRDefault="00000000" w:rsidRPr="00000000" w14:paraId="0000013B">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C">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we see the SDV sensitivity charts for High Complexity Products. We see that until a 68% negative shock in High Complexity Products the SDV is relatively unchanged. Once the export level for High Complexity products drop to this level other industries such as Metals, Weapons, and Daily Instruments become attractive industries to pursue.  </w:t>
      </w:r>
    </w:p>
    <w:p w:rsidR="00000000" w:rsidDel="00000000" w:rsidP="00000000" w:rsidRDefault="00000000" w:rsidRPr="00000000" w14:paraId="0000013D">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the positive SDV sensitivity chart we observe that as exports of High Complexity products increase industries that were not worth investing begin to shift to the positive opportunity gain region. Intuitively as Thailand becomes a stronger exporter of High Complexity products other industries that are “close” to High Complexity Products become easier to operate in. </w:t>
      </w:r>
    </w:p>
    <w:p w:rsidR="00000000" w:rsidDel="00000000" w:rsidP="00000000" w:rsidRDefault="00000000" w:rsidRPr="00000000" w14:paraId="0000013F">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0">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362200"/>
            <wp:effectExtent b="0" l="0" r="0" t="0"/>
            <wp:docPr id="27" name="image11.jpg"/>
            <a:graphic>
              <a:graphicData uri="http://schemas.openxmlformats.org/drawingml/2006/picture">
                <pic:pic>
                  <pic:nvPicPr>
                    <pic:cNvPr id="0" name="image11.jpg"/>
                    <pic:cNvPicPr preferRelativeResize="0"/>
                  </pic:nvPicPr>
                  <pic:blipFill>
                    <a:blip r:embed="rId32"/>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ageBreakBefore w:val="0"/>
        <w:spacing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Thailand High-complexity Products 2018 (Decremental SDV Sensitivity)</w:t>
      </w:r>
    </w:p>
    <w:p w:rsidR="00000000" w:rsidDel="00000000" w:rsidP="00000000" w:rsidRDefault="00000000" w:rsidRPr="00000000" w14:paraId="00000142">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3">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4">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387600"/>
            <wp:effectExtent b="0" l="0" r="0" t="0"/>
            <wp:docPr id="3" name="image7.jpg"/>
            <a:graphic>
              <a:graphicData uri="http://schemas.openxmlformats.org/drawingml/2006/picture">
                <pic:pic>
                  <pic:nvPicPr>
                    <pic:cNvPr id="0" name="image7.jpg"/>
                    <pic:cNvPicPr preferRelativeResize="0"/>
                  </pic:nvPicPr>
                  <pic:blipFill>
                    <a:blip r:embed="rId33"/>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ageBreakBefore w:val="0"/>
        <w:spacing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Thailand High-complexity Products 2018 (Incremental SDV Sensitivity)</w:t>
      </w:r>
    </w:p>
    <w:p w:rsidR="00000000" w:rsidDel="00000000" w:rsidP="00000000" w:rsidRDefault="00000000" w:rsidRPr="00000000" w14:paraId="00000146">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we see the SDV sensitivity charts for Food and Preparations. As expected for a developed country, in the negative shocking case of Food and Preparations, Thailand is minimally sensitive to any export changes.  </w:t>
      </w:r>
    </w:p>
    <w:p w:rsidR="00000000" w:rsidDel="00000000" w:rsidP="00000000" w:rsidRDefault="00000000" w:rsidRPr="00000000" w14:paraId="00000149">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positive shocking case we observe that after 220% increase in export of Food and Preparation products we see a few industries convert into the positive marginal opportunity gain category. However since this is a massive percentage increase it is safe to assume that Thailand is generally insensitive to any types of changes in export level within the Food and Preparations industry. </w:t>
      </w:r>
    </w:p>
    <w:p w:rsidR="00000000" w:rsidDel="00000000" w:rsidP="00000000" w:rsidRDefault="00000000" w:rsidRPr="00000000" w14:paraId="0000014B">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056256" cy="2757488"/>
            <wp:effectExtent b="0" l="0" r="0" t="0"/>
            <wp:docPr id="9" name="image4.jpg"/>
            <a:graphic>
              <a:graphicData uri="http://schemas.openxmlformats.org/drawingml/2006/picture">
                <pic:pic>
                  <pic:nvPicPr>
                    <pic:cNvPr id="0" name="image4.jpg"/>
                    <pic:cNvPicPr preferRelativeResize="0"/>
                  </pic:nvPicPr>
                  <pic:blipFill>
                    <a:blip r:embed="rId34"/>
                    <a:srcRect b="0" l="0" r="0" t="0"/>
                    <a:stretch>
                      <a:fillRect/>
                    </a:stretch>
                  </pic:blipFill>
                  <pic:spPr>
                    <a:xfrm>
                      <a:off x="0" y="0"/>
                      <a:ext cx="3056256" cy="2757488"/>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ageBreakBefore w:val="0"/>
        <w:spacing w:line="24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Thailand Food and Preparations 2018 (Decremental SDV Sensitivity)</w:t>
      </w:r>
    </w:p>
    <w:p w:rsidR="00000000" w:rsidDel="00000000" w:rsidP="00000000" w:rsidRDefault="00000000" w:rsidRPr="00000000" w14:paraId="0000014E">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F">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0">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224338" cy="2669781"/>
            <wp:effectExtent b="0" l="0" r="0" t="0"/>
            <wp:docPr id="20" name="image23.jpg"/>
            <a:graphic>
              <a:graphicData uri="http://schemas.openxmlformats.org/drawingml/2006/picture">
                <pic:pic>
                  <pic:nvPicPr>
                    <pic:cNvPr id="0" name="image23.jpg"/>
                    <pic:cNvPicPr preferRelativeResize="0"/>
                  </pic:nvPicPr>
                  <pic:blipFill>
                    <a:blip r:embed="rId35"/>
                    <a:srcRect b="0" l="0" r="0" t="0"/>
                    <a:stretch>
                      <a:fillRect/>
                    </a:stretch>
                  </pic:blipFill>
                  <pic:spPr>
                    <a:xfrm>
                      <a:off x="0" y="0"/>
                      <a:ext cx="4224338" cy="2669781"/>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ageBreakBefore w:val="0"/>
        <w:spacing w:line="24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Thailand Food and Preparations 2018 (Incremental SDV Sensitivity)</w:t>
      </w:r>
    </w:p>
    <w:p w:rsidR="00000000" w:rsidDel="00000000" w:rsidP="00000000" w:rsidRDefault="00000000" w:rsidRPr="00000000" w14:paraId="00000152">
      <w:pPr>
        <w:pageBreakBefore w:val="0"/>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54">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55">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56">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57">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8">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Structural Optimality Index</w:t>
      </w:r>
    </w:p>
    <w:p w:rsidR="00000000" w:rsidDel="00000000" w:rsidP="00000000" w:rsidRDefault="00000000" w:rsidRPr="00000000" w14:paraId="0000015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5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5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D">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 Variable: </w:t>
            </w:r>
            <w:r w:rsidDel="00000000" w:rsidR="00000000" w:rsidRPr="00000000">
              <w:rPr>
                <w:rFonts w:ascii="Times New Roman" w:cs="Times New Roman" w:eastAsia="Times New Roman" w:hAnsi="Times New Roman"/>
                <w:sz w:val="24"/>
                <w:szCs w:val="24"/>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F-Statistic: </w:t>
            </w:r>
            <w:r w:rsidDel="00000000" w:rsidR="00000000" w:rsidRPr="00000000">
              <w:rPr>
                <w:rFonts w:ascii="Times New Roman" w:cs="Times New Roman" w:eastAsia="Times New Roman" w:hAnsi="Times New Roman"/>
                <w:sz w:val="24"/>
                <w:szCs w:val="24"/>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 (F-Stat):</w:t>
            </w:r>
            <w:r w:rsidDel="00000000" w:rsidR="00000000" w:rsidRPr="00000000">
              <w:rPr>
                <w:rFonts w:ascii="Times New Roman" w:cs="Times New Roman" w:eastAsia="Times New Roman" w:hAnsi="Times New Roman"/>
                <w:sz w:val="24"/>
                <w:szCs w:val="24"/>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Adj 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Observations: </w:t>
            </w:r>
            <w:r w:rsidDel="00000000" w:rsidR="00000000" w:rsidRPr="00000000">
              <w:rPr>
                <w:rFonts w:ascii="Times New Roman" w:cs="Times New Roman" w:eastAsia="Times New Roman" w:hAnsi="Times New Roman"/>
                <w:sz w:val="24"/>
                <w:szCs w:val="24"/>
                <w:rtl w:val="0"/>
              </w:rPr>
              <w:t xml:space="preserve">106</w:t>
            </w:r>
          </w:p>
        </w:tc>
      </w:tr>
    </w:tbl>
    <w:p w:rsidR="00000000" w:rsidDel="00000000" w:rsidP="00000000" w:rsidRDefault="00000000" w:rsidRPr="00000000" w14:paraId="0000016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8"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6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Regression of Five-year GDP Growth over SOI</w:t>
      </w:r>
    </w:p>
    <w:p w:rsidR="00000000" w:rsidDel="00000000" w:rsidP="00000000" w:rsidRDefault="00000000" w:rsidRPr="00000000" w14:paraId="0000016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SOI of Thailand and Its Implications</w:t>
      </w:r>
    </w:p>
    <w:p w:rsidR="00000000" w:rsidDel="00000000" w:rsidP="00000000" w:rsidRDefault="00000000" w:rsidRPr="00000000" w14:paraId="0000016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Thailand, for instance, has a low level of structural optimality. As the regression in Figure 7 suggests (the orange curve represents export increase and the blue curve stands for opportunity gain of the corresponding industry), Thailand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demonstrates a low level of correlation with the suggested developmental path, having an adjusted R-square of around -5.8%. Thailand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ranks 96</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place among all countries in terms of SOI and has an 5-year growth rate of 26.9% from 2013 to 2018, which is somewhat consistent with the regression result in Figure 6. Thailand has grown much faster than the SOI model expected. Still, Thailand’s economic progress from 2013 to 2018 can be at least partially explained by an above average optimal development strategy that demonstrates a considerable level of matches with our suggested developmental path. </w:t>
      </w:r>
    </w:p>
    <w:p w:rsidR="00000000" w:rsidDel="00000000" w:rsidP="00000000" w:rsidRDefault="00000000" w:rsidRPr="00000000" w14:paraId="0000016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74900"/>
            <wp:effectExtent b="0" l="0" r="0" t="0"/>
            <wp:docPr id="11"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pageBreakBefore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7: SOI of Thailand (2013-2018) </w:t>
      </w:r>
      <w:r w:rsidDel="00000000" w:rsidR="00000000" w:rsidRPr="00000000">
        <w:rPr>
          <w:rtl w:val="0"/>
        </w:rPr>
      </w:r>
    </w:p>
    <w:p w:rsidR="00000000" w:rsidDel="00000000" w:rsidP="00000000" w:rsidRDefault="00000000" w:rsidRPr="00000000" w14:paraId="0000016E">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F">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7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Thailand has demonstrated a low level of economic growth in terms of GDP during the period from 2013 to 2018, concurrent with a stagnation in economic complexity as compared with other major Asian economies. </w:t>
      </w:r>
    </w:p>
    <w:p w:rsidR="00000000" w:rsidDel="00000000" w:rsidP="00000000" w:rsidRDefault="00000000" w:rsidRPr="00000000" w14:paraId="00000172">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economic progress during the period, we believe, can be partially explained through analysis of the economic and product complexity structure of Thailand on the industry group level. The product classification system we adopt allows us to measure the realized industry development for various industry groups and to observe that Thailand invested heavily in developing Chemicals, Food and Preparations, and Energy Drilling and Mining during the period, while its emerging peers and developed economies around the globe have adopted much more complex and progressive paths.</w:t>
      </w:r>
    </w:p>
    <w:p w:rsidR="00000000" w:rsidDel="00000000" w:rsidP="00000000" w:rsidRDefault="00000000" w:rsidRPr="00000000" w14:paraId="0000017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Thailand can further its gains by prioritizing Services and Utilities, and Wood Products. We further note that Thailand has a slightly mismatched development strategy that indicates a moderate level of structural optimality on the complexity level, having an adjusted R-square of around -5.8%. Since a significant positive correlation exists between five-year GDP growth and the structural optimality index of an economy as we define and calculate, Thailand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76">
      <w:pPr>
        <w:pageBreakBefore w:val="0"/>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7">
      <w:pPr>
        <w:pageBreakBefore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78">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9">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Hausmann, R., Hidalgo, C., Bustos, S., Coscia, M., Chung, S., Jimenez, J., Simoes, A. and Yıldırım, M. (2007). </w:t>
      </w:r>
      <w:r w:rsidDel="00000000" w:rsidR="00000000" w:rsidRPr="00000000">
        <w:rPr>
          <w:rFonts w:ascii="Times New Roman" w:cs="Times New Roman" w:eastAsia="Times New Roman" w:hAnsi="Times New Roman"/>
          <w:i w:val="1"/>
          <w:iCs w:val="1"/>
          <w:sz w:val="24"/>
          <w:szCs w:val="24"/>
          <w:highlight w:val="white"/>
          <w:rtl w:val="0"/>
        </w:rPr>
        <w:t xml:space="preserve">The Atlas of Economic Complexity</w:t>
      </w:r>
      <w:r w:rsidDel="00000000" w:rsidR="00000000" w:rsidRPr="00000000">
        <w:rPr>
          <w:rFonts w:ascii="Times New Roman" w:cs="Times New Roman" w:eastAsia="Times New Roman" w:hAnsi="Times New Roman"/>
          <w:sz w:val="24"/>
          <w:szCs w:val="24"/>
          <w:highlight w:val="white"/>
          <w:rtl w:val="0"/>
        </w:rPr>
        <w:t xml:space="preserve">. [online] Atlas.cid.harvard.edu. Available at: http://atlas.cid.harvard.edu/.</w:t>
      </w:r>
    </w:p>
    <w:p w:rsidR="00000000" w:rsidDel="00000000" w:rsidP="00000000" w:rsidRDefault="00000000" w:rsidRPr="00000000" w14:paraId="0000017A">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B">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Balassa, B., “The Purchasing Power Parity Doctrine - A Reapprais- al,” </w:t>
      </w:r>
      <w:r w:rsidDel="00000000" w:rsidR="00000000" w:rsidRPr="00000000">
        <w:rPr>
          <w:rFonts w:ascii="Times New Roman" w:cs="Times New Roman" w:eastAsia="Times New Roman" w:hAnsi="Times New Roman"/>
          <w:i w:val="1"/>
          <w:iCs w:val="1"/>
          <w:sz w:val="24"/>
          <w:szCs w:val="24"/>
          <w:highlight w:val="white"/>
          <w:rtl w:val="0"/>
        </w:rPr>
        <w:t xml:space="preserve">Journal of Political Economy </w:t>
      </w:r>
      <w:r w:rsidDel="00000000" w:rsidR="00000000" w:rsidRPr="00000000">
        <w:rPr>
          <w:rFonts w:ascii="Times New Roman" w:cs="Times New Roman" w:eastAsia="Times New Roman" w:hAnsi="Times New Roman"/>
          <w:b w:val="1"/>
          <w:bCs w:val="1"/>
          <w:sz w:val="24"/>
          <w:szCs w:val="24"/>
          <w:highlight w:val="white"/>
          <w:rtl w:val="0"/>
        </w:rPr>
        <w:t xml:space="preserve">72</w:t>
      </w:r>
      <w:r w:rsidDel="00000000" w:rsidR="00000000" w:rsidRPr="00000000">
        <w:rPr>
          <w:rFonts w:ascii="Times New Roman" w:cs="Times New Roman" w:eastAsia="Times New Roman" w:hAnsi="Times New Roman"/>
          <w:sz w:val="24"/>
          <w:szCs w:val="24"/>
          <w:highlight w:val="white"/>
          <w:rtl w:val="0"/>
        </w:rPr>
        <w:t xml:space="preserve">, 584-596 (1964). </w:t>
      </w:r>
    </w:p>
    <w:p w:rsidR="00000000" w:rsidDel="00000000" w:rsidP="00000000" w:rsidRDefault="00000000" w:rsidRPr="00000000" w14:paraId="0000017C">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D">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7E">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F">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United Nations Commodity Trade Statistics Database (http://comtrade.un.org/db/), accessed in August 2019. </w:t>
      </w:r>
    </w:p>
    <w:p w:rsidR="00000000" w:rsidDel="00000000" w:rsidP="00000000" w:rsidRDefault="00000000" w:rsidRPr="00000000" w14:paraId="00000180">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1">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World Economic Forum, “The global competitiveness report,” (various years). </w:t>
      </w:r>
    </w:p>
    <w:p w:rsidR="00000000" w:rsidDel="00000000" w:rsidP="00000000" w:rsidRDefault="00000000" w:rsidRPr="00000000" w14:paraId="00000182">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3">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84">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5">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86">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7">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highlight w:val="white"/>
          <w:rtl w:val="0"/>
        </w:rPr>
        <w:t xml:space="preserve">Hanushek, E.A. &amp; Woessmann, L. “The Role of Cognitive Skills in Economic Development,” Journal of Economic Literature 46(3), 607- 668 (2008). </w:t>
      </w:r>
      <w:r w:rsidDel="00000000" w:rsidR="00000000" w:rsidRPr="00000000">
        <w:rPr>
          <w:rtl w:val="0"/>
        </w:rPr>
      </w:r>
    </w:p>
    <w:sectPr>
      <w:headerReference r:id="rId38" w:type="default"/>
      <w:footerReference r:id="rId3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pStyle w:val="Heading2"/>
      <w:keepNext w:val="0"/>
      <w:keepLines w:val="0"/>
      <w:pageBreakBefore w:val="0"/>
      <w:spacing w:after="0" w:before="0" w:line="288" w:lineRule="auto"/>
      <w:rPr/>
    </w:pPr>
    <w:bookmarkStart w:colFirst="0" w:colLast="0" w:name="_ebh6fz79taf6" w:id="4"/>
    <w:bookmarkEnd w:id="4"/>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1.png"/><Relationship Id="rId22" Type="http://schemas.openxmlformats.org/officeDocument/2006/relationships/image" Target="media/image25.jpg"/><Relationship Id="rId21" Type="http://schemas.openxmlformats.org/officeDocument/2006/relationships/image" Target="media/image20.png"/><Relationship Id="rId24" Type="http://schemas.openxmlformats.org/officeDocument/2006/relationships/image" Target="media/image21.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6.jpg"/><Relationship Id="rId25" Type="http://schemas.openxmlformats.org/officeDocument/2006/relationships/image" Target="media/image26.jpg"/><Relationship Id="rId28" Type="http://schemas.openxmlformats.org/officeDocument/2006/relationships/image" Target="media/image27.jpg"/><Relationship Id="rId27" Type="http://schemas.openxmlformats.org/officeDocument/2006/relationships/image" Target="media/image15.jp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5.jpg"/><Relationship Id="rId7" Type="http://schemas.openxmlformats.org/officeDocument/2006/relationships/image" Target="media/image32.png"/><Relationship Id="rId8" Type="http://schemas.openxmlformats.org/officeDocument/2006/relationships/image" Target="media/image29.png"/><Relationship Id="rId31" Type="http://schemas.openxmlformats.org/officeDocument/2006/relationships/image" Target="media/image17.jpg"/><Relationship Id="rId30" Type="http://schemas.openxmlformats.org/officeDocument/2006/relationships/image" Target="media/image10.jpg"/><Relationship Id="rId11" Type="http://schemas.openxmlformats.org/officeDocument/2006/relationships/image" Target="media/image3.png"/><Relationship Id="rId33" Type="http://schemas.openxmlformats.org/officeDocument/2006/relationships/image" Target="media/image7.jpg"/><Relationship Id="rId10" Type="http://schemas.openxmlformats.org/officeDocument/2006/relationships/image" Target="media/image30.png"/><Relationship Id="rId32" Type="http://schemas.openxmlformats.org/officeDocument/2006/relationships/image" Target="media/image11.jpg"/><Relationship Id="rId13" Type="http://schemas.openxmlformats.org/officeDocument/2006/relationships/image" Target="media/image28.jpg"/><Relationship Id="rId35" Type="http://schemas.openxmlformats.org/officeDocument/2006/relationships/image" Target="media/image23.jpg"/><Relationship Id="rId12" Type="http://schemas.openxmlformats.org/officeDocument/2006/relationships/image" Target="media/image19.jpg"/><Relationship Id="rId34" Type="http://schemas.openxmlformats.org/officeDocument/2006/relationships/image" Target="media/image4.jpg"/><Relationship Id="rId15" Type="http://schemas.openxmlformats.org/officeDocument/2006/relationships/image" Target="media/image8.png"/><Relationship Id="rId37" Type="http://schemas.openxmlformats.org/officeDocument/2006/relationships/image" Target="media/image2.png"/><Relationship Id="rId14" Type="http://schemas.openxmlformats.org/officeDocument/2006/relationships/image" Target="media/image22.jpg"/><Relationship Id="rId36" Type="http://schemas.openxmlformats.org/officeDocument/2006/relationships/image" Target="media/image1.png"/><Relationship Id="rId17" Type="http://schemas.openxmlformats.org/officeDocument/2006/relationships/image" Target="media/image14.png"/><Relationship Id="rId39" Type="http://schemas.openxmlformats.org/officeDocument/2006/relationships/footer" Target="footer1.xml"/><Relationship Id="rId16" Type="http://schemas.openxmlformats.org/officeDocument/2006/relationships/image" Target="media/image12.png"/><Relationship Id="rId38" Type="http://schemas.openxmlformats.org/officeDocument/2006/relationships/header" Target="header1.xml"/><Relationship Id="rId19" Type="http://schemas.openxmlformats.org/officeDocument/2006/relationships/image" Target="media/image13.jp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