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02">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3">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GDP Ranking and Changes</w:t>
      </w:r>
    </w:p>
    <w:p w:rsidR="00000000" w:rsidDel="00000000" w:rsidP="00000000" w:rsidRDefault="00000000" w:rsidRPr="00000000" w14:paraId="0000000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92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largest economy in the world by GDP, Tunisia has a GDP of 46 billion USD in 2013 and 39 billion USD in 2018, exhibiting a decreasing trend in economic output. Figure 1 illustrates the time-series GDP results for major emerging economies from 1999-2018. Tunisia has an average annual growth of -2% during the period from 2013 to 2018. This number is clearly below the average annual growth rate of the other four leading emerging economies, which have a geometric average growth rates of 1.8% and an arithmetic average growth rate of 2.1%. The contrast is particularly significant with China, one of the leading emerging economies in the world, which has an average annual growth rate of 8.2% during the same period. The stagnancy of economic growth in Tunisia, we believe, can be reflected through changes in ECI and PCI, and can be further explained by a suboptimal set of production strategies adopted by Tunisia from 2013 to 2018, which we will expand at the later stage of the report.</w:t>
      </w:r>
    </w:p>
    <w:p w:rsidR="00000000" w:rsidDel="00000000" w:rsidP="00000000" w:rsidRDefault="00000000" w:rsidRPr="00000000" w14:paraId="00000005">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481638" cy="3628071"/>
            <wp:effectExtent b="12700" l="12700" r="12700" t="1270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481638" cy="362807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7">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GDP Comparison Among Major Emerging Economies</w:t>
      </w:r>
    </w:p>
    <w:p w:rsidR="00000000" w:rsidDel="00000000" w:rsidP="00000000" w:rsidRDefault="00000000" w:rsidRPr="00000000" w14:paraId="00000008">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ECI Ranking and Changes</w:t>
      </w:r>
    </w:p>
    <w:p w:rsidR="00000000" w:rsidDel="00000000" w:rsidP="00000000" w:rsidRDefault="00000000" w:rsidRPr="00000000" w14:paraId="0000000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Economic Complexity Index (ECI), as defined by Ricardo Hausmann and Cesar Hidalgo in 2009 to explain the knowledge accumulated in a country's population, exhibits a similar pattern for Tunisia. As illustrated in Figure 2 below, Tunisia exhibits a slightly increasing level of production capability from 2013 to 2018, as measured by ECI. This is in direct contrast to countries such as China, which demonstrates a steady trend in terms of both the ECI and GDP indexes. </w:t>
      </w:r>
    </w:p>
    <w:p w:rsidR="00000000" w:rsidDel="00000000" w:rsidP="00000000" w:rsidRDefault="00000000" w:rsidRPr="00000000" w14:paraId="0000000B">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79442" cy="1900238"/>
            <wp:effectExtent b="12700" l="12700" r="12700" t="12700"/>
            <wp:docPr id="1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879442" cy="1900238"/>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933700" cy="1904500"/>
            <wp:effectExtent b="12700" l="12700" r="12700" t="12700"/>
            <wp:docPr id="1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933700" cy="1904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C">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ECI Comparison                            Figure 3: GDP and ECI (Tunisia)</w:t>
      </w:r>
    </w:p>
    <w:p w:rsidR="00000000" w:rsidDel="00000000" w:rsidP="00000000" w:rsidRDefault="00000000" w:rsidRPr="00000000" w14:paraId="0000000D">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offers a further comparison of GDP and ECI over the entire time span from 2013 to 2018 for Tunisia. From the graph, it can be observed that the stagnancy of GDP during the period from 2013 to 2018 was accompanied by an increasing ECI, indicating little predictive power of ECI in terms of Tunisia’s potential economic development. In order to get a better insight of the relationship between ECI and the country’s economy, we will dive into an analysis of Tunisia’s production structure and its product space designs in the next few chapters. </w:t>
      </w:r>
    </w:p>
    <w:p w:rsidR="00000000" w:rsidDel="00000000" w:rsidP="00000000" w:rsidRDefault="00000000" w:rsidRPr="00000000" w14:paraId="0000000F">
      <w:pPr>
        <w:pageBreakBefore w:val="0"/>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11">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4.1 Suggested Development Vector</w:t>
      </w:r>
      <w:r w:rsidDel="00000000" w:rsidR="00000000" w:rsidRPr="00000000">
        <w:rPr>
          <w:rtl w:val="0"/>
        </w:rPr>
      </w:r>
    </w:p>
    <w:p w:rsidR="00000000" w:rsidDel="00000000" w:rsidP="00000000" w:rsidRDefault="00000000" w:rsidRPr="00000000" w14:paraId="0000001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shape.</w:t>
      </w:r>
    </w:p>
    <w:p w:rsidR="00000000" w:rsidDel="00000000" w:rsidP="00000000" w:rsidRDefault="00000000" w:rsidRPr="00000000" w14:paraId="0000001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9750" cy="2847975"/>
            <wp:effectExtent b="0" l="0" r="0" t="0"/>
            <wp:docPr id="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619750"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Opportunity Gain Ranking on a Regional Scale</w:t>
      </w:r>
    </w:p>
    <w:p w:rsidR="00000000" w:rsidDel="00000000" w:rsidP="00000000" w:rsidRDefault="00000000" w:rsidRPr="00000000" w14:paraId="00000018">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define the ranking of opportunity gain for a country c, as the Suggested Development Vector (SDV) of c. Table 5 and 6 summarize how the SDV of Spain compares with a selected group of regional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less developed countries have nearly half of industries with positive opportunity gain, and share common interests in industrial manufacturing and High-complexity Products industries. It can be concluded that Tunisia shares the characters of a less developed country as compared with the world’s leading economies and other major economies in Europe, with a premature economics structure that leans towards basic to intermediate level industries. </w:t>
      </w:r>
    </w:p>
    <w:p w:rsidR="00000000" w:rsidDel="00000000" w:rsidP="00000000" w:rsidRDefault="00000000" w:rsidRPr="00000000" w14:paraId="0000001A">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095500"/>
            <wp:effectExtent b="0" l="0" r="0" t="0"/>
            <wp:docPr id="5"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73405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Opportunity Gain Ranking on a Global Scale</w:t>
      </w:r>
    </w:p>
    <w:p w:rsidR="00000000" w:rsidDel="00000000" w:rsidP="00000000" w:rsidRDefault="00000000" w:rsidRPr="00000000" w14:paraId="0000001E">
      <w:pPr>
        <w:pageBreakBefore w:val="0"/>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Budgeted Industry Development Strategy and Interpretation</w:t>
      </w:r>
    </w:p>
    <w:p w:rsidR="00000000" w:rsidDel="00000000" w:rsidP="00000000" w:rsidRDefault="00000000" w:rsidRPr="00000000" w14:paraId="00000021">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23">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28888" cy="1141284"/>
            <wp:effectExtent b="0" l="0" r="0" t="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k(x) is the second largest eigenvector of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CC'</m:t>
            </m:r>
          </m:sub>
        </m:sSub>
      </m:oMath>
      <w:r w:rsidDel="00000000" w:rsidR="00000000" w:rsidRPr="00000000">
        <w:rPr>
          <w:rFonts w:ascii="Times New Roman" w:cs="Times New Roman" w:eastAsia="Times New Roman" w:hAnsi="Times New Roman"/>
          <w:sz w:val="24"/>
          <w:szCs w:val="24"/>
          <w:rtl w:val="0"/>
        </w:rPr>
        <w:t xml:space="preserve"> after adding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to the original export vector, C is the country that we are interested in, P is the product space, B is the heuristic budget. </w:t>
      </w:r>
    </w:p>
    <w:p w:rsidR="00000000" w:rsidDel="00000000" w:rsidP="00000000" w:rsidRDefault="00000000" w:rsidRPr="00000000" w14:paraId="00000027">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can solve this problem, then we can know what the largest ECI that a country can improve to. Accordingly, the optimal solution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w:rFonts w:ascii="Times New Roman" w:cs="Times New Roman" w:eastAsia="Times New Roman" w:hAnsi="Times New Roman"/>
            <w:sz w:val="24"/>
            <w:szCs w:val="24"/>
          </w:rPr>
          <m:t xml:space="preserve">p</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2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2B">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38363" cy="71863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ECI</m:t>
            </m:r>
          </m:e>
          <m:sub>
            <m:r>
              <w:rPr>
                <w:rFonts w:ascii="Times New Roman" w:cs="Times New Roman" w:eastAsia="Times New Roman" w:hAnsi="Times New Roman"/>
                <w:sz w:val="24"/>
                <w:szCs w:val="24"/>
              </w:rPr>
              <m:t xml:space="preserve">p</m:t>
            </m:r>
          </m:sub>
        </m:sSub>
      </m:oMath>
      <w:r w:rsidDel="00000000" w:rsidR="00000000" w:rsidRPr="00000000">
        <w:rPr>
          <w:rFonts w:ascii="Times New Roman" w:cs="Times New Roman" w:eastAsia="Times New Roman" w:hAnsi="Times New Roman"/>
          <w:sz w:val="24"/>
          <w:szCs w:val="24"/>
          <w:rtl w:val="0"/>
        </w:rPr>
        <w:t xml:space="preserve"> is just the ECI of the country after adding some amount of export increment to product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which is exactly the amount that is able to make ECI change. Also, we can express it in the way of </w:t>
      </w:r>
      <m:oMath>
        <m:r>
          <w:rPr>
            <w:rFonts w:ascii="Times New Roman" w:cs="Times New Roman" w:eastAsia="Times New Roman" w:hAnsi="Times New Roman"/>
            <w:sz w:val="24"/>
            <w:szCs w:val="24"/>
          </w:rPr>
          <m:t xml:space="preserve">||</m:t>
        </m:r>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0</m:t>
            </m:r>
          </m:sub>
        </m:sSub>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 of parts and selecting the portfolio with the largest ECI increment and most complex economic structure. </w:t>
      </w:r>
    </w:p>
    <w:p w:rsidR="00000000" w:rsidDel="00000000" w:rsidP="00000000" w:rsidRDefault="00000000" w:rsidRPr="00000000" w14:paraId="0000003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Besides, it is quite common that there is a surplus for the budget. To deal with the surplus, we just add it to the product which needs the least amount of dollar to make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cp</m:t>
            </m:r>
          </m:sub>
        </m:sSub>
      </m:oMath>
      <w:r w:rsidDel="00000000" w:rsidR="00000000" w:rsidRPr="00000000">
        <w:rPr>
          <w:rFonts w:ascii="Times New Roman" w:cs="Times New Roman" w:eastAsia="Times New Roman" w:hAnsi="Times New Roman"/>
          <w:sz w:val="24"/>
          <w:szCs w:val="24"/>
          <w:rtl w:val="0"/>
        </w:rPr>
        <w:t xml:space="preserve"> = 1, (i.e., the smallest amount of required export increase).</w:t>
      </w:r>
      <w:r w:rsidDel="00000000" w:rsidR="00000000" w:rsidRPr="00000000">
        <w:rPr>
          <w:rtl w:val="0"/>
        </w:rPr>
      </w:r>
    </w:p>
    <w:p w:rsidR="00000000" w:rsidDel="00000000" w:rsidP="00000000" w:rsidRDefault="00000000" w:rsidRPr="00000000" w14:paraId="00000032">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economic panel for Tunisia in 2013. We can see that for different percentages of heuristic total export growth, the ECI of Tunisia has different performance. From all the four line graphs, we see that Tunisia already obtains some great increment in terms of ECI. However, increasing the budget for too large an amount would not produce a higher and higher ECI. One thing to notice is that, even though the growth pattern does not change a lot, the eventual ending point is quite high, which is around eight times of the original ECI. This means that in short terms, Tunisia still has great room to improve. For the four export growth budget, the increment primarily attributes to high-complexity products and daily instruments. Therefore, Tunisia should focus on developing high-complexity products and daily instruments.</w:t>
      </w:r>
    </w:p>
    <w:p w:rsidR="00000000" w:rsidDel="00000000" w:rsidP="00000000" w:rsidRDefault="00000000" w:rsidRPr="00000000" w14:paraId="0000003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43613" cy="2095500"/>
            <wp:effectExtent b="0" l="0" r="0" t="0"/>
            <wp:docPr id="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043613"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95500"/>
            <wp:effectExtent b="0" l="0" r="0" t="0"/>
            <wp:docPr id="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1968500"/>
            <wp:effectExtent b="0" l="0" r="0" t="0"/>
            <wp:docPr id="9"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9">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A">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B">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C">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D">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E">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F">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0">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2">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3">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4">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5">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6">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7">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8">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9">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A">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B">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Sensitivity Analysis Results and Interpretation</w:t>
      </w:r>
    </w:p>
    <w:p w:rsidR="00000000" w:rsidDel="00000000" w:rsidP="00000000" w:rsidRDefault="00000000" w:rsidRPr="00000000" w14:paraId="0000004C">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D">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050">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Structural Optimality Index</w:t>
      </w:r>
    </w:p>
    <w:p w:rsidR="00000000" w:rsidDel="00000000" w:rsidP="00000000" w:rsidRDefault="00000000" w:rsidRPr="00000000" w14:paraId="0000005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053">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05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 Variable: </w:t>
            </w:r>
            <w:r w:rsidDel="00000000" w:rsidR="00000000" w:rsidRPr="00000000">
              <w:rPr>
                <w:rFonts w:ascii="Times New Roman" w:cs="Times New Roman" w:eastAsia="Times New Roman" w:hAnsi="Times New Roman"/>
                <w:sz w:val="24"/>
                <w:szCs w:val="24"/>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F-Statistic: </w:t>
            </w:r>
            <w:r w:rsidDel="00000000" w:rsidR="00000000" w:rsidRPr="00000000">
              <w:rPr>
                <w:rFonts w:ascii="Times New Roman" w:cs="Times New Roman" w:eastAsia="Times New Roman" w:hAnsi="Times New Roman"/>
                <w:sz w:val="24"/>
                <w:szCs w:val="24"/>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 (F-Stat):</w:t>
            </w:r>
            <w:r w:rsidDel="00000000" w:rsidR="00000000" w:rsidRPr="00000000">
              <w:rPr>
                <w:rFonts w:ascii="Times New Roman" w:cs="Times New Roman" w:eastAsia="Times New Roman" w:hAnsi="Times New Roman"/>
                <w:sz w:val="24"/>
                <w:szCs w:val="24"/>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Adj 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Observations: </w:t>
            </w:r>
            <w:r w:rsidDel="00000000" w:rsidR="00000000" w:rsidRPr="00000000">
              <w:rPr>
                <w:rFonts w:ascii="Times New Roman" w:cs="Times New Roman" w:eastAsia="Times New Roman" w:hAnsi="Times New Roman"/>
                <w:sz w:val="24"/>
                <w:szCs w:val="24"/>
                <w:rtl w:val="0"/>
              </w:rPr>
              <w:t xml:space="preserve">106</w:t>
            </w:r>
          </w:p>
        </w:tc>
      </w:tr>
    </w:tbl>
    <w:p w:rsidR="00000000" w:rsidDel="00000000" w:rsidP="00000000" w:rsidRDefault="00000000" w:rsidRPr="00000000" w14:paraId="0000005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8"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05F">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Regression of Five-year GDP Growth over SOI</w:t>
      </w:r>
    </w:p>
    <w:p w:rsidR="00000000" w:rsidDel="00000000" w:rsidP="00000000" w:rsidRDefault="00000000" w:rsidRPr="00000000" w14:paraId="0000006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SOI of Tunisia and Its Implications</w:t>
      </w:r>
    </w:p>
    <w:p w:rsidR="00000000" w:rsidDel="00000000" w:rsidP="00000000" w:rsidRDefault="00000000" w:rsidRPr="00000000" w14:paraId="0000006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Tunisia, for instance, has a relatively low level of structural optimality as compared with its African peers. As the regression in Figure 7 suggests (the orange curve represents export increase and the blue curve stands for opportunity gain of the corresponding industry), Tunisia demonstrates a moderate level of correlation with the suggested developmental path, having an adjusted R-square of around -6.2%. Tunisia ranks in 105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place among all observed countries in terms of SOI and has slow economic progress among its African peers from 2013 to 2018 with an annual growth rate of 26.5%, which is consistent with the regression result in Figure 6. This is in direct contrast to emerging economies such as Turkey, where there is a high SOI of around 21.8% and a corresponding GDP growth of 36.7%, making it one of the fastest developing economies during the period. In sum, Tunisia’s slower economic progress from 2013 to 2018 can be at least partially explained by a mismatched development strategy that demonstrates a considerable level of deviations from our suggested developmental path. </w:t>
      </w:r>
    </w:p>
    <w:p w:rsidR="00000000" w:rsidDel="00000000" w:rsidP="00000000" w:rsidRDefault="00000000" w:rsidRPr="00000000" w14:paraId="00000063">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298700"/>
            <wp:effectExtent b="0" l="0" r="0" t="0"/>
            <wp:docPr id="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405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ageBreakBefore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Figure 7: SOI for Tunisia (2013-2018) </w:t>
      </w:r>
      <w:r w:rsidDel="00000000" w:rsidR="00000000" w:rsidRPr="00000000">
        <w:rPr>
          <w:rtl w:val="0"/>
        </w:rPr>
      </w:r>
    </w:p>
    <w:p w:rsidR="00000000" w:rsidDel="00000000" w:rsidP="00000000" w:rsidRDefault="00000000" w:rsidRPr="00000000" w14:paraId="00000067">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jpg"/><Relationship Id="rId13" Type="http://schemas.openxmlformats.org/officeDocument/2006/relationships/image" Target="media/image9.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5.jpg"/><Relationship Id="rId14"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18"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