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1: </w:t>
      </w:r>
      <w:hyperlink r:id="rId6">
        <w:r w:rsidDel="00000000" w:rsidR="00000000" w:rsidRPr="00000000">
          <w:rPr>
            <w:rFonts w:ascii="Times New Roman" w:cs="Times New Roman" w:eastAsia="Times New Roman" w:hAnsi="Times New Roman"/>
            <w:b w:val="1"/>
            <w:bCs w:val="1"/>
            <w:color w:val="1155cc"/>
            <w:u w:val="single"/>
            <w:rtl w:val="0"/>
          </w:rPr>
          <w:t xml:space="preserve">Economic complexity and growth: Can value-added exports better explain the link?</w:t>
        </w:r>
      </w:hyperlink>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1: What is the paper doing?</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is asking whether the link between economic complexity and economic growth is being mismeasured because most complexity metrics rely on gross exports, even though modern trade is organized around global value chains. Koch argues that gross exports can distort a country’s apparent capabilities because they include foreign value-added content and double-counted exports. To address this, the paper introduces a new way to approximate complexity using a country’s value-added export structure, such as the domestic value a country contributes to goods and services that are ultimately consumed abroad.</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Methodologically, the paper proposes a value-added version of the Fitness approach (rather than the standard ECI), because ECI cannot be directly adapted to the author’s weighted value-added export matrix without collapsing key variation. The paper therefore constructs a weighted country–industry matrix where each entry is the share of a country’s value-added exports coming from a given industry, and then runs an iterative procedure analogous to the Tacchella fitness–complexity framework to generate a country-level complexity measure called Value-Added Export Fitness (VXF). The paper uses value-added export data computed from the World Input-Output Database (WIOD) covering 43 countries from 2000–2014, then evaluates how well VXF explains GDP per capita growth compared to standard ECI and standard Fitness based on gross exports.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2: What are the main findings?</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paper’s main finding is that complexity measured with value-added exports has a stronger relationship with GDP per capita growth than complexity measured with gross exports. In simple correlations over 2000–2014, the growth relationship is much tighter for VXF than for ECI or Fitness. In growth regressions using a panel constructed from three non-overlapping periods (2000–2004, 2005–2009, 2010–2014), Koch also finds that VXF is positively and significantly associated with growth even after controlling for standard growth covariates, while the gross-export complexity measures are weaker and can become insignificant in robustness specifications.</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major result is that value-added complexity generates meaningfully different country rankings than gross-export complexity. For example, the top-ranked countries differ across VXF, ECI, and Fitness, which the author interprets as evidence that gross exports can over- or under-state true domestic capabilities depending on how a country is positioned in value chains.</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acknowledges several caveats. The WIOD sample is limited and skews toward middle- and high-income countries, which restricts external validity for low-income contexts. The author also notes that growth modeling is sensitive to dynamic-panel issues and that broader datasets (or alternative IO tables) could enable stronger econometric validation.</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3: Why does this matter for ECI research and reporting?</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matters for ECI research because it directly challenges a core operational assumption: that gross exports are a clean proxy for domestic productive knowledge. Koch supports the complexity framework overall, but argues that export-based metrics can be misleading in a world where exported goods embed substantial foreign value added. This refines how ECI-style indicators should be interpreted: not as a pure measure of “capabilities inside the country,” but as a measure of the export basket, which may or may not reflect domestic value creation.</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reporting, the implication is that country briefs should avoid treating ECI rankings as fully comparable across economies with very different degrees of value-chain integration. In particular, country reports should be cautious about strong claims of “capability” or “productive knowledge” when a country’s export sector is heavily assembly-based or dependent on imported intermediates. The paper also suggests a clear extension for research and reporting: pairing export-complexity narratives with value-added trade evidence (or at least caveats) when making claims about domestic capability and growth potential.</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2: </w:t>
      </w:r>
      <w:hyperlink r:id="rId7">
        <w:r w:rsidDel="00000000" w:rsidR="00000000" w:rsidRPr="00000000">
          <w:rPr>
            <w:rFonts w:ascii="Times New Roman" w:cs="Times New Roman" w:eastAsia="Times New Roman" w:hAnsi="Times New Roman"/>
            <w:b w:val="1"/>
            <w:bCs w:val="1"/>
            <w:color w:val="1155cc"/>
            <w:u w:val="single"/>
            <w:rtl w:val="0"/>
          </w:rPr>
          <w:t xml:space="preserve">Linking Economic Complexity, Institutions and Income Inequality </w:t>
        </w:r>
      </w:hyperlink>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1: What is the paper doing?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is asking whether a country’s productive structure (measured through economic complexity) helps explain not only growth and income levels, but also income inequality. The authors build from the idea that what a country produces constrains its labor market structure, bargaining power, and institutional development, and they test whether countries that export more complex products tend to have systematically different inequality outcomes than countries specializing in simpler or resource-based exports.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uses the standard ECI computed from international trade data and revealed comparative advantage. Empirically, it links ECI to inequality using cross-sectional and panel approaches. The authors combine trade and ECI data from the Observatory of Economic Complexity with Gini estimates (primarily the EHII inequality dataset), and they focus on the long time window 1963–2008, averaging variables by decade to deal with missingness and slow-moving inequality dynamics. Beyond regressions, the paper introduces a product-level extension called the Product Gini Index (PGI), which assigns each product an “expected inequality level” equal to a weighted average of the Ginis of the countries that export it. The PGI is then mapped onto the product space to illustrate how the set of feasible diversification moves may constrain a country’s inequality trajectory.</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2: What are the main findings?</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paper’s central finding is that higher economic complexity is associated with lower income inequality, and this relationship is strong and stable across decades. The authors show that ECI explains inequality differences better than GDP per capita in simple comparisons, and they also find that the ECI–inequality relationship remains significant in multivariate regressions controlling for income levels, education, population, and institutional measures. Importantly, the paper also finds a within-country pattern: countries that increase their economic complexity over time tend to experience decreases in inequality, even though both variables move slowly.</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PGI results reinforce the interpretation that inequality differences are tied to the structure of what economies produce. Products associated with high PGI values tend to be primary commodities and simple goods, while products associated with low PGI values tend to be more complex industrial and machinery products. Mapping PGI onto the product space further supports the paper’s mechanism claim: countries whose feasible nearby diversification opportunities lie in high-PGI regions may face a more constrained path toward inclusive development than countries whose nearby opportunities lie in low-PGI regions.</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acknowledge key limitations. The analysis is largely correlational (it cannot prove that complexity causes inequality changes), inequality data are sparse and imperfect, and institutional measures are not consistently available across the full historical panel.</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3: Why does this matter for ECI research and reporting?</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matters for ECI research because it extends the relevance of economic complexity beyond growth forecasting and into the domain of distributional outcomes. It supports using ECI as a structural indicator by showing that productive structure contains information about inequality that is not fully captured by GDP per capita, education, or headline institutional metrics. At the same time, it refines how ECI should be interpreted: complexity appears to track not only “productive knowledge,” but also the kinds of labor markets, bargaining structures, and institutional arrangements that tend to accompany sophisticated production.</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country reporting, the paper implies that it is reasonable to discuss ECI as being associated with inclusive development potential, but only with careful language. A high ECI does not guarantee redistribution, and inequality outcomes still depend on institutions and policy choices. The most useful reporting extension from this paper is the product-level lens: PGI offers a concrete way to talk about “what kinds of products” are typically associated with more equal outcomes and how a country’s feasible diversification options may shape inequality constraints. This suggests that country reports should be cautious about broad statements like “diversification will reduce inequality” and instead focus on which diversification pathways are plausible and what those pathways historically correlate with in distributional terms.</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iencedirect.com/science/article/abs/pii/S0165176520304420" TargetMode="External"/><Relationship Id="rId7" Type="http://schemas.openxmlformats.org/officeDocument/2006/relationships/hyperlink" Target="https://www.sciencedirect.com/science/article/abs/pii/S0305750X153098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