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pw6cdcxx17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1</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Optimizing Economic Complexity</w:t>
      </w:r>
    </w:p>
    <w:p w:rsidR="00000000" w:rsidDel="00000000" w:rsidP="00000000" w:rsidRDefault="00000000" w:rsidRPr="00000000" w14:paraId="00000003">
      <w:pPr>
        <w:ind w:firstLine="72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Source: Stojkoski, Viktor, and César A. Hidalgo. “Optimizing Economic Complexity.” arXiv preprint, version 2503.04476v2. </w:t>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What is the paper doing?</w:t>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This paper argues that a common “applied” workflow in economic complexity – using relatedness - complexity diagrams – is widely used in policy practice even though it is not grounded in a clear notion of optimality. The authors’ core question is: if a country wants to reach a target level of economic complexity or growth, what portfolio of new activities gets it there with minimal effort, given its existing specialization pattern? To answer this, they introduce ECI Optimization: an optimization-based layer on top of the standard ECI/product-space toolkit. The method converts the diversification problem into a binary optimization program that selects a set of future specializations to (i) reach a target ECI while (ii) minimizing a cost function that reflects the “effort” needed to make those specializations plausible, given a country’s current structure.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2) What are the main findings?</w:t>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ECI optimization tends to recommend activities closer to a country’s existing specializations (higher current revealed comparative advantage, RCA), because it explicitly minimizes the extra “boost” needed. When comparing recommendations, the products selected by ECI optimization have, on average, higher initial RCA than those selected by the benchmark relatedness, complexity diagram method, consistent with the objective of minimizing additional RCA required to reach the target. </w:t>
      </w:r>
    </w:p>
    <w:p w:rsidR="00000000" w:rsidDel="00000000" w:rsidP="00000000" w:rsidRDefault="00000000" w:rsidRPr="00000000" w14:paraId="0000000D">
      <w:pPr>
        <w:ind w:firstLine="720"/>
        <w:rPr/>
      </w:pPr>
      <w:r w:rsidDel="00000000" w:rsidR="00000000" w:rsidRPr="00000000">
        <w:rPr>
          <w:rtl w:val="0"/>
        </w:rPr>
        <w:t xml:space="preserve">The method can recommend “less related” moves for lower- and mid-ECI economies, generating a more balanced portfolio of related and unrelated diversification than quadrant-based diagram heuristics. Relative to the benchmark, ECI optimization selects products that are relatively more unrelated for lower and middle complexity economies, and the pattern resembles portfolio-style diversification logic (mixing feasible steps with some higher-upside jumps). </w:t>
      </w:r>
    </w:p>
    <w:p w:rsidR="00000000" w:rsidDel="00000000" w:rsidP="00000000" w:rsidRDefault="00000000" w:rsidRPr="00000000" w14:paraId="0000000E">
      <w:pPr>
        <w:ind w:firstLine="720"/>
        <w:rPr/>
      </w:pPr>
      <w:r w:rsidDel="00000000" w:rsidR="00000000" w:rsidRPr="00000000">
        <w:rPr>
          <w:rtl w:val="0"/>
        </w:rPr>
        <w:t xml:space="preserve">It recommends a similar or slightly smaller number of new activities, but with lower implied effort measured as additional export volume. Both methods tend to recommend a similar count of products, though ECI optimization recommends slightly fewer on average. When effort is expressed as additional export volume needed to reach comparative advantage, ECI optimization implies slightly lower added volume, suggesting it better balances feasibility vs. complexity gains. </w:t>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3) Why does this matter for ECI research and reporting?</w:t>
      </w:r>
    </w:p>
    <w:p w:rsidR="00000000" w:rsidDel="00000000" w:rsidP="00000000" w:rsidRDefault="00000000" w:rsidRPr="00000000" w14:paraId="00000011">
      <w:pPr>
        <w:ind w:firstLine="720"/>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tl w:val="0"/>
        </w:rPr>
        <w:t xml:space="preserve">It reframes industry opportunity from a visual heuristic to an explicit optimization problem. For ECI reporting, this paper is a direct warning against over-relying on quadrant logic as if it were optimal. The authors’ point is not that relatedness-complexity diagrams are useless, but that they are not inherently target-consistent and can miss portfolios that achieve goals with lower implied effort. </w:t>
      </w:r>
    </w:p>
    <w:p w:rsidR="00000000" w:rsidDel="00000000" w:rsidP="00000000" w:rsidRDefault="00000000" w:rsidRPr="00000000" w14:paraId="00000013">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It suggests a more defensible way to talk about feasibility and strategy in country reports, to (i) define a target (ECI change, or growth, or another objective), and (ii) define a feasibility/effort proxy, instead of treating proximity as the only feasibility concept.</w:t>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vn44sr3k1i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2</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Predicting the Emergence of the EV Industry: A Product Space Analysis Across Regions and Firms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Source: Ledebur, Katharina; Bartuska, Ladislav; Friesenbichler, Klaus; Klimek, Peter. Predicting the Emergence of the EV Industry: A Product Space Analysis Across Regions and Firms. arXiv:2512.13178v1.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1) What is the paper doing?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t xml:space="preserve">This paper studies where and why new competitive strengths in EV-related production are likely to emerge, focusing on how regions and firms can leverage cross-industry diversification during the shift from internal-combustion vehicles (ICE) to electric vehicles. The central question is whether competitiveness in EV production is explained not just by incumbency in the auto sector, but by capabilities that sit in adjacent industries (e.g., electronics, machinery, batteries) that can be redeployed during technological transition. It uses economic complexity in an applied product-space / relatedness framework rather than as a single headline ECI rank. Specifically, the authors build: (i) an economy-wide, country-level product space spanning all industries, and (ii) a high-resolution automotive product space covering 900+ components, enabling them to identify clusters of parts that “go together” and thus likely share underlying capabilities. </w:t>
      </w:r>
    </w:p>
    <w:p w:rsidR="00000000" w:rsidDel="00000000" w:rsidP="00000000" w:rsidRDefault="00000000" w:rsidRPr="00000000" w14:paraId="0000001C">
      <w:pPr>
        <w:ind w:firstLine="720"/>
        <w:rPr/>
      </w:pPr>
      <w:r w:rsidDel="00000000" w:rsidR="00000000" w:rsidRPr="00000000">
        <w:rPr>
          <w:rtl w:val="0"/>
        </w:rPr>
        <w:t xml:space="preserve">The novelty is that they emphasize closeness centrality (a network-position measure capturing how structurally “central” a product/sector is in the product space) and argue it predicts new comparative advantage better than simpler proximity concepts. </w:t>
      </w:r>
    </w:p>
    <w:p w:rsidR="00000000" w:rsidDel="00000000" w:rsidP="00000000" w:rsidRDefault="00000000" w:rsidRPr="00000000" w14:paraId="0000001D">
      <w:pPr>
        <w:ind w:firstLine="720"/>
        <w:rPr/>
      </w:pPr>
      <w:r w:rsidDel="00000000" w:rsidR="00000000" w:rsidRPr="00000000">
        <w:rPr>
          <w:rtl w:val="0"/>
        </w:rPr>
        <w:t xml:space="preserve">Methodologically, the paper operationalizes opportunity using (a) network measures (notably closeness centrality to EV-specific products) and (b) “complexity potential” style indicators adapted from Green Complexity Potential, producing EV-focused metrics such as EV-Complexity Potential (EVCP) (and analogs for ICE-specific and unspecific components). It then validates these predictors by modeling whether products/countries switch into comparative advantage over time using a logistic regression design based on changes from 2012 to 2023. </w:t>
      </w:r>
    </w:p>
    <w:p w:rsidR="00000000" w:rsidDel="00000000" w:rsidP="00000000" w:rsidRDefault="00000000" w:rsidRPr="00000000" w14:paraId="0000001E">
      <w:pPr>
        <w:ind w:firstLine="720"/>
        <w:rPr/>
      </w:pPr>
      <w:r w:rsidDel="00000000" w:rsidR="00000000" w:rsidRPr="00000000">
        <w:rPr>
          <w:rtl w:val="0"/>
        </w:rPr>
        <w:t xml:space="preserve">From an economic complexity perspective, the paper treats EV upgrading as a problem of recombining capabilities in the sense of the ECI framework: countries (and regions/firms) are more likely to enter activities that share tacit know-how with their existing portfolio. Instead of using ECI as the primary dependent variable, the authors work “under the hood” of the ECI approach by leveraging product-level structure, the same intuition behind ECI/PCI, where countries are characterized by the mix of products they can competitively produce and products are characterized by the rarity of the capabilities required to make them. In this sense, EV-specific components can be interpreted as a subset of high-knowledge manufacturing activities whose feasibility depends on a country’s current position in the broader capability network.</w:t>
      </w:r>
    </w:p>
    <w:p w:rsidR="00000000" w:rsidDel="00000000" w:rsidP="00000000" w:rsidRDefault="00000000" w:rsidRPr="00000000" w14:paraId="0000001F">
      <w:pPr>
        <w:ind w:firstLine="720"/>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2) What are the main findings?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firstLine="720"/>
        <w:rPr/>
      </w:pPr>
      <w:r w:rsidDel="00000000" w:rsidR="00000000" w:rsidRPr="00000000">
        <w:rPr>
          <w:rtl w:val="0"/>
        </w:rPr>
        <w:t xml:space="preserve">Closeness centrality is a consistently strong predictor of diversification into new strengths. Across chapters and sampling strategies, the paper finds that closeness is the most consistent and significant predictor of where new comparative advantages emerge, supporting the broader complexity claim that diversification is path dependent and constrained by the existing capability set. </w:t>
      </w:r>
    </w:p>
    <w:p w:rsidR="00000000" w:rsidDel="00000000" w:rsidP="00000000" w:rsidRDefault="00000000" w:rsidRPr="00000000" w14:paraId="00000023">
      <w:pPr>
        <w:ind w:firstLine="720"/>
        <w:rPr/>
      </w:pPr>
      <w:r w:rsidDel="00000000" w:rsidR="00000000" w:rsidRPr="00000000">
        <w:rPr>
          <w:rtl w:val="0"/>
        </w:rPr>
        <w:t xml:space="preserve">For EV-specific upgrading, closeness to EV products in 2012 strongly predicts later EV competitiveness. When restricting the analysis to EV-specific products, the logistic regression shows a positive, statistically significant association between EV-specific closeness and the probability of switching to competitive export status; the reported coefficient (beta = 0.418) implies that a one-standard-deviation increase in closeness to EV products in 2012 raises the odds of developing EV comparative advantage by ~52% by 2023. </w:t>
      </w:r>
    </w:p>
    <w:p w:rsidR="00000000" w:rsidDel="00000000" w:rsidP="00000000" w:rsidRDefault="00000000" w:rsidRPr="00000000" w14:paraId="00000024">
      <w:pPr>
        <w:ind w:firstLine="720"/>
        <w:rPr/>
      </w:pPr>
      <w:r w:rsidDel="00000000" w:rsidR="00000000" w:rsidRPr="00000000">
        <w:rPr>
          <w:rtl w:val="0"/>
        </w:rPr>
        <w:t xml:space="preserve">Not all sectors feed EV emergence equally; the effect is region-specific and depends on existing diversification. Using the model to translate sectoral closeness into expected EV gains, the paper argues that for the EU new strengths in vehicles and aluminum products would generate roughly more EV-specific strengths than an average EV-relevant sector. This supports the paper’s broader claim that incumbent EU producers may face pressure as EV capabilities can be mobilized from outside the traditional auto core.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3) Why does this matter for ECI research and reporting?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firstLine="720"/>
        <w:rPr/>
      </w:pPr>
      <w:r w:rsidDel="00000000" w:rsidR="00000000" w:rsidRPr="00000000">
        <w:rPr>
          <w:rtl w:val="0"/>
        </w:rPr>
        <w:t xml:space="preserve">This paper strengthens a core message in economic complexity work: industrial upgrading is path dependent and capability-constrained, and network structure contains predictive information about future specialization. For ECI-style reporting, its most direct implication is that country narratives about “EV readiness” should not rely only on current auto export performance or a single complexity score; instead, they should consider cross-industry adjacency – especially capabilities in machinery and electronic equipment that can be repurposed for EV supply chains.</w:t>
      </w:r>
    </w:p>
    <w:p w:rsidR="00000000" w:rsidDel="00000000" w:rsidP="00000000" w:rsidRDefault="00000000" w:rsidRPr="00000000" w14:paraId="00000029">
      <w:pPr>
        <w:ind w:firstLine="720"/>
        <w:rPr/>
      </w:pPr>
      <w:r w:rsidDel="00000000" w:rsidR="00000000" w:rsidRPr="00000000">
        <w:rPr>
          <w:rtl w:val="0"/>
        </w:rPr>
        <w:t xml:space="preserve">Methodologically, the paper also refines what can be claimed. It argues that closeness centrality, a product’s structural position in the broader product space, can outperform more “intuitive” proximity/potential measures in predicting EV specialization. </w:t>
      </w:r>
    </w:p>
    <w:p w:rsidR="00000000" w:rsidDel="00000000" w:rsidP="00000000" w:rsidRDefault="00000000" w:rsidRPr="00000000" w14:paraId="0000002A">
      <w:pPr>
        <w:ind w:firstLine="720"/>
        <w:rPr/>
      </w:pPr>
      <w:r w:rsidDel="00000000" w:rsidR="00000000" w:rsidRPr="00000000">
        <w:rPr>
          <w:rtl w:val="0"/>
        </w:rPr>
        <w:t xml:space="preserve">For comparisons across countries, the paper is a reminder that results depend on the level of analysis. The fact that firm-level and trade-level product spaces can produce different rankings implies that a report should be explicit about whether it is diagnosing (a) within-sector upgrading capacity among incumbent firms, or (b) economy-wide structural readiness to enter EV supply chains. This is especially relevant for large economies or economies deeply embedded in global value chains, where export data may reflect assembly roles more than domestic capability depth. </w:t>
      </w:r>
      <w:r w:rsidDel="00000000" w:rsidR="00000000" w:rsidRPr="00000000">
        <w:br w:type="page"/>
      </w: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