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Paper 1: </w:t>
      </w:r>
      <w:r w:rsidDel="00000000" w:rsidR="00000000" w:rsidRPr="00000000">
        <w:rPr>
          <w:rFonts w:ascii="Times New Roman" w:cs="Times New Roman" w:eastAsia="Times New Roman" w:hAnsi="Times New Roman"/>
          <w:rtl w:val="0"/>
        </w:rPr>
        <w:t xml:space="preserve">Does economic complexity drive health sector investment? Empirical assessment of sub-Saharan Africa</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Authors: Nidel Lolita Wassou, Luc Nembot Ndeffo, Arsene Mouongue Kelly</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Part 1</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takes on the direct, policy-facing question often assumed rather than tested: Does economic complexity translate into larger government health expenditure in sub-Saharan Africa? The premise underlying this contention is fiscal, because if  complexity represents a proxy for productive capabilities, diversification, and higher-value production, then it may also expand the fiscal space for public expenditure and shift public budgets toward longer-horizon investments like health systems.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use ECI as a core explanatory variable and treat it as a structural indicator of productive sophistication, rather than merely a growth outcome or a descriptive ranking. They also position the ECI as a mechanism in the chain of causality that begins with complexity and continues through higher productivity with a more diversified revenue base, stronger domestic resource mobilization, and finally, more public spending capacity. As a robustness check on their findings, the authors also substitute in a technology-based ECI metric constructed from patent-system information to test whether their results are specific to trade-based complexity metrics.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uses data from the period 2010-2022 from 33 sub-Saharan African countries, and use the Observatory of Economic Complexity as its ECI source; health spending data are largely from World Development Indicators. The authors also analyze government health expenditure as a percentage of GDP, as well as such expenditure as a percentage of total government expenditure (to hone in more precisely on budget prioritization), both as dependent variables.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Part 2</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find that economic complexity is positively associated with government health spending. Across baseline specifications, higher ECI is associated with higher health expenditure as a percentage of GDP, and this correlation remains statistically significant even after adding standard controls, such as financial development, trade openness, Internet penetration, and education. This relationship still holds when health expenditure is measured as a percentage of total government expenditure. When health spending is analyzed in this fashion, ECI still loads positively and significantly, which implies that economic complexity is linked not only to larger fiscal capacity, but also a greater prioritization of health expenditure within a country’s budget.</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paper contends that the positive association between complexity and health spending is not solely trade-based; technology complexity behaves similarly. When standard ECI is replaced with technology ECI, a similar positive relationship with government health expenditure is still present, which is consistent with the view that broader technology sophistication corresponds with higher public health investment.</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do acknowledge certain caveats and limitations with their study. Their analysis is macro-panel and can thus wash out country-specific policy and institutional particulars, and the authors explicitly specify that micro-level data or case studies could refine the story of ECI as a mechanism for increased government health expenditure. In addition, the panel is unbalanced due to data gaps, and the paper’s conclusions are founded upon econometric strategies rather than direct policy shocks or quasi-experiments.</w:t>
      </w:r>
    </w:p>
    <w:p w:rsidR="00000000" w:rsidDel="00000000" w:rsidP="00000000" w:rsidRDefault="00000000" w:rsidRPr="00000000" w14:paraId="00000012">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Part 3</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is instrumental for ECI research because it supports the narrative of ECI driving state capacity, which in turn drives public goods (including health systems). It strengthens the claim that ECI can be discussed not only in growth terms, but also as a correlate of budgetary space and social-sector financing. The study’s evidence warrants saying that countries with higher complexity (in sub-Saharan Africa) tend to spend more publicly on health, plausibly because complexity tracks diversification, taxable bases, and economic resilience. Nonetheless, the paper does not automatically justify saying that raising ECI will automatically increase health spending if institutional and fiscal reforms are absent.</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Importantly, the paper also sheds light on the way “comparisons” should be framed. The evidence is specific to sub-Saharan Africa and is thus most defensible for within-region comparisons or as a complement to global results, not as a universal law. In reporting, it suggests a useful comparative lens: countries with similar ECI but different levels of government health expenditure might differ in tax administration, industrial policy, or governance quality. The paper treats such variables as central, rather than decorative.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lab could extend this paper by pairing ECI with “fiscal transmission” indicators in country briefs, such as a tax capacity block (e.g., income tax share, domestic revenue mobilization) or a structural transformation block (industrialization proxies). This pairing would allow ECI to be presented as a part of a chain of causality (capabilities driving revenues, which in turn drive allocation capacity), rather than merely a standalone predictor that purports to account for outcomes in full.</w:t>
      </w: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 2: Economic Complexity Alignment and Sustainable Development</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Authors: Quinten De Wettinck, Karolien De Bruyne, Wouter Bamb, César A. Hidalgo</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Part 1</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asks the question of whether the most feasible paths of diversification under the economic complexity lens (i.e., expansions into “nearby” products in the capability space) might not actually represent the paths that actually advance sustainable development most effectively. The authors ask whether the standard path of diversification into proximate products tends to carry countries toward social and environmental improvements, or whether sustainability actually requires stepping outside this “nearest product-space” region.</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adds a diagnostic to the canonical economic complexity scheme. Similar to traditional economic complexity research, the authors use trade data to construct country-product specialization networks (via revealed comparative advantage), and from there compute the standard ECI and PCI measures. However, the paper takes the extra step of translating “what is near” into “what is near and aligned with sustainability.” For each country, the authors take its top set of most-related, not-yet-exported products, and within that opportunity set, they estimate how product complexity covaries with social and environmental performance. The slope then becomes an "alignment" metric that details whether plausible next steps are ones where the upgrading of complexity tends to coincide with the upgrading of sustainability. The paper relies on CEPI and BACII trade flows for its data, and it extends this dataset with the SPI (Social Progress Index) and EPI (Environmental Performance Index) as sustainability measures. The main sample covers the 2011-2023 period.</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Part 2</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paper’s main findings is that while complexity aligns with sustainability in the aggregate, the environmental relationship is weaker and less linear. At the product level, higher PCI is clearly associated with higher social performance, while the relationship between PCI and environment is positive, yet more attenuated and non-linear. </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paper concludes that the feasible opportunity sets of poorer countries are, on a systematic level, less environmentally aligned. Once the analysis moves from correlations on a global scale to each individual country’s nearest diversification options, the story changes: complexity-social alignment remains relatively stable across income groups, while complexity-environmental alignment diverges sharply by income. More often than for lower-income countries, high and upper-middle income countries face opportunity sets where complexity improvements and environmental performance move together.</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do acknowledge certain limitations and interpretative caveats surrounding their study. The sustainability measures for products are constructed from exporter-country outcomes, and while this makes such measures useful for benchmarking and correlations, the metrics nonetheless are not useful for causal claims about whether exporting a product actually causes improvements in social and environmental performance. Moreover, the relatedness of a product (in the standard ECI/product-space setup) still describes adjacency, rather than the specific missing capabilities that would enable leaps into greener industries. While relatedness provides a ranking of similarity, it leaves out important components of the transition into more environmentally-friendly industries such as which specific inputs are missing, or which compliments are required (e.g., testing labs, electricity reliability).</w:t>
      </w:r>
    </w:p>
    <w:p w:rsidR="00000000" w:rsidDel="00000000" w:rsidP="00000000" w:rsidRDefault="00000000" w:rsidRPr="00000000" w14:paraId="00000028">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Part 3</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accentuates the importance of focusing on the so-called “local gradient” rather than a global correlation. While it reinforces the basic association between complexity and sustainability (especially social outcomes), it narrows what can be responsibly inferred from said association. Regarding development strategy, the decisive question, then, shifts from the traditional “Are complex products associated with better outcomes” to “Within the set of products a country can plausible reach next, what sustainability characteristics are associated with those attainable options?”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paradigm shift has an important implication on country reporting in the economic complexity scheme. It motivates a more careful country reporting lens by rejecting the oversimplistic conclusion that diversification will deliver environmental improvements as a byproduct, and instead contending (more precisely) that while complexity upgrading may be compatible with social progress, environmental gains may require deliberate capability-building, regulation, and investment rather than merely arising passively.</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also reframes “unrelated diversification” as potentially central to sustainability transition efforts. In many complexity discussions, seemingly unrelated jumps are often framed as rare and high-friction growth moves. However, such jumps gain salience for sustainability. When the nearby opportunity set is environmentally misaligned, a green transition may depend on targeted jumps, rather than incremental steps along existing adjacency pathways.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concrete extension that our lab could utilize in reports is the publishing of “opportunity alignment” slopes alongside other metrics, especially in regards to product space.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