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0"/>
          <w:szCs w:val="40"/>
        </w:rPr>
      </w:pPr>
      <w:r w:rsidDel="00000000" w:rsidR="00000000" w:rsidRPr="00000000">
        <w:rPr>
          <w:sz w:val="40"/>
          <w:szCs w:val="40"/>
          <w:rtl w:val="0"/>
        </w:rPr>
        <w:t xml:space="preserve">Optimal Industry Development Strategy for Bangladesh</w:t>
      </w:r>
    </w:p>
    <w:p w:rsidR="00000000" w:rsidDel="00000000" w:rsidP="00000000" w:rsidRDefault="00000000" w:rsidRPr="00000000" w14:paraId="00000002">
      <w:pPr>
        <w:pageBreakBefore w:val="0"/>
        <w:jc w:val="center"/>
        <w:rPr>
          <w:sz w:val="40"/>
          <w:szCs w:val="40"/>
        </w:rPr>
      </w:pPr>
      <w:r w:rsidDel="00000000" w:rsidR="00000000" w:rsidRPr="00000000">
        <w:rPr>
          <w:rtl w:val="0"/>
        </w:rPr>
      </w:r>
    </w:p>
    <w:p w:rsidR="00000000" w:rsidDel="00000000" w:rsidP="00000000" w:rsidRDefault="00000000" w:rsidRPr="00000000" w14:paraId="0000000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In this report, we aim to uncover the economic path Bangladesh went through during the period from 2013 to 2018. Specifically, we dive into the topic through a macroeconomic overview of Bangladesh from the perspective of Gross Domestic Product (GDP) and Economic Complexity Index (ECI), which reflect countries’ production capability and production structure, respectively. We find that during the period of our interest, Bangladesh demonstrated a moderate level of economic growth with an annual GDP growth rate of 3.9%, concurrent with a decrease in economic complexity as compared with other major developed economies. </w:t>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Bangladesh on the industry group level. The product classification system we adopt allows us to measure the realized industry development for various industry groups and to observe that Bangladesh consistently relied on developing Services and Utilities, Weapons and Raw Manufacturing industries during the period, while its developed counterparts and emerging economies around the globe have adopted much more complex and progressive paths. </w:t>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Based on our analysis of the opportunity gain and a sensitivity analysis of major industry groups, Bangladesh can further its gains by prioritizing High-complexity Products and Chemicals. We further note that Bangladesh has a slightly mismatched development strategy that indicates a moderate level of structural optimality on the complexity level, having an adjusted R-square of around 15.7%. Since a significant positive correlation exists between five-year GDP growth and the structural optimality index of an economy as we define and calculate, Bangladesh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0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Bangladesh went through during the period from 2013 to 2018. Specifically, we dive into the topic through a macroeconomic overview of U.S. from the perspective of Gross Domestic Product (GDP) and Economic Complexity Index (ECI), which reflect countries’ production capability and production structure, respectively. We then analyze the industrial framework and changes of Bangladesh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Bangladesh, as deduced from regression models we have established on a global scale, which take into account countries’ stances in their product space.</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1">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2">
      <w:pPr>
        <w:pageBreakBefore w:val="0"/>
        <w:jc w:val="both"/>
        <w:rPr/>
      </w:pPr>
      <w:r w:rsidDel="00000000" w:rsidR="00000000" w:rsidRPr="00000000">
        <w:rPr>
          <w:rtl w:val="0"/>
        </w:rPr>
        <w:t xml:space="preserve">As the largest economy in the world by GDP, Bangladesh has a GDP of 16.8 trillion USD in 2013 and 20 trillion USD in 2018, exhibiting an extraordinary level of economic output. Figure 1 illustrates the time-series GDP results for world’s leading economies from 1999-2018, and Bangladesh ranks among its counterparts as the absolute winner. Except for the period of financial crisis from 2008 to 2009, Bangladesh has exhibited a rather consistent level of economic growth, with an annual GDP growth rate of 4% from 2013 to 2018. This rate is slightly above the annual growth rate of the group of leading economies in the world, which have a geometric average growth rate of 2.2% and an arithmetic average growth rates of 2.4%. However, the annual growth rate of 4% is in sharp contrast to an annual growth rate of 8.2% for China, one of Bangladesh’ major competitors in the market. The steady rate of growth in Bangladesh, we believe, can be reflected through consistent ECI and PCI, and can be further explained by a moderate set of production strategies Bangladesh adopted during the period, which we will expand at the later stage of the report.</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center"/>
        <w:rPr/>
      </w:pPr>
      <w:r w:rsidDel="00000000" w:rsidR="00000000" w:rsidRPr="00000000">
        <w:rPr/>
        <w:drawing>
          <wp:inline distB="114300" distT="114300" distL="114300" distR="114300">
            <wp:extent cx="4968864" cy="2443163"/>
            <wp:effectExtent b="0" l="0" r="0" t="0"/>
            <wp:docPr id="2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968864"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ageBreakBefore w:val="0"/>
        <w:jc w:val="center"/>
        <w:rPr/>
      </w:pPr>
      <w:r w:rsidDel="00000000" w:rsidR="00000000" w:rsidRPr="00000000">
        <w:rPr>
          <w:rtl w:val="0"/>
        </w:rPr>
      </w:r>
    </w:p>
    <w:p w:rsidR="00000000" w:rsidDel="00000000" w:rsidP="00000000" w:rsidRDefault="00000000" w:rsidRPr="00000000" w14:paraId="00000017">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18">
      <w:pPr>
        <w:pageBreakBefore w:val="0"/>
        <w:jc w:val="center"/>
        <w:rPr/>
      </w:pPr>
      <w:r w:rsidDel="00000000" w:rsidR="00000000" w:rsidRPr="00000000">
        <w:rPr>
          <w:rtl w:val="0"/>
        </w:rPr>
      </w:r>
    </w:p>
    <w:p w:rsidR="00000000" w:rsidDel="00000000" w:rsidP="00000000" w:rsidRDefault="00000000" w:rsidRPr="00000000" w14:paraId="00000019">
      <w:pPr>
        <w:pageBreakBefore w:val="0"/>
        <w:jc w:val="center"/>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1B">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Bangladesh. As illustrated in Figure 2 below, Bangladesh exhibits a mild decrease in terms of its production capability from 2013 to 2018, which is true for most of the developed economies. This is in direct contrast to countries such as China, which demonstrates overwhelming advantage over Bangladesh in terms of both ECI and GDP growth during the period. </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t xml:space="preserve">     </w:t>
      </w:r>
      <w:r w:rsidDel="00000000" w:rsidR="00000000" w:rsidRPr="00000000">
        <w:rPr/>
        <w:drawing>
          <wp:inline distB="114300" distT="114300" distL="114300" distR="114300">
            <wp:extent cx="2666236" cy="1576388"/>
            <wp:effectExtent b="0" l="0" r="0" t="0"/>
            <wp:docPr id="2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666236" cy="1576388"/>
                    </a:xfrm>
                    <a:prstGeom prst="rect"/>
                    <a:ln/>
                  </pic:spPr>
                </pic:pic>
              </a:graphicData>
            </a:graphic>
          </wp:inline>
        </w:drawing>
      </w:r>
      <w:r w:rsidDel="00000000" w:rsidR="00000000" w:rsidRPr="00000000">
        <w:rPr/>
        <w:drawing>
          <wp:inline distB="114300" distT="114300" distL="114300" distR="114300">
            <wp:extent cx="2772510" cy="1766888"/>
            <wp:effectExtent b="0" l="0" r="0" t="0"/>
            <wp:docPr id="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772510"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       Figure 2: ECI Comparison                            Figure 3: GDP Growth and ECI (U.S.)</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drawing>
          <wp:inline distB="114300" distT="114300" distL="114300" distR="114300">
            <wp:extent cx="5148263" cy="3290642"/>
            <wp:effectExtent b="0" l="0" r="0" t="0"/>
            <wp:docPr id="1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148263" cy="329064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t xml:space="preserve">Figure 3 offers a further comparison of GDP Growth and ECI over the time span from 2013 to 2018 for U.S.. The stagnancy in GDP growth during the period from 2013 to 2018 is accompanied by a significant decrease in ECI. The results show that the economic growth experienced by the U.S. during the period from 2013 to 2018, though stable, is not very consistent with the predictions by ECI and the U.S. had not yet effectively developed a competitive product space that helps to accumulate complicated knowledge and technology. In order to provide a more concrete answer to why this has happened, we will dive into an analysis of U.S. 's production structure and its product space designs in the next few chapters. </w:t>
      </w:r>
    </w:p>
    <w:p w:rsidR="00000000" w:rsidDel="00000000" w:rsidP="00000000" w:rsidRDefault="00000000" w:rsidRPr="00000000" w14:paraId="00000024">
      <w:pPr>
        <w:pageBreakBefore w:val="0"/>
        <w:jc w:val="both"/>
        <w:rPr>
          <w:b w:val="1"/>
          <w:bCs w:val="1"/>
        </w:rPr>
      </w:pPr>
      <w:r w:rsidDel="00000000" w:rsidR="00000000" w:rsidRPr="00000000">
        <w:rPr>
          <w:rtl w:val="0"/>
        </w:rPr>
      </w:r>
    </w:p>
    <w:p w:rsidR="00000000" w:rsidDel="00000000" w:rsidP="00000000" w:rsidRDefault="00000000" w:rsidRPr="00000000" w14:paraId="0000002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2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2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2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3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8">
            <w:pPr>
              <w:pageBreakBefore w:val="0"/>
              <w:jc w:val="center"/>
              <w:rPr/>
            </w:pPr>
            <w:r w:rsidDel="00000000" w:rsidR="00000000" w:rsidRPr="00000000">
              <w:rPr>
                <w:rtl w:val="0"/>
              </w:rPr>
            </w:r>
          </w:p>
        </w:tc>
        <w:tc>
          <w:tcPr/>
          <w:p w:rsidR="00000000" w:rsidDel="00000000" w:rsidP="00000000" w:rsidRDefault="00000000" w:rsidRPr="00000000" w14:paraId="0000005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5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C">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5D">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5E">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5F">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1">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2">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107</w:t>
            </w:r>
          </w:p>
        </w:tc>
      </w:tr>
    </w:tbl>
    <w:p w:rsidR="00000000" w:rsidDel="00000000" w:rsidP="00000000" w:rsidRDefault="00000000" w:rsidRPr="00000000" w14:paraId="00000068">
      <w:pPr>
        <w:pageBreakBefore w:val="0"/>
        <w:jc w:val="center"/>
        <w:rPr/>
      </w:pPr>
      <w:r w:rsidDel="00000000" w:rsidR="00000000" w:rsidRPr="00000000">
        <w:rPr>
          <w:rtl w:val="0"/>
        </w:rPr>
      </w:r>
    </w:p>
    <w:p w:rsidR="00000000" w:rsidDel="00000000" w:rsidP="00000000" w:rsidRDefault="00000000" w:rsidRPr="00000000" w14:paraId="00000069">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C">
            <w:pPr>
              <w:pageBreakBefore w:val="0"/>
              <w:jc w:val="center"/>
              <w:rPr/>
            </w:pPr>
            <w:r w:rsidDel="00000000" w:rsidR="00000000" w:rsidRPr="00000000">
              <w:rPr>
                <w:rtl w:val="0"/>
              </w:rPr>
            </w:r>
          </w:p>
        </w:tc>
        <w:tc>
          <w:tcPr/>
          <w:p w:rsidR="00000000" w:rsidDel="00000000" w:rsidP="00000000" w:rsidRDefault="00000000" w:rsidRPr="00000000" w14:paraId="0000006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5">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6">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21</w:t>
            </w:r>
          </w:p>
        </w:tc>
      </w:tr>
    </w:tbl>
    <w:p w:rsidR="00000000" w:rsidDel="00000000" w:rsidP="00000000" w:rsidRDefault="00000000" w:rsidRPr="00000000" w14:paraId="0000007C">
      <w:pPr>
        <w:pageBreakBefore w:val="0"/>
        <w:jc w:val="center"/>
        <w:rPr/>
      </w:pPr>
      <w:r w:rsidDel="00000000" w:rsidR="00000000" w:rsidRPr="00000000">
        <w:rPr>
          <w:rtl w:val="0"/>
        </w:rPr>
      </w:r>
    </w:p>
    <w:p w:rsidR="00000000" w:rsidDel="00000000" w:rsidP="00000000" w:rsidRDefault="00000000" w:rsidRPr="00000000" w14:paraId="0000007D">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7E">
      <w:pPr>
        <w:pageBreakBefore w:val="0"/>
        <w:jc w:val="center"/>
        <w:rPr>
          <w:sz w:val="20"/>
          <w:szCs w:val="20"/>
        </w:rPr>
      </w:pPr>
      <w:r w:rsidDel="00000000" w:rsidR="00000000" w:rsidRPr="00000000">
        <w:rPr>
          <w:rtl w:val="0"/>
        </w:rPr>
      </w:r>
    </w:p>
    <w:p w:rsidR="00000000" w:rsidDel="00000000" w:rsidP="00000000" w:rsidRDefault="00000000" w:rsidRPr="00000000" w14:paraId="0000007F">
      <w:pPr>
        <w:pageBreakBefore w:val="0"/>
        <w:jc w:val="center"/>
        <w:rPr/>
      </w:pPr>
      <w:r w:rsidDel="00000000" w:rsidR="00000000" w:rsidRPr="00000000">
        <w:rPr>
          <w:rtl w:val="0"/>
        </w:rPr>
      </w:r>
    </w:p>
    <w:p w:rsidR="00000000" w:rsidDel="00000000" w:rsidP="00000000" w:rsidRDefault="00000000" w:rsidRPr="00000000" w14:paraId="00000080">
      <w:pPr>
        <w:pageBreakBefore w:val="0"/>
        <w:jc w:val="both"/>
        <w:rPr>
          <w:b w:val="1"/>
          <w:bCs w:val="1"/>
        </w:rPr>
      </w:pPr>
      <w:r w:rsidDel="00000000" w:rsidR="00000000" w:rsidRPr="00000000">
        <w:rPr>
          <w:rtl w:val="0"/>
        </w:rPr>
      </w:r>
    </w:p>
    <w:p w:rsidR="00000000" w:rsidDel="00000000" w:rsidP="00000000" w:rsidRDefault="00000000" w:rsidRPr="00000000" w14:paraId="00000081">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2">
      <w:pPr>
        <w:pageBreakBefore w:val="0"/>
        <w:jc w:val="both"/>
        <w:rPr/>
      </w:pPr>
      <w:r w:rsidDel="00000000" w:rsidR="00000000" w:rsidRPr="00000000">
        <w:rPr>
          <w:rtl w:val="0"/>
        </w:rPr>
        <w:t xml:space="preserve">Based on the product categorization aforementioned, we aim to capture US’s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As ranked in Table 2, during the period from 2013 to 2018, US has focused on products with a moderate level of complexity and those requiring intermediate skills. </w:t>
      </w:r>
    </w:p>
    <w:p w:rsidR="00000000" w:rsidDel="00000000" w:rsidP="00000000" w:rsidRDefault="00000000" w:rsidRPr="00000000" w14:paraId="00000083">
      <w:pPr>
        <w:pageBreakBefore w:val="0"/>
        <w:jc w:val="both"/>
        <w:rPr/>
      </w:pPr>
      <w:r w:rsidDel="00000000" w:rsidR="00000000" w:rsidRPr="00000000">
        <w:rPr>
          <w:rtl w:val="0"/>
        </w:rPr>
      </w:r>
    </w:p>
    <w:p w:rsidR="00000000" w:rsidDel="00000000" w:rsidP="00000000" w:rsidRDefault="00000000" w:rsidRPr="00000000" w14:paraId="00000084">
      <w:pPr>
        <w:pageBreakBefore w:val="0"/>
        <w:jc w:val="both"/>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drawing>
          <wp:inline distB="114300" distT="114300" distL="114300" distR="114300">
            <wp:extent cx="5238750" cy="2543175"/>
            <wp:effectExtent b="0" l="0" r="0" t="0"/>
            <wp:docPr id="2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2387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Table 2: Realized Industry Development (RID) of US</w:t>
      </w:r>
    </w:p>
    <w:p w:rsidR="00000000" w:rsidDel="00000000" w:rsidP="00000000" w:rsidRDefault="00000000" w:rsidRPr="00000000" w14:paraId="00000087">
      <w:pPr>
        <w:pageBreakBefore w:val="0"/>
        <w:jc w:val="both"/>
        <w:rPr>
          <w:b w:val="1"/>
          <w:bCs w:val="1"/>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9">
      <w:pPr>
        <w:pageBreakBefore w:val="0"/>
        <w:jc w:val="both"/>
        <w:rPr/>
      </w:pPr>
      <w:r w:rsidDel="00000000" w:rsidR="00000000" w:rsidRPr="00000000">
        <w:rPr>
          <w:rtl w:val="0"/>
        </w:rPr>
        <w:t xml:space="preserve">Table 3 and 4 below summarize how the production strategy adopted by US compares with leading economies and a selected group of emerging economies in the world, as measured in RID. It can be directly observed that US focused on products with a lower complexity level, when compared against leading economies such as Bangladesh and Germany, which gave a considerable level of attention to more advanced product groups such as clothing, services and utilities, and chemical manufacturing.</w:t>
      </w:r>
    </w:p>
    <w:p w:rsidR="00000000" w:rsidDel="00000000" w:rsidP="00000000" w:rsidRDefault="00000000" w:rsidRPr="00000000" w14:paraId="0000008A">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B">
            <w:pPr>
              <w:pageBreakBefore w:val="0"/>
              <w:jc w:val="both"/>
              <w:rPr/>
            </w:pPr>
            <w:r w:rsidDel="00000000" w:rsidR="00000000" w:rsidRPr="00000000">
              <w:rPr>
                <w:rtl w:val="0"/>
              </w:rPr>
              <w:t xml:space="preserve">Ranking</w:t>
            </w:r>
          </w:p>
        </w:tc>
        <w:tc>
          <w:tcPr/>
          <w:p w:rsidR="00000000" w:rsidDel="00000000" w:rsidP="00000000" w:rsidRDefault="00000000" w:rsidRPr="00000000" w14:paraId="0000008C">
            <w:pPr>
              <w:pageBreakBefore w:val="0"/>
              <w:jc w:val="both"/>
              <w:rPr/>
            </w:pPr>
            <w:r w:rsidDel="00000000" w:rsidR="00000000" w:rsidRPr="00000000">
              <w:rPr>
                <w:rtl w:val="0"/>
              </w:rPr>
              <w:t xml:space="preserve">France</w:t>
            </w:r>
          </w:p>
        </w:tc>
        <w:tc>
          <w:tcPr/>
          <w:p w:rsidR="00000000" w:rsidDel="00000000" w:rsidP="00000000" w:rsidRDefault="00000000" w:rsidRPr="00000000" w14:paraId="0000008D">
            <w:pPr>
              <w:pageBreakBefore w:val="0"/>
              <w:jc w:val="both"/>
              <w:rPr/>
            </w:pPr>
            <w:r w:rsidDel="00000000" w:rsidR="00000000" w:rsidRPr="00000000">
              <w:rPr>
                <w:rtl w:val="0"/>
              </w:rPr>
              <w:t xml:space="preserve">Bangladesh</w:t>
            </w:r>
          </w:p>
        </w:tc>
        <w:tc>
          <w:tcPr/>
          <w:p w:rsidR="00000000" w:rsidDel="00000000" w:rsidP="00000000" w:rsidRDefault="00000000" w:rsidRPr="00000000" w14:paraId="0000008E">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8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1">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2">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3">
      <w:pPr>
        <w:pageBreakBefore w:val="0"/>
        <w:jc w:val="center"/>
        <w:rPr/>
      </w:pPr>
      <w:r w:rsidDel="00000000" w:rsidR="00000000" w:rsidRPr="00000000">
        <w:rPr>
          <w:rtl w:val="0"/>
        </w:rPr>
      </w:r>
    </w:p>
    <w:p w:rsidR="00000000" w:rsidDel="00000000" w:rsidP="00000000" w:rsidRDefault="00000000" w:rsidRPr="00000000" w14:paraId="000000A4">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7">
            <w:pPr>
              <w:pageBreakBefore w:val="0"/>
              <w:jc w:val="both"/>
              <w:rPr/>
            </w:pPr>
            <w:r w:rsidDel="00000000" w:rsidR="00000000" w:rsidRPr="00000000">
              <w:rPr>
                <w:rtl w:val="0"/>
              </w:rPr>
              <w:t xml:space="preserve">Ranking</w:t>
            </w:r>
          </w:p>
        </w:tc>
        <w:tc>
          <w:tcPr/>
          <w:p w:rsidR="00000000" w:rsidDel="00000000" w:rsidP="00000000" w:rsidRDefault="00000000" w:rsidRPr="00000000" w14:paraId="000000A8">
            <w:pPr>
              <w:pageBreakBefore w:val="0"/>
              <w:jc w:val="both"/>
              <w:rPr/>
            </w:pPr>
            <w:r w:rsidDel="00000000" w:rsidR="00000000" w:rsidRPr="00000000">
              <w:rPr>
                <w:rtl w:val="0"/>
              </w:rPr>
              <w:t xml:space="preserve">China</w:t>
            </w:r>
          </w:p>
        </w:tc>
        <w:tc>
          <w:tcPr/>
          <w:p w:rsidR="00000000" w:rsidDel="00000000" w:rsidP="00000000" w:rsidRDefault="00000000" w:rsidRPr="00000000" w14:paraId="000000A9">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A">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B">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AD">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A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1">
      <w:pPr>
        <w:pageBreakBefore w:val="0"/>
        <w:jc w:val="both"/>
        <w:rPr/>
      </w:pPr>
      <w:r w:rsidDel="00000000" w:rsidR="00000000" w:rsidRPr="00000000">
        <w:rPr>
          <w:rtl w:val="0"/>
        </w:rPr>
      </w:r>
    </w:p>
    <w:p w:rsidR="00000000" w:rsidDel="00000000" w:rsidP="00000000" w:rsidRDefault="00000000" w:rsidRPr="00000000" w14:paraId="000000C2">
      <w:pPr>
        <w:pageBreakBefore w:val="0"/>
        <w:jc w:val="both"/>
        <w:rPr>
          <w:rFonts w:ascii="Times" w:cs="Times" w:eastAsia="Times" w:hAnsi="Times"/>
          <w:b w:val="1"/>
          <w:bCs w:val="1"/>
          <w:sz w:val="28"/>
          <w:szCs w:val="28"/>
        </w:rPr>
      </w:pPr>
      <w:r w:rsidDel="00000000" w:rsidR="00000000" w:rsidRPr="00000000">
        <w:rPr>
          <w:rtl w:val="0"/>
        </w:rPr>
        <w:t xml:space="preserve">Table 4 further examines US’s development strategy against those of emerging economies on a global scale. Reasonably, emerging economies such as China, South Korea, Singapore and India have devoted the majority of their efforts into intermediate industry groups while developed economies such as US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US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rtl w:val="0"/>
        </w:rPr>
      </w:r>
    </w:p>
    <w:p w:rsidR="00000000" w:rsidDel="00000000" w:rsidP="00000000" w:rsidRDefault="00000000" w:rsidRPr="00000000" w14:paraId="000000C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8">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C9">
      <w:pPr>
        <w:pageBreakBefore w:val="0"/>
        <w:jc w:val="left"/>
        <w:rPr/>
      </w:pPr>
      <w:r w:rsidDel="00000000" w:rsidR="00000000" w:rsidRPr="00000000">
        <w:rPr>
          <w:rtl w:val="0"/>
        </w:rPr>
        <w:t xml:space="preserve">  </w:t>
      </w:r>
      <w:r w:rsidDel="00000000" w:rsidR="00000000" w:rsidRPr="00000000">
        <w:rPr/>
        <w:drawing>
          <wp:inline distB="114300" distT="114300" distL="114300" distR="114300">
            <wp:extent cx="5731200" cy="3009900"/>
            <wp:effectExtent b="0" l="0" r="0" t="0"/>
            <wp:docPr id="2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jc w:val="center"/>
        <w:rPr/>
      </w:pPr>
      <w:r w:rsidDel="00000000" w:rsidR="00000000" w:rsidRPr="00000000">
        <w:rPr>
          <w:rtl w:val="0"/>
        </w:rPr>
      </w:r>
    </w:p>
    <w:p w:rsidR="00000000" w:rsidDel="00000000" w:rsidP="00000000" w:rsidRDefault="00000000" w:rsidRPr="00000000" w14:paraId="000000CB">
      <w:pPr>
        <w:pageBreakBefore w:val="0"/>
        <w:jc w:val="center"/>
        <w:rPr/>
      </w:pPr>
      <w:r w:rsidDel="00000000" w:rsidR="00000000" w:rsidRPr="00000000">
        <w:rPr>
          <w:rtl w:val="0"/>
        </w:rPr>
        <w:t xml:space="preserve">Table 5: Opportunity Gain Ranking on a Comparable Scale for 2013</w:t>
      </w:r>
      <w:r w:rsidDel="00000000" w:rsidR="00000000" w:rsidRPr="00000000">
        <w:rPr>
          <w:rtl w:val="0"/>
        </w:rPr>
      </w:r>
    </w:p>
    <w:p w:rsidR="00000000" w:rsidDel="00000000" w:rsidP="00000000" w:rsidRDefault="00000000" w:rsidRPr="00000000" w14:paraId="000000CC">
      <w:pPr>
        <w:pageBreakBefore w:val="0"/>
        <w:jc w:val="center"/>
        <w:rPr/>
      </w:pPr>
      <w:r w:rsidDel="00000000" w:rsidR="00000000" w:rsidRPr="00000000">
        <w:rPr>
          <w:rtl w:val="0"/>
        </w:rPr>
      </w:r>
    </w:p>
    <w:p w:rsidR="00000000" w:rsidDel="00000000" w:rsidP="00000000" w:rsidRDefault="00000000" w:rsidRPr="00000000" w14:paraId="000000CD">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Bangladesh shares the characters of developing countries, with a balanced economics structure that leans towards intermediate-level industries. </w:t>
      </w:r>
    </w:p>
    <w:p w:rsidR="00000000" w:rsidDel="00000000" w:rsidP="00000000" w:rsidRDefault="00000000" w:rsidRPr="00000000" w14:paraId="000000CE">
      <w:pPr>
        <w:pageBreakBefore w:val="0"/>
        <w:jc w:val="both"/>
        <w:rPr/>
      </w:pPr>
      <w:r w:rsidDel="00000000" w:rsidR="00000000" w:rsidRPr="00000000">
        <w:rPr>
          <w:rtl w:val="0"/>
        </w:rPr>
      </w:r>
    </w:p>
    <w:p w:rsidR="00000000" w:rsidDel="00000000" w:rsidP="00000000" w:rsidRDefault="00000000" w:rsidRPr="00000000" w14:paraId="000000CF">
      <w:pPr>
        <w:pageBreakBefore w:val="0"/>
        <w:jc w:val="both"/>
        <w:rPr/>
      </w:pPr>
      <w:r w:rsidDel="00000000" w:rsidR="00000000" w:rsidRPr="00000000">
        <w:rPr/>
        <w:drawing>
          <wp:inline distB="114300" distT="114300" distL="114300" distR="114300">
            <wp:extent cx="5734050" cy="22733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2">
      <w:pPr>
        <w:pageBreakBefore w:val="0"/>
        <w:jc w:val="center"/>
        <w:rPr/>
      </w:pPr>
      <w:r w:rsidDel="00000000" w:rsidR="00000000" w:rsidRPr="00000000">
        <w:rPr>
          <w:rtl w:val="0"/>
        </w:rPr>
      </w:r>
    </w:p>
    <w:p w:rsidR="00000000" w:rsidDel="00000000" w:rsidP="00000000" w:rsidRDefault="00000000" w:rsidRPr="00000000" w14:paraId="000000D3">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drawing>
          <wp:inline distB="114300" distT="114300" distL="114300" distR="114300">
            <wp:extent cx="2528888" cy="1141284"/>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A">
      <w:pPr>
        <w:pageBreakBefore w:val="0"/>
        <w:jc w:val="both"/>
        <w:rPr/>
      </w:pPr>
      <w:r w:rsidDel="00000000" w:rsidR="00000000" w:rsidRPr="00000000">
        <w:rPr>
          <w:rtl w:val="0"/>
        </w:rPr>
        <w:t xml:space="preserve"> </w:t>
      </w:r>
    </w:p>
    <w:p w:rsidR="00000000" w:rsidDel="00000000" w:rsidP="00000000" w:rsidRDefault="00000000" w:rsidRPr="00000000" w14:paraId="000000DB">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DC">
      <w:pPr>
        <w:pageBreakBefore w:val="0"/>
        <w:jc w:val="both"/>
        <w:rPr/>
      </w:pPr>
      <w:r w:rsidDel="00000000" w:rsidR="00000000" w:rsidRPr="00000000">
        <w:rPr>
          <w:rtl w:val="0"/>
        </w:rPr>
        <w:t xml:space="preserve"> </w:t>
      </w:r>
    </w:p>
    <w:p w:rsidR="00000000" w:rsidDel="00000000" w:rsidP="00000000" w:rsidRDefault="00000000" w:rsidRPr="00000000" w14:paraId="000000DD">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138363" cy="71863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3">
      <w:pPr>
        <w:pageBreakBefore w:val="0"/>
        <w:rPr/>
      </w:pPr>
      <w:r w:rsidDel="00000000" w:rsidR="00000000" w:rsidRPr="00000000">
        <w:rPr>
          <w:rtl w:val="0"/>
        </w:rPr>
        <w:t xml:space="preserve"> </w:t>
      </w:r>
    </w:p>
    <w:p w:rsidR="00000000" w:rsidDel="00000000" w:rsidP="00000000" w:rsidRDefault="00000000" w:rsidRPr="00000000" w14:paraId="000000E4">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5">
      <w:pPr>
        <w:pageBreakBefore w:val="0"/>
        <w:rPr>
          <w:b w:val="1"/>
          <w:bCs w:val="1"/>
        </w:rPr>
      </w:pPr>
      <w:r w:rsidDel="00000000" w:rsidR="00000000" w:rsidRPr="00000000">
        <w:rPr>
          <w:rtl w:val="0"/>
        </w:rPr>
      </w:r>
    </w:p>
    <w:p w:rsidR="00000000" w:rsidDel="00000000" w:rsidP="00000000" w:rsidRDefault="00000000" w:rsidRPr="00000000" w14:paraId="000000E6">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7">
      <w:pPr>
        <w:pageBreakBefore w:val="0"/>
        <w:jc w:val="both"/>
        <w:rPr>
          <w:b w:val="1"/>
          <w:bCs w:val="1"/>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9">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0">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1">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2">
      <w:pPr>
        <w:pageBreakBefore w:val="0"/>
        <w:jc w:val="center"/>
        <w:rPr/>
      </w:pPr>
      <w:r w:rsidDel="00000000" w:rsidR="00000000" w:rsidRPr="00000000">
        <w:rPr>
          <w:rtl w:val="0"/>
        </w:rPr>
      </w:r>
    </w:p>
    <w:p w:rsidR="00000000" w:rsidDel="00000000" w:rsidP="00000000" w:rsidRDefault="00000000" w:rsidRPr="00000000" w14:paraId="00000113">
      <w:pPr>
        <w:pageBreakBefore w:val="0"/>
        <w:ind w:right="-720"/>
        <w:jc w:val="both"/>
        <w:rPr/>
      </w:pPr>
      <w:r w:rsidDel="00000000" w:rsidR="00000000" w:rsidRPr="00000000">
        <w:rPr>
          <w:rtl w:val="0"/>
        </w:rPr>
        <w:t xml:space="preserve">Below is the economic panel for Bangladesh in 2013. We can see that for different percentages of heuristic total export growth, the ECIs of Bangladesh actually have different amounts of increments. Overall, 5 percent export growth results in an ECI improvement pattern starting from around -0.09 and ends at around 0.40. As the budget is increased to 10 or 15 percent export growth, the ECI of Bangladesh can achieve a slightly higher level, which is around 0.56. With much more growth budget, like 20 percent growth, Bangladesh is able to achieve an even much higher stage, which is around 0.90. </w:t>
      </w:r>
    </w:p>
    <w:p w:rsidR="00000000" w:rsidDel="00000000" w:rsidP="00000000" w:rsidRDefault="00000000" w:rsidRPr="00000000" w14:paraId="00000114">
      <w:pPr>
        <w:pageBreakBefore w:val="0"/>
        <w:ind w:right="-720"/>
        <w:jc w:val="both"/>
        <w:rPr/>
      </w:pPr>
      <w:r w:rsidDel="00000000" w:rsidR="00000000" w:rsidRPr="00000000">
        <w:rPr>
          <w:rtl w:val="0"/>
        </w:rPr>
        <w:t xml:space="preserve"> </w:t>
      </w:r>
    </w:p>
    <w:p w:rsidR="00000000" w:rsidDel="00000000" w:rsidP="00000000" w:rsidRDefault="00000000" w:rsidRPr="00000000" w14:paraId="00000115">
      <w:pPr>
        <w:pageBreakBefore w:val="0"/>
        <w:spacing w:after="240" w:lineRule="auto"/>
        <w:ind w:right="-720"/>
        <w:jc w:val="both"/>
        <w:rPr/>
      </w:pPr>
      <w:r w:rsidDel="00000000" w:rsidR="00000000" w:rsidRPr="00000000">
        <w:rPr>
          <w:rtl w:val="0"/>
        </w:rPr>
        <w:t xml:space="preserve">For the case of 5 percent export growth, the portfolio is mostly made up of services and utilities, and raw manufacturing. For 10 and 15 percent growth, even though the ECI improvement trajectories are not so different, the main components in the portfolio are quite distinguishable. In details, for 10 percent export growth, chemical manufacturing, services and utilities, and raw manufacturing are the main components, while for 15 percent, chemical manufacturing, vegetables, fruits, and plants, as well as services and utilities are the main ones. When the budget increases up to 20 percent, the portfolio becomes pretty comprehensive, where daily instruments is also added as an essential industry for development. In addition to the products mentioned before, other products including machinery and construction, and high-complexity products are also taken into account. In these four ECI improvement trajectories, we also notice that the largest improvement comes from raw manufacturing and services and utilities, suggesting that with a low economic improvement anticipation, Bangladesh should focus more on developing these products. A more detailed numerical representation of the portfolio is shown in Table 8.</w:t>
      </w:r>
    </w:p>
    <w:p w:rsidR="00000000" w:rsidDel="00000000" w:rsidP="00000000" w:rsidRDefault="00000000" w:rsidRPr="00000000" w14:paraId="00000116">
      <w:pPr>
        <w:pageBreakBefore w:val="0"/>
        <w:spacing w:after="240" w:lineRule="auto"/>
        <w:ind w:right="-720"/>
        <w:jc w:val="both"/>
        <w:rPr/>
      </w:pPr>
      <w:r w:rsidDel="00000000" w:rsidR="00000000" w:rsidRPr="00000000">
        <w:rPr/>
        <w:drawing>
          <wp:inline distB="114300" distT="114300" distL="114300" distR="114300">
            <wp:extent cx="5731200" cy="1892300"/>
            <wp:effectExtent b="0" l="0" r="0" t="0"/>
            <wp:docPr id="1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572125" cy="1733550"/>
            <wp:effectExtent b="0" l="0" r="0" t="0"/>
            <wp:docPr id="24" name="image19.png"/>
            <a:graphic>
              <a:graphicData uri="http://schemas.openxmlformats.org/drawingml/2006/picture">
                <pic:pic>
                  <pic:nvPicPr>
                    <pic:cNvPr id="0" name="image19.png"/>
                    <pic:cNvPicPr preferRelativeResize="0"/>
                  </pic:nvPicPr>
                  <pic:blipFill>
                    <a:blip r:embed="rId15"/>
                    <a:srcRect b="8543" l="2824" r="0" t="0"/>
                    <a:stretch>
                      <a:fillRect/>
                    </a:stretch>
                  </pic:blipFill>
                  <pic:spPr>
                    <a:xfrm>
                      <a:off x="0" y="0"/>
                      <a:ext cx="55721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jc w:val="center"/>
        <w:rPr/>
      </w:pPr>
      <w:r w:rsidDel="00000000" w:rsidR="00000000" w:rsidRPr="00000000">
        <w:rPr>
          <w:rtl w:val="0"/>
        </w:rPr>
        <w:t xml:space="preserve">Figure 5: Greedy Based ECI Improvement Results of Bangladesh in 2013 with Different Budgets</w:t>
      </w:r>
    </w:p>
    <w:p w:rsidR="00000000" w:rsidDel="00000000" w:rsidP="00000000" w:rsidRDefault="00000000" w:rsidRPr="00000000" w14:paraId="00000118">
      <w:pPr>
        <w:pageBreakBefore w:val="0"/>
        <w:jc w:val="center"/>
        <w:rPr/>
      </w:pP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drawing>
          <wp:inline distB="114300" distT="114300" distL="114300" distR="114300">
            <wp:extent cx="5731200" cy="1536700"/>
            <wp:effectExtent b="0" l="0" r="0" t="0"/>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center"/>
        <w:rPr/>
      </w:pPr>
      <w:r w:rsidDel="00000000" w:rsidR="00000000" w:rsidRPr="00000000">
        <w:rPr>
          <w:rtl w:val="0"/>
        </w:rPr>
        <w:t xml:space="preserve">Table 8: Portfolio of Bangladesh in 2013</w:t>
      </w:r>
    </w:p>
    <w:p w:rsidR="00000000" w:rsidDel="00000000" w:rsidP="00000000" w:rsidRDefault="00000000" w:rsidRPr="00000000" w14:paraId="0000011C">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1D">
      <w:pPr>
        <w:pageBreakBefore w:val="0"/>
        <w:spacing w:after="240" w:before="240" w:line="276" w:lineRule="auto"/>
        <w:rPr/>
      </w:pPr>
      <w:r w:rsidDel="00000000" w:rsidR="00000000" w:rsidRPr="00000000">
        <w:rPr>
          <w:rtl w:val="0"/>
        </w:rPr>
        <w:t xml:space="preserve">In the following section our broad aim is to understand how sensitive Bangladesh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1E">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1F">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20">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21">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6.jpg"/>
            <a:graphic>
              <a:graphicData uri="http://schemas.openxmlformats.org/drawingml/2006/picture">
                <pic:pic>
                  <pic:nvPicPr>
                    <pic:cNvPr id="0" name="image6.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23">
      <w:pPr>
        <w:pageBreakBefore w:val="0"/>
        <w:jc w:val="both"/>
        <w:rPr>
          <w:b w:val="1"/>
          <w:bCs w:val="1"/>
        </w:rPr>
      </w:pPr>
      <w:r w:rsidDel="00000000" w:rsidR="00000000" w:rsidRPr="00000000">
        <w:rPr>
          <w:rtl w:val="0"/>
        </w:rPr>
      </w:r>
    </w:p>
    <w:p w:rsidR="00000000" w:rsidDel="00000000" w:rsidP="00000000" w:rsidRDefault="00000000" w:rsidRPr="00000000" w14:paraId="0000012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2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2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27">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28">
      <w:pPr>
        <w:pageBreakBefore w:val="0"/>
        <w:spacing w:line="276" w:lineRule="auto"/>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drawing>
          <wp:inline distB="114300" distT="114300" distL="114300" distR="114300">
            <wp:extent cx="5734050" cy="1739900"/>
            <wp:effectExtent b="0" l="0" r="0" t="0"/>
            <wp:docPr id="8"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2B">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2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2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2E">
      <w:pPr>
        <w:pageBreakBefore w:val="0"/>
        <w:spacing w:line="276" w:lineRule="auto"/>
        <w:rPr/>
      </w:pPr>
      <w:r w:rsidDel="00000000" w:rsidR="00000000" w:rsidRPr="00000000">
        <w:rPr>
          <w:rtl w:val="0"/>
        </w:rPr>
      </w:r>
    </w:p>
    <w:p w:rsidR="00000000" w:rsidDel="00000000" w:rsidP="00000000" w:rsidRDefault="00000000" w:rsidRPr="00000000" w14:paraId="0000012F">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3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t xml:space="preserve">Below is USA’s 2018 ECI Sensitivity Charts. Firstly in the positive chart, we notice immediately that increases in High Complexity Product, Transportation, and Machinery lead to linear uptrend of ECI.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37">
      <w:pPr>
        <w:pageBreakBefore w:val="0"/>
        <w:jc w:val="both"/>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Next we consider USA’s 2018 Negative Shock chart. We see that the US is highly sensitive to changes in export level in most of its industries. This is characteristic of a highly developed nation that has large export numbers in various industries. Interestingly, Energy and Drilling seems to improve the ECI level when exports are decreased. The US is most sensitive to drawdowns in Machinery which can push the ECI into the negative territory.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jc w:val="both"/>
        <w:rPr>
          <w:b w:val="1"/>
          <w:bCs w:val="1"/>
        </w:rPr>
      </w:pPr>
      <w:r w:rsidDel="00000000" w:rsidR="00000000" w:rsidRPr="00000000">
        <w:rPr>
          <w:b w:val="1"/>
          <w:bCs w:val="1"/>
        </w:rPr>
        <w:drawing>
          <wp:inline distB="114300" distT="114300" distL="114300" distR="114300">
            <wp:extent cx="5538788" cy="2533650"/>
            <wp:effectExtent b="0" l="0" r="0" t="0"/>
            <wp:docPr id="16"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538788"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jc w:val="center"/>
        <w:rPr>
          <w:b w:val="1"/>
          <w:bCs w:val="1"/>
        </w:rPr>
      </w:pPr>
      <w:r w:rsidDel="00000000" w:rsidR="00000000" w:rsidRPr="00000000">
        <w:rPr>
          <w:rtl w:val="0"/>
        </w:rPr>
        <w:t xml:space="preserve">USA, Puerto Rico and US Virgin Islands 2018 (Incremental ECI Sensitivity)</w:t>
      </w:r>
      <w:r w:rsidDel="00000000" w:rsidR="00000000" w:rsidRPr="00000000">
        <w:rPr>
          <w:rtl w:val="0"/>
        </w:rPr>
      </w:r>
    </w:p>
    <w:p w:rsidR="00000000" w:rsidDel="00000000" w:rsidP="00000000" w:rsidRDefault="00000000" w:rsidRPr="00000000" w14:paraId="0000013C">
      <w:pPr>
        <w:pageBreakBefore w:val="0"/>
        <w:jc w:val="both"/>
        <w:rPr>
          <w:b w:val="1"/>
          <w:bCs w:val="1"/>
        </w:rPr>
      </w:pPr>
      <w:r w:rsidDel="00000000" w:rsidR="00000000" w:rsidRPr="00000000">
        <w:rPr>
          <w:rtl w:val="0"/>
        </w:rPr>
      </w:r>
    </w:p>
    <w:p w:rsidR="00000000" w:rsidDel="00000000" w:rsidP="00000000" w:rsidRDefault="00000000" w:rsidRPr="00000000" w14:paraId="0000013D">
      <w:pPr>
        <w:pageBreakBefore w:val="0"/>
        <w:jc w:val="both"/>
        <w:rPr>
          <w:b w:val="1"/>
          <w:bCs w:val="1"/>
        </w:rPr>
      </w:pPr>
      <w:r w:rsidDel="00000000" w:rsidR="00000000" w:rsidRPr="00000000">
        <w:rPr>
          <w:rtl w:val="0"/>
        </w:rPr>
      </w:r>
    </w:p>
    <w:p w:rsidR="00000000" w:rsidDel="00000000" w:rsidP="00000000" w:rsidRDefault="00000000" w:rsidRPr="00000000" w14:paraId="0000013E">
      <w:pPr>
        <w:pageBreakBefore w:val="0"/>
        <w:jc w:val="both"/>
        <w:rPr>
          <w:b w:val="1"/>
          <w:bCs w:val="1"/>
        </w:rPr>
      </w:pPr>
      <w:r w:rsidDel="00000000" w:rsidR="00000000" w:rsidRPr="00000000">
        <w:rPr>
          <w:b w:val="1"/>
          <w:bCs w:val="1"/>
        </w:rPr>
        <w:drawing>
          <wp:inline distB="114300" distT="114300" distL="114300" distR="114300">
            <wp:extent cx="5376863" cy="2501084"/>
            <wp:effectExtent b="0" l="0" r="0" t="0"/>
            <wp:docPr id="5"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5376863" cy="250108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jc w:val="center"/>
        <w:rPr/>
      </w:pPr>
      <w:r w:rsidDel="00000000" w:rsidR="00000000" w:rsidRPr="00000000">
        <w:rPr>
          <w:rtl w:val="0"/>
        </w:rPr>
        <w:t xml:space="preserve">USA, Puerto Rico and US Virgin Islands</w:t>
      </w:r>
      <w:r w:rsidDel="00000000" w:rsidR="00000000" w:rsidRPr="00000000">
        <w:rPr>
          <w:rtl w:val="0"/>
        </w:rPr>
        <w:t xml:space="preserve"> 2018 (Decremental  ECI Sensitivity)</w:t>
      </w:r>
    </w:p>
    <w:p w:rsidR="00000000" w:rsidDel="00000000" w:rsidP="00000000" w:rsidRDefault="00000000" w:rsidRPr="00000000" w14:paraId="00000140">
      <w:pPr>
        <w:pageBreakBefore w:val="0"/>
        <w:jc w:val="center"/>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do not affect ECI levels as positively as in 2018 but see that the overall ECI of the US is approximately 0.2 in 2018 and approximately 1 in 2013. </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In the 2013 negative shocking case, we see that again the US is very sensitive to drawbacks in Machinery. However unlike the 2018 case, we see quite a bit of sensitivity to High Complexity Products as well. In general the US is fairly sensitive to the majority of its industries. </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jc w:val="both"/>
        <w:rPr>
          <w:b w:val="1"/>
          <w:bCs w:val="1"/>
        </w:rPr>
      </w:pPr>
      <w:r w:rsidDel="00000000" w:rsidR="00000000" w:rsidRPr="00000000">
        <w:rPr>
          <w:b w:val="1"/>
          <w:bCs w:val="1"/>
        </w:rPr>
        <w:drawing>
          <wp:inline distB="114300" distT="114300" distL="114300" distR="114300">
            <wp:extent cx="4862813" cy="2500313"/>
            <wp:effectExtent b="0" l="0" r="0" t="0"/>
            <wp:docPr id="2"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4862813"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pPr>
      <w:r w:rsidDel="00000000" w:rsidR="00000000" w:rsidRPr="00000000">
        <w:rPr>
          <w:rtl w:val="0"/>
        </w:rPr>
        <w:t xml:space="preserve">USA, Puerto Rico and US Virgin Islands</w:t>
      </w:r>
      <w:r w:rsidDel="00000000" w:rsidR="00000000" w:rsidRPr="00000000">
        <w:rPr>
          <w:rtl w:val="0"/>
        </w:rPr>
        <w:t xml:space="preserve"> 2013 (Incremental ECI Sensitivity)</w:t>
      </w:r>
    </w:p>
    <w:p w:rsidR="00000000" w:rsidDel="00000000" w:rsidP="00000000" w:rsidRDefault="00000000" w:rsidRPr="00000000" w14:paraId="00000147">
      <w:pPr>
        <w:pageBreakBefore w:val="0"/>
        <w:jc w:val="both"/>
        <w:rPr>
          <w:b w:val="1"/>
          <w:bCs w:val="1"/>
        </w:rPr>
      </w:pPr>
      <w:r w:rsidDel="00000000" w:rsidR="00000000" w:rsidRPr="00000000">
        <w:rPr>
          <w:rtl w:val="0"/>
        </w:rPr>
      </w:r>
    </w:p>
    <w:p w:rsidR="00000000" w:rsidDel="00000000" w:rsidP="00000000" w:rsidRDefault="00000000" w:rsidRPr="00000000" w14:paraId="00000148">
      <w:pPr>
        <w:pageBreakBefore w:val="0"/>
        <w:jc w:val="both"/>
        <w:rPr>
          <w:b w:val="1"/>
          <w:bCs w:val="1"/>
        </w:rPr>
      </w:pPr>
      <w:r w:rsidDel="00000000" w:rsidR="00000000" w:rsidRPr="00000000">
        <w:rPr>
          <w:b w:val="1"/>
          <w:bCs w:val="1"/>
        </w:rPr>
        <w:drawing>
          <wp:inline distB="114300" distT="114300" distL="114300" distR="114300">
            <wp:extent cx="5598962" cy="2938463"/>
            <wp:effectExtent b="0" l="0" r="0" t="0"/>
            <wp:docPr id="12"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598962"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jc w:val="center"/>
        <w:rPr/>
      </w:pPr>
      <w:r w:rsidDel="00000000" w:rsidR="00000000" w:rsidRPr="00000000">
        <w:rPr>
          <w:rtl w:val="0"/>
        </w:rPr>
        <w:t xml:space="preserve">USA, Puerto Rico and US Virgin Islands</w:t>
      </w:r>
      <w:r w:rsidDel="00000000" w:rsidR="00000000" w:rsidRPr="00000000">
        <w:rPr>
          <w:rtl w:val="0"/>
        </w:rPr>
        <w:t xml:space="preserve"> 2013 (Decremental  ECI Sensitivity)</w:t>
      </w:r>
    </w:p>
    <w:p w:rsidR="00000000" w:rsidDel="00000000" w:rsidP="00000000" w:rsidRDefault="00000000" w:rsidRPr="00000000" w14:paraId="0000014A">
      <w:pPr>
        <w:pageBreakBefore w:val="0"/>
        <w:jc w:val="both"/>
        <w:rPr>
          <w:b w:val="1"/>
          <w:bCs w:val="1"/>
        </w:rPr>
      </w:pP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rtl w:val="0"/>
        </w:rPr>
      </w:r>
    </w:p>
    <w:p w:rsidR="00000000" w:rsidDel="00000000" w:rsidP="00000000" w:rsidRDefault="00000000" w:rsidRPr="00000000" w14:paraId="0000014C">
      <w:pPr>
        <w:pageBreakBefore w:val="0"/>
        <w:jc w:val="both"/>
        <w:rPr>
          <w:b w:val="1"/>
          <w:bCs w:val="1"/>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Below we see the SDV sensitivity charts for High Complexity Products. USA’s SDV is quite sensitive to changes in High Complexity products since the US economy is highly dependent on the export of products that are produced from this industry. As exports in High COmplexity Products is positively shocked, more industries become attractive, showing positive opportunity gains. However after about a 60% increase in export we start to see quite a few industries shift from neutral opportunity gain to negative opportunity gain signifying that an increase in export of above 60% would make quite a few industries not worth pursuing because of the dominance of High Complexity Products.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b w:val="1"/>
          <w:bCs w:val="1"/>
        </w:rPr>
      </w:pPr>
      <w:r w:rsidDel="00000000" w:rsidR="00000000" w:rsidRPr="00000000">
        <w:rPr>
          <w:rtl w:val="0"/>
        </w:rPr>
        <w:t xml:space="preserve">Considering the Negative SDV sensitivity chart we observe that as the export of  High Complexity Products decreases the number of industries with positive opportunity gain go to zero. This is characteristic of a well-developed economy with a large reliance on High Complexity Products and not many other avenues for large ECI improvement. </w:t>
      </w:r>
      <w:r w:rsidDel="00000000" w:rsidR="00000000" w:rsidRPr="00000000">
        <w:rPr>
          <w:rtl w:val="0"/>
        </w:rPr>
      </w:r>
    </w:p>
    <w:p w:rsidR="00000000" w:rsidDel="00000000" w:rsidP="00000000" w:rsidRDefault="00000000" w:rsidRPr="00000000" w14:paraId="00000150">
      <w:pPr>
        <w:pageBreakBefore w:val="0"/>
        <w:jc w:val="both"/>
        <w:rPr>
          <w:b w:val="1"/>
          <w:bCs w:val="1"/>
        </w:rPr>
      </w:pPr>
      <w:r w:rsidDel="00000000" w:rsidR="00000000" w:rsidRPr="00000000">
        <w:rPr>
          <w:rtl w:val="0"/>
        </w:rPr>
      </w:r>
    </w:p>
    <w:p w:rsidR="00000000" w:rsidDel="00000000" w:rsidP="00000000" w:rsidRDefault="00000000" w:rsidRPr="00000000" w14:paraId="00000151">
      <w:pPr>
        <w:pageBreakBefore w:val="0"/>
        <w:jc w:val="center"/>
        <w:rPr>
          <w:b w:val="1"/>
          <w:bCs w:val="1"/>
        </w:rPr>
      </w:pPr>
      <w:r w:rsidDel="00000000" w:rsidR="00000000" w:rsidRPr="00000000">
        <w:rPr>
          <w:b w:val="1"/>
          <w:bCs w:val="1"/>
        </w:rPr>
        <w:drawing>
          <wp:inline distB="114300" distT="114300" distL="114300" distR="114300">
            <wp:extent cx="5977653" cy="1519238"/>
            <wp:effectExtent b="0" l="0" r="0" t="0"/>
            <wp:docPr id="17"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977653"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ind w:left="720" w:firstLine="720"/>
        <w:jc w:val="center"/>
        <w:rPr/>
      </w:pPr>
      <w:r w:rsidDel="00000000" w:rsidR="00000000" w:rsidRPr="00000000">
        <w:rPr>
          <w:rtl w:val="0"/>
        </w:rPr>
        <w:t xml:space="preserve">USA, Puerto Rico and US Virgin Islands</w:t>
      </w:r>
      <w:r w:rsidDel="00000000" w:rsidR="00000000" w:rsidRPr="00000000">
        <w:rPr>
          <w:rtl w:val="0"/>
        </w:rPr>
        <w:t xml:space="preserve"> High-complexity Products 2018 (Incremental SDV Sensitivity)</w:t>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rtl w:val="0"/>
        </w:rPr>
      </w:r>
    </w:p>
    <w:p w:rsidR="00000000" w:rsidDel="00000000" w:rsidP="00000000" w:rsidRDefault="00000000" w:rsidRPr="00000000" w14:paraId="00000155">
      <w:pPr>
        <w:pageBreakBefore w:val="0"/>
        <w:jc w:val="center"/>
        <w:rPr>
          <w:b w:val="1"/>
          <w:bCs w:val="1"/>
        </w:rPr>
      </w:pPr>
      <w:r w:rsidDel="00000000" w:rsidR="00000000" w:rsidRPr="00000000">
        <w:rPr>
          <w:b w:val="1"/>
          <w:bCs w:val="1"/>
        </w:rPr>
        <w:drawing>
          <wp:inline distB="114300" distT="114300" distL="114300" distR="114300">
            <wp:extent cx="4186238" cy="2148750"/>
            <wp:effectExtent b="0" l="0" r="0" t="0"/>
            <wp:docPr id="14"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4186238" cy="21487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ind w:left="720" w:firstLine="720"/>
        <w:jc w:val="center"/>
        <w:rPr/>
      </w:pPr>
      <w:r w:rsidDel="00000000" w:rsidR="00000000" w:rsidRPr="00000000">
        <w:rPr>
          <w:rtl w:val="0"/>
        </w:rPr>
        <w:t xml:space="preserve">USA, Puerto Rico and US Virgin Islands High-complexity Products 2018 (Decremental SDV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A">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5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C">
      <w:pPr>
        <w:pageBreakBefore w:val="0"/>
        <w:jc w:val="both"/>
        <w:rPr>
          <w:b w:val="1"/>
          <w:bCs w:val="1"/>
          <w:sz w:val="28"/>
          <w:szCs w:val="28"/>
        </w:rPr>
      </w:pPr>
      <w:r w:rsidDel="00000000" w:rsidR="00000000" w:rsidRPr="00000000">
        <w:rPr>
          <w:rtl w:val="0"/>
        </w:rPr>
        <w:t xml:space="preserve">Decreasing export of each industry in U.S.A’s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5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F">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195888" cy="2658361"/>
            <wp:effectExtent b="0" l="0" r="0" t="0"/>
            <wp:docPr id="18"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195888" cy="2658361"/>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center"/>
        <w:rPr>
          <w:sz w:val="22"/>
          <w:szCs w:val="22"/>
        </w:rPr>
      </w:pPr>
      <w:r w:rsidDel="00000000" w:rsidR="00000000" w:rsidRPr="00000000">
        <w:rPr>
          <w:sz w:val="22"/>
          <w:szCs w:val="22"/>
          <w:rtl w:val="0"/>
        </w:rPr>
        <w:t xml:space="preserve">USA Contingency Strategy 2018</w:t>
      </w:r>
    </w:p>
    <w:p w:rsidR="00000000" w:rsidDel="00000000" w:rsidP="00000000" w:rsidRDefault="00000000" w:rsidRPr="00000000" w14:paraId="00000161">
      <w:pPr>
        <w:pageBreakBefore w:val="0"/>
        <w:jc w:val="center"/>
        <w:rPr>
          <w:sz w:val="22"/>
          <w:szCs w:val="22"/>
        </w:rPr>
      </w:pPr>
      <w:r w:rsidDel="00000000" w:rsidR="00000000" w:rsidRPr="00000000">
        <w:rPr>
          <w:rtl w:val="0"/>
        </w:rPr>
      </w:r>
    </w:p>
    <w:p w:rsidR="00000000" w:rsidDel="00000000" w:rsidP="00000000" w:rsidRDefault="00000000" w:rsidRPr="00000000" w14:paraId="00000162">
      <w:pPr>
        <w:pageBreakBefore w:val="0"/>
        <w:jc w:val="center"/>
        <w:rPr>
          <w:sz w:val="28"/>
          <w:szCs w:val="28"/>
        </w:rPr>
      </w:pPr>
      <w:r w:rsidDel="00000000" w:rsidR="00000000" w:rsidRPr="00000000">
        <w:rPr>
          <w:sz w:val="22"/>
          <w:szCs w:val="22"/>
        </w:rPr>
        <w:drawing>
          <wp:inline distB="114300" distT="114300" distL="114300" distR="114300">
            <wp:extent cx="5167313" cy="2841164"/>
            <wp:effectExtent b="0" l="0" r="0" t="0"/>
            <wp:docPr id="15"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5167313" cy="2841164"/>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center"/>
        <w:rPr>
          <w:sz w:val="28"/>
          <w:szCs w:val="28"/>
        </w:rPr>
      </w:pPr>
      <w:r w:rsidDel="00000000" w:rsidR="00000000" w:rsidRPr="00000000">
        <w:rPr>
          <w:sz w:val="22"/>
          <w:szCs w:val="22"/>
          <w:rtl w:val="0"/>
        </w:rPr>
        <w:t xml:space="preserve">USA Contingency Strategy 2013</w:t>
      </w: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69">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6A">
      <w:pPr>
        <w:pageBreakBefore w:val="0"/>
        <w:jc w:val="both"/>
        <w:rPr/>
      </w:pPr>
      <w:r w:rsidDel="00000000" w:rsidR="00000000" w:rsidRPr="00000000">
        <w:rPr>
          <w:rtl w:val="0"/>
        </w:rPr>
      </w:r>
    </w:p>
    <w:p w:rsidR="00000000" w:rsidDel="00000000" w:rsidP="00000000" w:rsidRDefault="00000000" w:rsidRPr="00000000" w14:paraId="0000016B">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6C">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5">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6">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rtl w:val="0"/>
        </w:rPr>
      </w:r>
    </w:p>
    <w:p w:rsidR="00000000" w:rsidDel="00000000" w:rsidP="00000000" w:rsidRDefault="00000000" w:rsidRPr="00000000" w14:paraId="00000178">
      <w:pPr>
        <w:pageBreakBefore w:val="0"/>
        <w:jc w:val="both"/>
        <w:rPr>
          <w:b w:val="1"/>
          <w:bCs w:val="1"/>
        </w:rPr>
      </w:pPr>
      <w:r w:rsidDel="00000000" w:rsidR="00000000" w:rsidRPr="00000000">
        <w:rPr>
          <w:b w:val="1"/>
          <w:bCs w:val="1"/>
          <w:rtl w:val="0"/>
        </w:rPr>
        <w:t xml:space="preserve">5.2 SOI of Bangladesh and Its Implications</w:t>
      </w:r>
    </w:p>
    <w:p w:rsidR="00000000" w:rsidDel="00000000" w:rsidP="00000000" w:rsidRDefault="00000000" w:rsidRPr="00000000" w14:paraId="00000179">
      <w:pPr>
        <w:pageBreakBefore w:val="0"/>
        <w:jc w:val="both"/>
        <w:rPr/>
      </w:pPr>
      <w:r w:rsidDel="00000000" w:rsidR="00000000" w:rsidRPr="00000000">
        <w:rPr>
          <w:rtl w:val="0"/>
        </w:rPr>
        <w:t xml:space="preserve">Bangladesh, for instance, has a higher level of structural optimality as compared with its emerging peers. As the regression in Figure 7 suggests (the orange curve represents export increase and the blue curve stands for opportunity gain of the corresponding industry), Bangladesh demonstrates an average level of correlation with the suggested developmental path, having an adjusted R-square of around 15.7%. The U.S. ranks in 34</w:t>
      </w:r>
      <w:r w:rsidDel="00000000" w:rsidR="00000000" w:rsidRPr="00000000">
        <w:rPr>
          <w:vertAlign w:val="superscript"/>
          <w:rtl w:val="0"/>
        </w:rPr>
        <w:t xml:space="preserve">th</w:t>
      </w:r>
      <w:r w:rsidDel="00000000" w:rsidR="00000000" w:rsidRPr="00000000">
        <w:rPr>
          <w:rtl w:val="0"/>
        </w:rPr>
        <w:t xml:space="preserve"> place among all countries in terms of SOI and has made an average rate of economic progress among its emerging peers from 2013 to 2018 with a 5-year GDP growth rate of 22.0%,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U.S.’s stable economic progress from 2013 to 2018 can be at least partially explained by a development strategy that demonstrates a considerable but not perfect level of matches with our suggested developmental path. In specific, U.S. invested heavily in the Services and Utilities industry, while it should have focused more on moderately complex industry groups such as chemical manufacturing. </w:t>
      </w:r>
    </w:p>
    <w:p w:rsidR="00000000" w:rsidDel="00000000" w:rsidP="00000000" w:rsidRDefault="00000000" w:rsidRPr="00000000" w14:paraId="0000017A">
      <w:pPr>
        <w:pageBreakBefore w:val="0"/>
        <w:jc w:val="both"/>
        <w:rPr/>
      </w:pPr>
      <w:r w:rsidDel="00000000" w:rsidR="00000000" w:rsidRPr="00000000">
        <w:rPr>
          <w:rtl w:val="0"/>
        </w:rPr>
      </w:r>
    </w:p>
    <w:p w:rsidR="00000000" w:rsidDel="00000000" w:rsidP="00000000" w:rsidRDefault="00000000" w:rsidRPr="00000000" w14:paraId="0000017B">
      <w:pPr>
        <w:pageBreakBefore w:val="0"/>
        <w:jc w:val="both"/>
        <w:rPr/>
      </w:pPr>
      <w:r w:rsidDel="00000000" w:rsidR="00000000" w:rsidRPr="00000000">
        <w:rPr/>
        <w:drawing>
          <wp:inline distB="114300" distT="114300" distL="114300" distR="114300">
            <wp:extent cx="5734050" cy="2298700"/>
            <wp:effectExtent b="0" l="0" r="0" t="0"/>
            <wp:docPr id="1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jc w:val="center"/>
        <w:rPr>
          <w:b w:val="1"/>
          <w:bCs w:val="1"/>
        </w:rPr>
      </w:pPr>
      <w:r w:rsidDel="00000000" w:rsidR="00000000" w:rsidRPr="00000000">
        <w:rPr>
          <w:rtl w:val="0"/>
        </w:rPr>
        <w:t xml:space="preserve">Figure 7: SOI of U.S. (2009-2014)</w:t>
      </w: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rtl w:val="0"/>
        </w:rPr>
      </w:r>
    </w:p>
    <w:p w:rsidR="00000000" w:rsidDel="00000000" w:rsidP="00000000" w:rsidRDefault="00000000" w:rsidRPr="00000000" w14:paraId="0000017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t xml:space="preserve">In conclusion, the U.S.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Bangladesh on the industry group level. The product classification system we adopt allows us to measure the realized industry development for various industry groups and to observe that Bangladesh consistently relied on developing Services and Utilities, Weapons and Raw Manufacturing industries during the period, while its developed counterparts and emerging economies around the globe have adopted much more complex and progressive paths. </w:t>
      </w:r>
    </w:p>
    <w:p w:rsidR="00000000" w:rsidDel="00000000" w:rsidP="00000000" w:rsidRDefault="00000000" w:rsidRPr="00000000" w14:paraId="00000184">
      <w:pPr>
        <w:pageBreakBefore w:val="0"/>
        <w:jc w:val="both"/>
        <w:rPr/>
      </w:pPr>
      <w:r w:rsidDel="00000000" w:rsidR="00000000" w:rsidRPr="00000000">
        <w:rPr>
          <w:rtl w:val="0"/>
        </w:rPr>
      </w:r>
    </w:p>
    <w:p w:rsidR="00000000" w:rsidDel="00000000" w:rsidP="00000000" w:rsidRDefault="00000000" w:rsidRPr="00000000" w14:paraId="00000185">
      <w:pPr>
        <w:pageBreakBefore w:val="0"/>
        <w:jc w:val="both"/>
        <w:rPr/>
      </w:pPr>
      <w:r w:rsidDel="00000000" w:rsidR="00000000" w:rsidRPr="00000000">
        <w:rPr>
          <w:rtl w:val="0"/>
        </w:rPr>
        <w:t xml:space="preserve">Based on our analysis of the opportunity gain and a sensitivity analysis of major industry groups, Bangladesh can further its gains by prioritizing High-complexity Products and Chemicals. We further note that Bangladesh has a slightly mismatched development strategy that indicates a moderate level of structural optimality on the complexity level, having an adjusted R-square of around 15.7%. Since a significant positive correlation exists between five-year GDP growth and the structural optimality index of an economy as we define and calculate, Bangladesh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8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8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8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8">
      <w:pPr>
        <w:pageBreakBefore w:val="0"/>
        <w:jc w:val="both"/>
        <w:rPr/>
      </w:pPr>
      <w:r w:rsidDel="00000000" w:rsidR="00000000" w:rsidRPr="00000000">
        <w:rPr>
          <w:rtl w:val="0"/>
        </w:rPr>
      </w:r>
    </w:p>
    <w:sectPr>
      <w:headerReference r:id="rId29" w:type="default"/>
      <w:footerReference r:id="rId30" w:type="default"/>
      <w:footerReference r:id="rId31" w:type="first"/>
      <w:footerReference r:id="rId32"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2.jpg"/><Relationship Id="rId21" Type="http://schemas.openxmlformats.org/officeDocument/2006/relationships/image" Target="media/image22.jpg"/><Relationship Id="rId24" Type="http://schemas.openxmlformats.org/officeDocument/2006/relationships/image" Target="media/image10.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3.jpg"/><Relationship Id="rId25" Type="http://schemas.openxmlformats.org/officeDocument/2006/relationships/image" Target="media/image11.jpg"/><Relationship Id="rId28"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header" Target="header1.xml"/><Relationship Id="rId7" Type="http://schemas.openxmlformats.org/officeDocument/2006/relationships/image" Target="media/image15.png"/><Relationship Id="rId8" Type="http://schemas.openxmlformats.org/officeDocument/2006/relationships/image" Target="media/image21.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4.jpg"/><Relationship Id="rId10" Type="http://schemas.openxmlformats.org/officeDocument/2006/relationships/image" Target="media/image24.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6.jpg"/><Relationship Id="rId16" Type="http://schemas.openxmlformats.org/officeDocument/2006/relationships/image" Target="media/image20.png"/><Relationship Id="rId19" Type="http://schemas.openxmlformats.org/officeDocument/2006/relationships/image" Target="media/image1.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