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0"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16.png"/>
            <a:graphic>
              <a:graphicData uri="http://schemas.openxmlformats.org/drawingml/2006/picture">
                <pic:pic>
                  <pic:nvPicPr>
                    <pic:cNvPr id="0" name="image1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Canada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Canada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Canada went through during the period from 2013 to 2018. Specifically, we dive into the topic through a macroeconomic overview of Canada from the perspective of Gross Domestic Product (GDP) and Economic Complexity Index (ECI), which reflect countries’ production capability and production structure, respectively. We find that during the period of our interest, Canada demonstrated a moderate level of economic growth with an average annual GDP growth rate of 2.36%, concurrent with a decrease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Canada on the industry group level. The product classification system we adopt allows us to measure the realized industry development for various industry groups and to observe that </w:t>
      </w:r>
      <w:r w:rsidDel="00000000" w:rsidR="00000000" w:rsidRPr="00000000">
        <w:rPr>
          <w:rtl w:val="0"/>
        </w:rPr>
        <w:t xml:space="preserve">Canada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Canada can further its gains by prioritizing High Complexity Products, Transportation, and Machinery and Construction. We further note that Canada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Canada,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Canada went through during the period from 2013 to 2018. Specifically, we dive into the topic through a macroeconomic overview of Canada from the perspective of Gross Domestic Product (GDP) and Economic Complexity Index (ECI), which reflect countries’ production capability and production structure, respectively. We then analyze the industrial framework and changes of Canada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Canada,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Canada and three of its peer countries (the UK, Mexico, Australia) from 2013-2018. In contrast to the other countries, which generally displayed either constant or upwards growth over all years, Canada had a noticeable dip in GDP from 2014-2015. Additionally, Canada’s average annual growth rate of 2.36% over the five-year period is clearly lower than its peers, which are 3.03%, 3.29%, and 3.36% for the UK, Mexico, and Australia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4171950" cy="2514600"/>
            <wp:effectExtent b="0" l="0" r="0" t="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1719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Canada. As illustrated in Figure 2 below, Canada (-36.98% ECI change) exhibited a decrease in terms of its production capability from 2013 to 2018, which is similar to Australia (-29.46%), but different from Mexico (-8.2%) and the UK (41.53%). Ultimately, Canada is the weakest of the peer country set, as it displays the lowest GDP growth rate and ECI change across the period.</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3686175" cy="2552700"/>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6861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514850" cy="2571750"/>
            <wp:effectExtent b="0" l="0" r="0" t="0"/>
            <wp:docPr id="3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5148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(Canada)</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Canada.. The increase in GDP during the period from 2013 to 2018 is accompanied by a sharp decline in ECI. The results show that the economic growth experienced by Canada during the period from 2013 to 2018 is not very consistent with the predictions by ECI and Canada did not effectively make strides to develop a competitive product space that helps to accumulate complicated knowledge and technology. In order to provide a more concrete answer to why this has happened, we will dive into an analysis of Canada’s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Canada’s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109480" cy="4481513"/>
            <wp:effectExtent b="0" l="0" r="0" t="0"/>
            <wp:docPr id="2"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2109480"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Canada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Canada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Canada’s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drawing>
          <wp:inline distB="114300" distT="114300" distL="114300" distR="114300">
            <wp:extent cx="5731200" cy="2387600"/>
            <wp:effectExtent b="0" l="0" r="0" t="0"/>
            <wp:docPr id="27"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rtl w:val="0"/>
        </w:rPr>
        <w:t xml:space="preserve">   </w:t>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5731200" cy="2387600"/>
            <wp:effectExtent b="0" l="0" r="0" t="0"/>
            <wp:docPr id="30"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Canada shares the characters of developing countries, with a balanced economics structure that leans towards intermediate-level industries. </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drawing>
          <wp:inline distB="114300" distT="114300" distL="114300" distR="114300">
            <wp:extent cx="5731200" cy="2387600"/>
            <wp:effectExtent b="0" l="0" r="0" t="0"/>
            <wp:docPr id="2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B">
      <w:pPr>
        <w:pageBreakBefore w:val="0"/>
        <w:jc w:val="center"/>
        <w:rPr/>
      </w:pPr>
      <w:r w:rsidDel="00000000" w:rsidR="00000000" w:rsidRPr="00000000">
        <w:rPr>
          <w:rtl w:val="0"/>
        </w:rPr>
      </w:r>
    </w:p>
    <w:p w:rsidR="00000000" w:rsidDel="00000000" w:rsidP="00000000" w:rsidRDefault="00000000" w:rsidRPr="00000000" w14:paraId="000000D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drawing>
          <wp:inline distB="114300" distT="114300" distL="114300" distR="114300">
            <wp:extent cx="2528888" cy="1141284"/>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center"/>
        <w:rPr/>
      </w:pPr>
      <w:r w:rsidDel="00000000" w:rsidR="00000000" w:rsidRPr="00000000">
        <w:rPr/>
        <w:drawing>
          <wp:inline distB="114300" distT="114300" distL="114300" distR="114300">
            <wp:extent cx="2138363" cy="71863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C">
      <w:pPr>
        <w:pageBreakBefore w:val="0"/>
        <w:rPr/>
      </w:pPr>
      <w:r w:rsidDel="00000000" w:rsidR="00000000" w:rsidRPr="00000000">
        <w:rPr>
          <w:rtl w:val="0"/>
        </w:rPr>
        <w:t xml:space="preserve"> </w:t>
      </w:r>
    </w:p>
    <w:p w:rsidR="00000000" w:rsidDel="00000000" w:rsidP="00000000" w:rsidRDefault="00000000" w:rsidRPr="00000000" w14:paraId="000000ED">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rtl w:val="0"/>
        </w:rPr>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0">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1">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2">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9">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A">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Below is the economic panel for Canada in 2013. We can see that for different percentages of heuristic total export growth, the ECIs of Canada have different amounts of increments. Overall, 5 and 10 percent export growth result in a similar ECI improvement pattern, which starts from around -0.45 and ends at around 0.38. However, 15 and 20 percent export growth are able to result in obvious ECI improvement trajectories. For a 15 percent growth budget, ECI of Canada is able to end at around 1.27 while for a 20 percent budget, the increment is even more obvious, eventually achieving around 2.20. </w:t>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For the case of 5 percent export growth, chemical manufacturing, transportation and clothing and accessories account for most of the portfolio. For 10 percent export growth, in addition to the industries that we mentioned before, more weights are put on other industries, such as services and utilities, and high-complexity products. In these two ECI improvement trajectories, we also notice that the largest improvement comes from services and utilities, suggesting that with a low economic improvement anticipation, Canada should focus more on developing the industry of services and utilities. For the case of 15 and 20 percent increment budgets, we realize that the development trajectories are in a similar pattern except that there are a few additional steps when there are more budgets. Different from the previous two cases, the solutions suggest that Canada should invest more on machinery and construction and transportations.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5921343" cy="1957388"/>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21343" cy="1957388"/>
                    </a:xfrm>
                    <a:prstGeom prst="rect"/>
                    <a:ln/>
                  </pic:spPr>
                </pic:pic>
              </a:graphicData>
            </a:graphic>
          </wp:inline>
        </w:drawing>
      </w:r>
      <w:r w:rsidDel="00000000" w:rsidR="00000000" w:rsidRPr="00000000">
        <w:rPr/>
        <w:drawing>
          <wp:inline distB="114300" distT="114300" distL="114300" distR="114300">
            <wp:extent cx="5723700" cy="1757363"/>
            <wp:effectExtent b="0" l="0" r="0" t="0"/>
            <wp:docPr id="28" name="image19.png"/>
            <a:graphic>
              <a:graphicData uri="http://schemas.openxmlformats.org/drawingml/2006/picture">
                <pic:pic>
                  <pic:nvPicPr>
                    <pic:cNvPr id="0" name="image19.png"/>
                    <pic:cNvPicPr preferRelativeResize="0"/>
                  </pic:nvPicPr>
                  <pic:blipFill>
                    <a:blip r:embed="rId18"/>
                    <a:srcRect b="10050" l="3156" r="0" t="0"/>
                    <a:stretch>
                      <a:fillRect/>
                    </a:stretch>
                  </pic:blipFill>
                  <pic:spPr>
                    <a:xfrm>
                      <a:off x="0" y="0"/>
                      <a:ext cx="5723700"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Figure 5: Greedy Based ECI Improvement Results of Canada in 2013 with Different Budgets</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1587500"/>
            <wp:effectExtent b="0" l="0" r="0" t="0"/>
            <wp:docPr id="1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Table 8: Portfolio of Canada in 2013</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For further suggestions on Canada’s development in the future. We also offer the optimization result of Canada based on export data in 2018. Below is the economic panel for Canada in 2018. We can see that there is a similar pattern for the ECI improvement trajectories, which is that the improvements in 5 and 10 percent export growth are similar, and the ones in 15 and 20 are similar. But one difference is that the main components that result in ECI improvements are not quite similar. For a 5 percent export growth, the main components include transportation, clothing and accessories, services and utilities, and daily instruments, while for a 10 percent growth, the main components also consist of chemicals, and chemical manufacturing. For situations with higher budgets of investment, like 15 or 20 percent of growth, the portfolios are much more diverse than the previous two cases. In detail, industries like raw manufacturing, machinery and construction, textile are the ones that contribute a lot in ECI increments. A more detailed numerical representation of the portfolio is shown in Table 9. </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5806086" cy="1919288"/>
            <wp:effectExtent b="0" l="0" r="0" t="0"/>
            <wp:docPr id="2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806086" cy="1919288"/>
                    </a:xfrm>
                    <a:prstGeom prst="rect"/>
                    <a:ln/>
                  </pic:spPr>
                </pic:pic>
              </a:graphicData>
            </a:graphic>
          </wp:inline>
        </w:drawing>
      </w:r>
      <w:r w:rsidDel="00000000" w:rsidR="00000000" w:rsidRPr="00000000">
        <w:rPr/>
        <w:drawing>
          <wp:inline distB="114300" distT="114300" distL="114300" distR="114300">
            <wp:extent cx="5734077" cy="1719263"/>
            <wp:effectExtent b="0" l="0" r="0" t="0"/>
            <wp:docPr id="15" name="image28.png"/>
            <a:graphic>
              <a:graphicData uri="http://schemas.openxmlformats.org/drawingml/2006/picture">
                <pic:pic>
                  <pic:nvPicPr>
                    <pic:cNvPr id="0" name="image28.png"/>
                    <pic:cNvPicPr preferRelativeResize="0"/>
                  </pic:nvPicPr>
                  <pic:blipFill>
                    <a:blip r:embed="rId21"/>
                    <a:srcRect b="10050" l="831" r="0" t="0"/>
                    <a:stretch>
                      <a:fillRect/>
                    </a:stretch>
                  </pic:blipFill>
                  <pic:spPr>
                    <a:xfrm>
                      <a:off x="0" y="0"/>
                      <a:ext cx="5734077"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t xml:space="preserve">Figure 6: Greedy Based ECI Improvement Results of Canada in 2018 with Different Budgets</w:t>
      </w:r>
    </w:p>
    <w:p w:rsidR="00000000" w:rsidDel="00000000" w:rsidP="00000000" w:rsidRDefault="00000000" w:rsidRPr="00000000" w14:paraId="0000012E">
      <w:pPr>
        <w:pageBreakBefore w:val="0"/>
        <w:jc w:val="both"/>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drawing>
          <wp:inline distB="114300" distT="114300" distL="114300" distR="114300">
            <wp:extent cx="5731200" cy="1536700"/>
            <wp:effectExtent b="0" l="0" r="0" t="0"/>
            <wp:docPr id="2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9: Portfolio of Canada in 2018</w:t>
      </w:r>
    </w:p>
    <w:p w:rsidR="00000000" w:rsidDel="00000000" w:rsidP="00000000" w:rsidRDefault="00000000" w:rsidRPr="00000000" w14:paraId="00000132">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In the following section our broad aim is to understand how sensitive Canada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7">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2.jpg"/>
            <a:graphic>
              <a:graphicData uri="http://schemas.openxmlformats.org/drawingml/2006/picture">
                <pic:pic>
                  <pic:nvPicPr>
                    <pic:cNvPr id="0" name="image2.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D">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734050" cy="1739900"/>
            <wp:effectExtent b="0" l="0" r="0" t="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2">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Below is Canada’s 2018 ECI Sensitivity Charts. Firstly in the positive chart, we notice immediately that increases in High Complexity Product, Transportation, and Machinery lead to an uptrend in ECI.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 we consider Canada’s 2018 Negative Shock chart. We see that Canada’s ECI is slightly sensitive to drawdowns in Weapons and Raw Manufacturing. More interestingly we see that large decreases in High Complexity Products and Energy, Drilling, and Mining seem to greatly increase the ECI score. These industries are two very important industries for Canada’s economy and thus the results that are reflected in the chart may be suggesting that there is another industry that could be very beneficial for Canada that is far in proximity from High Complexity Products and the Energy industry.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jc w:val="both"/>
        <w:rPr>
          <w:b w:val="1"/>
          <w:bCs w:val="1"/>
        </w:rPr>
      </w:pPr>
      <w:r w:rsidDel="00000000" w:rsidR="00000000" w:rsidRPr="00000000">
        <w:rPr>
          <w:b w:val="1"/>
          <w:bCs w:val="1"/>
        </w:rPr>
        <w:drawing>
          <wp:inline distB="114300" distT="114300" distL="114300" distR="114300">
            <wp:extent cx="5731200" cy="2933700"/>
            <wp:effectExtent b="0" l="0" r="0" t="0"/>
            <wp:docPr id="13"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center"/>
        <w:rPr>
          <w:b w:val="1"/>
          <w:bCs w:val="1"/>
        </w:rPr>
      </w:pPr>
      <w:r w:rsidDel="00000000" w:rsidR="00000000" w:rsidRPr="00000000">
        <w:rPr>
          <w:rtl w:val="0"/>
        </w:rPr>
        <w:t xml:space="preserve">Canada 2018 (Incremental ECI Sensitivity)</w:t>
      </w: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b w:val="1"/>
          <w:bCs w:val="1"/>
        </w:rPr>
        <w:drawing>
          <wp:inline distB="114300" distT="114300" distL="114300" distR="114300">
            <wp:extent cx="5731200" cy="2946400"/>
            <wp:effectExtent b="0" l="0" r="0" t="0"/>
            <wp:docPr id="23"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center"/>
        <w:rPr/>
      </w:pPr>
      <w:r w:rsidDel="00000000" w:rsidR="00000000" w:rsidRPr="00000000">
        <w:rPr>
          <w:rtl w:val="0"/>
        </w:rPr>
        <w:t xml:space="preserve">Canada 2018 (Decremental  ECI Sensitivity)</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do not affect ECI levels as positively as in 2018.</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In the 2013 negative shocking case, we see that again the US is very sensitive to drawdowns in High Complexity Products and Energy, Drilling, and Mining.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jc w:val="both"/>
        <w:rPr>
          <w:b w:val="1"/>
          <w:bCs w:val="1"/>
        </w:rPr>
      </w:pPr>
      <w:r w:rsidDel="00000000" w:rsidR="00000000" w:rsidRPr="00000000">
        <w:rPr>
          <w:b w:val="1"/>
          <w:bCs w:val="1"/>
        </w:rPr>
        <w:drawing>
          <wp:inline distB="114300" distT="114300" distL="114300" distR="114300">
            <wp:extent cx="5576888" cy="2825499"/>
            <wp:effectExtent b="0" l="0" r="0" t="0"/>
            <wp:docPr id="18" name="image21.jpg"/>
            <a:graphic>
              <a:graphicData uri="http://schemas.openxmlformats.org/drawingml/2006/picture">
                <pic:pic>
                  <pic:nvPicPr>
                    <pic:cNvPr id="0" name="image21.jpg"/>
                    <pic:cNvPicPr preferRelativeResize="0"/>
                  </pic:nvPicPr>
                  <pic:blipFill>
                    <a:blip r:embed="rId28"/>
                    <a:srcRect b="0" l="0" r="0" t="0"/>
                    <a:stretch>
                      <a:fillRect/>
                    </a:stretch>
                  </pic:blipFill>
                  <pic:spPr>
                    <a:xfrm>
                      <a:off x="0" y="0"/>
                      <a:ext cx="5576888" cy="282549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center"/>
        <w:rPr/>
      </w:pPr>
      <w:r w:rsidDel="00000000" w:rsidR="00000000" w:rsidRPr="00000000">
        <w:rPr>
          <w:rtl w:val="0"/>
        </w:rPr>
        <w:t xml:space="preserve">Canada 2013 (Incremental ECI Sensitivity)</w:t>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628926" cy="2805113"/>
            <wp:effectExtent b="0" l="0" r="0" t="0"/>
            <wp:docPr id="16"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5628926"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Canada 2013 (Decremental  ECI Sensitivity)</w:t>
      </w:r>
    </w:p>
    <w:p w:rsidR="00000000" w:rsidDel="00000000" w:rsidP="00000000" w:rsidRDefault="00000000" w:rsidRPr="00000000" w14:paraId="0000015F">
      <w:pPr>
        <w:pageBreakBefore w:val="0"/>
        <w:jc w:val="both"/>
        <w:rPr>
          <w:b w:val="1"/>
          <w:bCs w:val="1"/>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Below we see the SDV sensitivity charts for High Complexity Products. We see that increasing the export of High Complexity Products opens up many positive opportunity gain industries for Canada to move into. In fact after about a 40% increase no industries within the SDV have negative opportunity gain. </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In the negative High Complexity Product SDV chart, we see that as we decrease the export of High Complexity Products, the exact opposite happens. The number of industries with positive opportunity gain shrink suggesting that the opportunities available to Canada are highly dependent on its High Complexity Product footprint.</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Concerning Food and Preparations, Canada seems to be mostly insensitive to this industry suggesting that this is not an important industry in terms of the stability of its SDV.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jc w:val="center"/>
        <w:rPr>
          <w:b w:val="1"/>
          <w:bCs w:val="1"/>
        </w:rPr>
      </w:pPr>
      <w:r w:rsidDel="00000000" w:rsidR="00000000" w:rsidRPr="00000000">
        <w:rPr>
          <w:b w:val="1"/>
          <w:bCs w:val="1"/>
        </w:rPr>
        <w:drawing>
          <wp:inline distB="114300" distT="114300" distL="114300" distR="114300">
            <wp:extent cx="5731200" cy="1498600"/>
            <wp:effectExtent b="0" l="0" r="0" t="0"/>
            <wp:docPr id="17"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720" w:firstLine="720"/>
        <w:jc w:val="center"/>
        <w:rPr/>
      </w:pPr>
      <w:r w:rsidDel="00000000" w:rsidR="00000000" w:rsidRPr="00000000">
        <w:rPr>
          <w:rtl w:val="0"/>
        </w:rPr>
        <w:t xml:space="preserve">Canada High-complexity Products 2018 (Incremental SDV Sensitivity)</w:t>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center"/>
        <w:rPr>
          <w:b w:val="1"/>
          <w:bCs w:val="1"/>
        </w:rPr>
      </w:pP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drawing>
          <wp:inline distB="114300" distT="114300" distL="114300" distR="114300">
            <wp:extent cx="4637021" cy="2395538"/>
            <wp:effectExtent b="0" l="0" r="0" t="0"/>
            <wp:docPr id="25"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4637021"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Canada</w:t>
      </w:r>
      <w:r w:rsidDel="00000000" w:rsidR="00000000" w:rsidRPr="00000000">
        <w:rPr>
          <w:rtl w:val="0"/>
        </w:rPr>
        <w:t xml:space="preserve"> High-complexity Products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drawing>
          <wp:inline distB="114300" distT="114300" distL="114300" distR="114300">
            <wp:extent cx="1515900" cy="2816902"/>
            <wp:effectExtent b="0" l="0" r="0" t="0"/>
            <wp:docPr id="3"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1515900" cy="2816902"/>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ind w:left="720" w:firstLine="720"/>
        <w:jc w:val="center"/>
        <w:rPr>
          <w:b w:val="1"/>
          <w:bCs w:val="1"/>
        </w:rPr>
      </w:pPr>
      <w:r w:rsidDel="00000000" w:rsidR="00000000" w:rsidRPr="00000000">
        <w:rPr>
          <w:rtl w:val="0"/>
        </w:rPr>
        <w:t xml:space="preserve">Canada Food and Preparations 2018 (Incremental SDV Sensitivity)</w:t>
      </w:r>
      <w:r w:rsidDel="00000000" w:rsidR="00000000" w:rsidRPr="00000000">
        <w:rPr>
          <w:rtl w:val="0"/>
        </w:rPr>
      </w:r>
    </w:p>
    <w:p w:rsidR="00000000" w:rsidDel="00000000" w:rsidP="00000000" w:rsidRDefault="00000000" w:rsidRPr="00000000" w14:paraId="00000173">
      <w:pPr>
        <w:pageBreakBefore w:val="0"/>
        <w:jc w:val="center"/>
        <w:rPr>
          <w:b w:val="1"/>
          <w:bCs w:val="1"/>
        </w:rPr>
      </w:pPr>
      <w:r w:rsidDel="00000000" w:rsidR="00000000" w:rsidRPr="00000000">
        <w:rPr>
          <w:b w:val="1"/>
          <w:bCs w:val="1"/>
        </w:rPr>
        <w:drawing>
          <wp:inline distB="114300" distT="114300" distL="114300" distR="114300">
            <wp:extent cx="2463638" cy="2479035"/>
            <wp:effectExtent b="0" l="0" r="0" t="0"/>
            <wp:docPr id="4" name="image18.jpg"/>
            <a:graphic>
              <a:graphicData uri="http://schemas.openxmlformats.org/drawingml/2006/picture">
                <pic:pic>
                  <pic:nvPicPr>
                    <pic:cNvPr id="0" name="image18.jpg"/>
                    <pic:cNvPicPr preferRelativeResize="0"/>
                  </pic:nvPicPr>
                  <pic:blipFill>
                    <a:blip r:embed="rId33"/>
                    <a:srcRect b="0" l="0" r="0" t="0"/>
                    <a:stretch>
                      <a:fillRect/>
                    </a:stretch>
                  </pic:blipFill>
                  <pic:spPr>
                    <a:xfrm>
                      <a:off x="0" y="0"/>
                      <a:ext cx="2463638" cy="247903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t xml:space="preserve">Canada Food and Preparations 2018 (Decremental SDV Sensitivity)</w:t>
      </w:r>
    </w:p>
    <w:p w:rsidR="00000000" w:rsidDel="00000000" w:rsidP="00000000" w:rsidRDefault="00000000" w:rsidRPr="00000000" w14:paraId="00000175">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t xml:space="preserve">Decreasing export of each industry in Canada’s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852988" cy="2507108"/>
            <wp:effectExtent b="0" l="0" r="0" t="0"/>
            <wp:docPr id="22" name="image7.jpg"/>
            <a:graphic>
              <a:graphicData uri="http://schemas.openxmlformats.org/drawingml/2006/picture">
                <pic:pic>
                  <pic:nvPicPr>
                    <pic:cNvPr id="0" name="image7.jpg"/>
                    <pic:cNvPicPr preferRelativeResize="0"/>
                  </pic:nvPicPr>
                  <pic:blipFill>
                    <a:blip r:embed="rId34"/>
                    <a:srcRect b="0" l="0" r="0" t="0"/>
                    <a:stretch>
                      <a:fillRect/>
                    </a:stretch>
                  </pic:blipFill>
                  <pic:spPr>
                    <a:xfrm>
                      <a:off x="0" y="0"/>
                      <a:ext cx="4852988" cy="250710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jc w:val="center"/>
        <w:rPr>
          <w:sz w:val="22"/>
          <w:szCs w:val="22"/>
        </w:rPr>
      </w:pPr>
      <w:r w:rsidDel="00000000" w:rsidR="00000000" w:rsidRPr="00000000">
        <w:rPr>
          <w:sz w:val="22"/>
          <w:szCs w:val="22"/>
          <w:rtl w:val="0"/>
        </w:rPr>
        <w:t xml:space="preserve">Canada Contingency Strategy 2018</w:t>
      </w:r>
    </w:p>
    <w:p w:rsidR="00000000" w:rsidDel="00000000" w:rsidP="00000000" w:rsidRDefault="00000000" w:rsidRPr="00000000" w14:paraId="0000017C">
      <w:pPr>
        <w:pageBreakBefore w:val="0"/>
        <w:jc w:val="center"/>
        <w:rPr>
          <w:sz w:val="22"/>
          <w:szCs w:val="22"/>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F">
      <w:pPr>
        <w:pageBreakBefore w:val="0"/>
        <w:jc w:val="both"/>
        <w:rPr>
          <w:b w:val="1"/>
          <w:bCs w:val="1"/>
        </w:rPr>
      </w:pPr>
      <w:r w:rsidDel="00000000" w:rsidR="00000000" w:rsidRPr="00000000">
        <w:rPr>
          <w:rtl w:val="0"/>
        </w:rPr>
      </w:r>
    </w:p>
    <w:p w:rsidR="00000000" w:rsidDel="00000000" w:rsidP="00000000" w:rsidRDefault="00000000" w:rsidRPr="00000000" w14:paraId="00000180">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1">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4">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D">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E">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b w:val="1"/>
          <w:bCs w:val="1"/>
        </w:rPr>
      </w:pPr>
      <w:r w:rsidDel="00000000" w:rsidR="00000000" w:rsidRPr="00000000">
        <w:rPr>
          <w:b w:val="1"/>
          <w:bCs w:val="1"/>
          <w:rtl w:val="0"/>
        </w:rPr>
        <w:t xml:space="preserve">5.2 SOI of Canada and Its Implications</w:t>
      </w:r>
    </w:p>
    <w:p w:rsidR="00000000" w:rsidDel="00000000" w:rsidP="00000000" w:rsidRDefault="00000000" w:rsidRPr="00000000" w14:paraId="00000191">
      <w:pPr>
        <w:pageBreakBefore w:val="0"/>
        <w:jc w:val="both"/>
        <w:rPr/>
      </w:pPr>
      <w:r w:rsidDel="00000000" w:rsidR="00000000" w:rsidRPr="00000000">
        <w:rPr>
          <w:rtl w:val="0"/>
        </w:rPr>
        <w:t xml:space="preserve">Canada for instance, has a high level of structural optimality as compared with its developed peers. As the regression in Figure 7 suggests (the orange curve represents export increase and the blue curve stands for opportunity gain of the corresponding industry), Canada demonstrates an average level of correlation with the suggested developmental path, having an adjusted R-square of around 19.5%. Canada ranks in top quartile among all countries in terms of SOI and has made a low rate of economic progress below its developed peers from 2013 to 2018 with a 5-year GDP growth rate of 14.4%, which is consistent with the regression result in Figure 6. This is in direct contrast to other developed economies such as Japan, where there is low SOI of around -5.7% and a corresponding GDP growth of 9.05% from 2013 to 2018, making it a much slower developing economy during the period. In sum, Canada’s mixed economic progress from 2013 to 2018 can be at least partially explained by a development strategy that demonstrates a decent, but not perfect, level of matches with our suggested developmental path. In specific, Canada invested heavily in the Transportation industry, while it should have focused more on more complex industry groups such as Energy Drilling and Mining. That being said, it stayed fairly in line with our expectations in the chemicals and textiles industry.</w:t>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drawing>
          <wp:inline distB="114300" distT="114300" distL="114300" distR="114300">
            <wp:extent cx="5734050" cy="2298700"/>
            <wp:effectExtent b="0" l="0" r="0" t="0"/>
            <wp:docPr id="12" name="image31.png"/>
            <a:graphic>
              <a:graphicData uri="http://schemas.openxmlformats.org/drawingml/2006/picture">
                <pic:pic>
                  <pic:nvPicPr>
                    <pic:cNvPr id="0" name="image31.png"/>
                    <pic:cNvPicPr preferRelativeResize="0"/>
                  </pic:nvPicPr>
                  <pic:blipFill>
                    <a:blip r:embed="rId36"/>
                    <a:srcRect b="0" l="1683" r="1683"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ageBreakBefore w:val="0"/>
        <w:jc w:val="center"/>
        <w:rPr>
          <w:b w:val="1"/>
          <w:bCs w:val="1"/>
        </w:rPr>
      </w:pPr>
      <w:r w:rsidDel="00000000" w:rsidR="00000000" w:rsidRPr="00000000">
        <w:rPr>
          <w:rtl w:val="0"/>
        </w:rPr>
        <w:t xml:space="preserve">Figure 7: SOI of Canada (2009-2014)</w:t>
      </w:r>
      <w:r w:rsidDel="00000000" w:rsidR="00000000" w:rsidRPr="00000000">
        <w:rPr>
          <w:rtl w:val="0"/>
        </w:rPr>
      </w:r>
    </w:p>
    <w:p w:rsidR="00000000" w:rsidDel="00000000" w:rsidP="00000000" w:rsidRDefault="00000000" w:rsidRPr="00000000" w14:paraId="00000195">
      <w:pPr>
        <w:pageBreakBefore w:val="0"/>
        <w:jc w:val="both"/>
        <w:rPr>
          <w:b w:val="1"/>
          <w:bCs w:val="1"/>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rtl w:val="0"/>
        </w:rPr>
      </w:r>
    </w:p>
    <w:p w:rsidR="00000000" w:rsidDel="00000000" w:rsidP="00000000" w:rsidRDefault="00000000" w:rsidRPr="00000000" w14:paraId="0000019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t xml:space="preserve">In conclusion, Canada.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Canada on the industry group level. The product classification system we adopt allows us to measure the realized industry development for various industry groups and to observe that </w:t>
      </w:r>
      <w:r w:rsidDel="00000000" w:rsidR="00000000" w:rsidRPr="00000000">
        <w:rPr>
          <w:rtl w:val="0"/>
        </w:rPr>
        <w:t xml:space="preserve">Canada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Based on our analysis of the opportunity gain and a sensitivity analysis of major industry groups, Canada can further its gains by prioritizing High Complexity Products, Transportation, and Machinery and Construction. We further note that Canada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Canada,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9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9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1">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30.png"/><Relationship Id="rId22" Type="http://schemas.openxmlformats.org/officeDocument/2006/relationships/image" Target="media/image25.png"/><Relationship Id="rId21" Type="http://schemas.openxmlformats.org/officeDocument/2006/relationships/image" Target="media/image28.png"/><Relationship Id="rId24" Type="http://schemas.openxmlformats.org/officeDocument/2006/relationships/image" Target="media/image6.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7.jpg"/><Relationship Id="rId25" Type="http://schemas.openxmlformats.org/officeDocument/2006/relationships/image" Target="media/image3.jpg"/><Relationship Id="rId28" Type="http://schemas.openxmlformats.org/officeDocument/2006/relationships/image" Target="media/image21.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5.jpg"/><Relationship Id="rId7" Type="http://schemas.openxmlformats.org/officeDocument/2006/relationships/image" Target="media/image16.png"/><Relationship Id="rId8" Type="http://schemas.openxmlformats.org/officeDocument/2006/relationships/image" Target="media/image8.png"/><Relationship Id="rId31" Type="http://schemas.openxmlformats.org/officeDocument/2006/relationships/image" Target="media/image23.jpg"/><Relationship Id="rId30" Type="http://schemas.openxmlformats.org/officeDocument/2006/relationships/image" Target="media/image12.jpg"/><Relationship Id="rId11" Type="http://schemas.openxmlformats.org/officeDocument/2006/relationships/image" Target="media/image13.jpg"/><Relationship Id="rId33" Type="http://schemas.openxmlformats.org/officeDocument/2006/relationships/image" Target="media/image18.jpg"/><Relationship Id="rId10" Type="http://schemas.openxmlformats.org/officeDocument/2006/relationships/image" Target="media/image24.png"/><Relationship Id="rId32" Type="http://schemas.openxmlformats.org/officeDocument/2006/relationships/image" Target="media/image11.jpg"/><Relationship Id="rId13" Type="http://schemas.openxmlformats.org/officeDocument/2006/relationships/image" Target="media/image27.png"/><Relationship Id="rId35" Type="http://schemas.openxmlformats.org/officeDocument/2006/relationships/image" Target="media/image10.png"/><Relationship Id="rId12" Type="http://schemas.openxmlformats.org/officeDocument/2006/relationships/image" Target="media/image26.png"/><Relationship Id="rId34" Type="http://schemas.openxmlformats.org/officeDocument/2006/relationships/image" Target="media/image7.jpg"/><Relationship Id="rId15" Type="http://schemas.openxmlformats.org/officeDocument/2006/relationships/image" Target="media/image5.png"/><Relationship Id="rId37" Type="http://schemas.openxmlformats.org/officeDocument/2006/relationships/header" Target="header1.xml"/><Relationship Id="rId14" Type="http://schemas.openxmlformats.org/officeDocument/2006/relationships/image" Target="media/image14.png"/><Relationship Id="rId36" Type="http://schemas.openxmlformats.org/officeDocument/2006/relationships/image" Target="media/image31.png"/><Relationship Id="rId17" Type="http://schemas.openxmlformats.org/officeDocument/2006/relationships/image" Target="media/image9.png"/><Relationship Id="rId39" Type="http://schemas.openxmlformats.org/officeDocument/2006/relationships/footer" Target="footer3.xml"/><Relationship Id="rId16" Type="http://schemas.openxmlformats.org/officeDocument/2006/relationships/image" Target="media/image4.png"/><Relationship Id="rId38" Type="http://schemas.openxmlformats.org/officeDocument/2006/relationships/footer" Target="footer2.xml"/><Relationship Id="rId19" Type="http://schemas.openxmlformats.org/officeDocument/2006/relationships/image" Target="media/image2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