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3" name="image17.png"/>
            <a:graphic>
              <a:graphicData uri="http://schemas.openxmlformats.org/drawingml/2006/picture">
                <pic:pic>
                  <pic:nvPicPr>
                    <pic:cNvPr descr="horizontal line" id="0" name="image17.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24.png"/>
            <a:graphic>
              <a:graphicData uri="http://schemas.openxmlformats.org/drawingml/2006/picture">
                <pic:pic>
                  <pic:nvPicPr>
                    <pic:cNvPr id="0" name="image2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Chile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Chile</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Chile went through during the period from 2013 to 2018. Specifically, we dive into the topic through a macroeconomic overview of Chile from the perspective of Gross Domestic Product (GDP) and Economic Complexity Index (ECI), which reflect countries’ production capability and production structure, respectively. We find that during the period of our interest, Chile demonstrated a moderate level of economic growth with an average annual GDP growth rate of 3.09%, concurrent with a slight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Chile on the industry group level. The product classification system we adopt allows us to measure the realized industry development for various industry groups and to observe that Chile c</w:t>
      </w:r>
      <w:r w:rsidDel="00000000" w:rsidR="00000000" w:rsidRPr="00000000">
        <w:rPr>
          <w:rtl w:val="0"/>
        </w:rPr>
        <w:t xml:space="preserve">onsistently relied on developing the Services and Utilities and Transportation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Chile can further its gains by prioritizing a combination of sectors, most notably Services and Utilities and Chemical Manufacturing. We further note that Chile has a slightly mismatched development strategy that indicates an average (compared to other emerging economies) level of structural optimality on the complexity level, having an adjusted R-square of around 3.34%. Since a significant positive correlation exists between five-year GDP growth and the structural optimality index of an economy as we define and calculate, Chile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Chile went through during the period from 2013 to 2018. Specifically, we dive into the topic through a macroeconomic overview of Chile from the perspective of Gross Domestic Product (GDP) and Economic Complexity Index (ECI), which reflect countries’ production capability and production structure, respectively. We then analyze the industrial framework and changes of Chile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Chile,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Chile and three of its peer countries (the Argentina, Bolivia, and Peru) from 2013-2018. Chile displays consistent growth in small increments, a pattern similar to its peers with the exception of Argentina, which is slightly more volatile. Chile’s average annual growth rate of 3.09% over the five-year period is distinctly lower than both its closest peer, Peru (4.13%), and the lower-magnitude-GDP Bolivia (5.29%). However, its growth rate is much closer to these two countries than to Argentina (1.12%). </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4095750" cy="253365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957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explains the knowledge accumulated in a country's population. As illustrated in Figure 2 below, Chile exhibits a significant decrease (-50.24% ECI change) in terms of its production capability from 2013 to 2018, which is similar to Argentina (-33.91%) but sharply lower than both Peru (-1.76%) and Bolivia (23.23%). The large ECI (and ECI change) contrast between Chile and Peru, which are peers in terms of GDP, is vital to note.</w:t>
        <w:tab/>
        <w:tab/>
        <w:tab/>
        <w:tab/>
        <w:tab/>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3867150" cy="25527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86715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     </w:t>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drawing>
          <wp:inline distB="114300" distT="114300" distL="114300" distR="114300">
            <wp:extent cx="4371975" cy="259080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719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(Chile)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Chile. The increasing-higher-rate increase in GDP growth during the period from 2013 to 2018 is accompanied by a volatile eventual decrease in ECI. The results show that the economic growth experienced by Chile during the period from 2013 to 2018 is partially consistent with the predictions by ECI and that Chile’s ability to develop a competitive product space that helped to accumulate complicated knowledge and technology declined as growth occurred. In order to provide a more concrete answer to why this has happened, we will dive into an analysis of Chile’s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Chile’s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020725" cy="4126088"/>
            <wp:effectExtent b="0" l="0" r="0" t="0"/>
            <wp:docPr id="20"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2020725" cy="412608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Chile</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Chile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pPr>
      <w:r w:rsidDel="00000000" w:rsidR="00000000" w:rsidRPr="00000000">
        <w:rPr>
          <w:rtl w:val="0"/>
        </w:rPr>
        <w:t xml:space="preserve">Table 4 further examines Chile’s development strategy against those of emerging economies on a global scale. Reasonably, emerging economies such as China, South Korea, Singapore and India have devoted the majority of their efforts into intermediate industry groups. </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pPr>
      <w:r w:rsidDel="00000000" w:rsidR="00000000" w:rsidRPr="00000000">
        <w:rPr>
          <w:rtl w:val="0"/>
        </w:rPr>
      </w:r>
    </w:p>
    <w:p w:rsidR="00000000" w:rsidDel="00000000" w:rsidP="00000000" w:rsidRDefault="00000000" w:rsidRPr="00000000" w14:paraId="000000CD">
      <w:pPr>
        <w:pageBreakBefore w:val="0"/>
        <w:jc w:val="both"/>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rtl w:val="0"/>
        </w:rPr>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D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1">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2">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3">
      <w:pPr>
        <w:pageBreakBefore w:val="0"/>
        <w:jc w:val="both"/>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drawing>
          <wp:inline distB="114300" distT="114300" distL="114300" distR="114300">
            <wp:extent cx="5731200" cy="2933700"/>
            <wp:effectExtent b="0" l="0" r="0" t="0"/>
            <wp:docPr id="2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jc w:val="both"/>
        <w:rPr/>
      </w:pPr>
      <w:r w:rsidDel="00000000" w:rsidR="00000000" w:rsidRPr="00000000">
        <w:rPr/>
        <w:drawing>
          <wp:inline distB="114300" distT="114300" distL="114300" distR="114300">
            <wp:extent cx="5731200" cy="2921000"/>
            <wp:effectExtent b="0" l="0" r="0" t="0"/>
            <wp:docPr id="27"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Opportunity Gain Ranking on a Comparable Scale for 2013(up) and 2018 (down)</w:t>
      </w: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Chile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drawing>
          <wp:inline distB="114300" distT="114300" distL="114300" distR="114300">
            <wp:extent cx="5734050" cy="2273300"/>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b w:val="1"/>
          <w:bCs w:val="1"/>
        </w:rPr>
      </w:pPr>
      <w:r w:rsidDel="00000000" w:rsidR="00000000" w:rsidRPr="00000000">
        <w:rPr>
          <w:rtl w:val="0"/>
        </w:rPr>
      </w:r>
    </w:p>
    <w:p w:rsidR="00000000" w:rsidDel="00000000" w:rsidP="00000000" w:rsidRDefault="00000000" w:rsidRPr="00000000" w14:paraId="0000011F">
      <w:pPr>
        <w:pageBreakBefore w:val="0"/>
        <w:ind w:right="-720"/>
        <w:jc w:val="both"/>
        <w:rPr/>
      </w:pPr>
      <w:r w:rsidDel="00000000" w:rsidR="00000000" w:rsidRPr="00000000">
        <w:rPr>
          <w:rtl w:val="0"/>
        </w:rPr>
        <w:t xml:space="preserve">Below is the economic panel for Chile in 2013. We can see that for different percentages of heuristic total export growth, the ECIs of Chile actually have different amounts of increments. Overall, 5 percent export growth results in a ECI improvement pattern starting from around -0.28 and ends at around 0.02. As the budget is increased to 10 percent export growth, the ECI of Chile can achieve a slightly higher level, which is around 0.16. With much more growth budget, like 15 or 20 percent growth, Chile is able to achieve an even much higher stage, which is around 0.41. </w:t>
      </w:r>
    </w:p>
    <w:p w:rsidR="00000000" w:rsidDel="00000000" w:rsidP="00000000" w:rsidRDefault="00000000" w:rsidRPr="00000000" w14:paraId="00000120">
      <w:pPr>
        <w:pageBreakBefore w:val="0"/>
        <w:ind w:right="-720"/>
        <w:jc w:val="both"/>
        <w:rPr/>
      </w:pPr>
      <w:r w:rsidDel="00000000" w:rsidR="00000000" w:rsidRPr="00000000">
        <w:rPr>
          <w:rtl w:val="0"/>
        </w:rPr>
        <w:t xml:space="preserve"> </w:t>
      </w:r>
    </w:p>
    <w:p w:rsidR="00000000" w:rsidDel="00000000" w:rsidP="00000000" w:rsidRDefault="00000000" w:rsidRPr="00000000" w14:paraId="00000121">
      <w:pPr>
        <w:pageBreakBefore w:val="0"/>
        <w:ind w:right="-720"/>
        <w:jc w:val="both"/>
        <w:rPr/>
      </w:pPr>
      <w:r w:rsidDel="00000000" w:rsidR="00000000" w:rsidRPr="00000000">
        <w:rPr>
          <w:rtl w:val="0"/>
        </w:rPr>
        <w:t xml:space="preserve">For the case of 5 percent export growth, clothing and accessories, services and utilities account for most of the portfolio. For 10 percent export growth, the portfolio becomes more diverse. In addition to the products mentioned before, chemicals and daily instruments are added as main components as well. With 15 percent growth, one of the main factors in the portfolio of 10 percent growth budget, daily instruments, is replaced by machinery and construction. When the budget increases to 20 percent, the portfolio becomes pretty comprehensive, which mainly contains chemicals, animal and by-products, textile and machinery and construction etc. In these four ECI improvement trajectories, we also notice that the largest improvement comes from raw manufacturing, suggesting that with a low economic improvement anticipation, Chile should focus more on developing these products. A more detailed numerical representation of the portfolio is shown in Table 8.</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863714" cy="1938338"/>
            <wp:effectExtent b="0" l="0" r="0" t="0"/>
            <wp:docPr id="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863714" cy="1938338"/>
                    </a:xfrm>
                    <a:prstGeom prst="rect"/>
                    <a:ln/>
                  </pic:spPr>
                </pic:pic>
              </a:graphicData>
            </a:graphic>
          </wp:inline>
        </w:drawing>
      </w:r>
      <w:r w:rsidDel="00000000" w:rsidR="00000000" w:rsidRPr="00000000">
        <w:rPr/>
        <w:drawing>
          <wp:inline distB="114300" distT="114300" distL="114300" distR="114300">
            <wp:extent cx="5779423" cy="1824038"/>
            <wp:effectExtent b="0" l="0" r="0" t="0"/>
            <wp:docPr id="26" name="image22.png"/>
            <a:graphic>
              <a:graphicData uri="http://schemas.openxmlformats.org/drawingml/2006/picture">
                <pic:pic>
                  <pic:nvPicPr>
                    <pic:cNvPr id="0" name="image22.png"/>
                    <pic:cNvPicPr preferRelativeResize="0"/>
                  </pic:nvPicPr>
                  <pic:blipFill>
                    <a:blip r:embed="rId18"/>
                    <a:srcRect b="7538" l="3156" r="0" t="0"/>
                    <a:stretch>
                      <a:fillRect/>
                    </a:stretch>
                  </pic:blipFill>
                  <pic:spPr>
                    <a:xfrm>
                      <a:off x="0" y="0"/>
                      <a:ext cx="5779423"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Figure 5: Greedy Based ECI Improvement Results of Chile in 2013 with Different Budgets</w:t>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731200" cy="1333500"/>
            <wp:effectExtent b="0" l="0" r="0" t="0"/>
            <wp:docPr id="2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Table 8: Portfolio of Chile in 2013</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spacing w:after="240" w:lineRule="auto"/>
        <w:jc w:val="both"/>
        <w:rPr/>
      </w:pPr>
      <w:r w:rsidDel="00000000" w:rsidR="00000000" w:rsidRPr="00000000">
        <w:rPr>
          <w:rtl w:val="0"/>
        </w:rPr>
        <w:t xml:space="preserve">For further suggestions on Chile’s development in the future. We also offer the optimization result based on its export data in 2018. Below is the economic panel for Chile in 2018. With 5 percent export growth, Chile should mainly focus on developing clothing and accessories as well as services and utilities, which is similar to the result in 2013. As the budget grows to 10 percent, the main components contain precious stones, raw manufacturing, chemical manufacturing and services and utilities. For situations with higher budgets of investment, like 15 or 20 percent growth, although improvement patterns are similar, the portfolio obtained from a higher budget tends to be more comprehensive. With 15 percent export growth, the main components in the portfolio include daily instruments, chemical manufacturing and services and utilities. However, for the case of 20 percent growth, the allocation puts more weight on services and utilities, rather than daily instruments. A more detailed numerical representation of the portfolio is shown in Table 9.</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5978972" cy="1976438"/>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78972" cy="1976438"/>
                    </a:xfrm>
                    <a:prstGeom prst="rect"/>
                    <a:ln/>
                  </pic:spPr>
                </pic:pic>
              </a:graphicData>
            </a:graphic>
          </wp:inline>
        </w:drawing>
      </w:r>
      <w:r w:rsidDel="00000000" w:rsidR="00000000" w:rsidRPr="00000000">
        <w:rPr/>
        <w:drawing>
          <wp:inline distB="114300" distT="114300" distL="114300" distR="114300">
            <wp:extent cx="5929313" cy="1805787"/>
            <wp:effectExtent b="0" l="0" r="0" t="0"/>
            <wp:docPr id="17" name="image16.png"/>
            <a:graphic>
              <a:graphicData uri="http://schemas.openxmlformats.org/drawingml/2006/picture">
                <pic:pic>
                  <pic:nvPicPr>
                    <pic:cNvPr id="0" name="image16.png"/>
                    <pic:cNvPicPr preferRelativeResize="0"/>
                  </pic:nvPicPr>
                  <pic:blipFill>
                    <a:blip r:embed="rId21"/>
                    <a:srcRect b="9548" l="1495" r="0" t="0"/>
                    <a:stretch>
                      <a:fillRect/>
                    </a:stretch>
                  </pic:blipFill>
                  <pic:spPr>
                    <a:xfrm>
                      <a:off x="0" y="0"/>
                      <a:ext cx="5929313" cy="180578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Chile in 2018 with Different Budgets</w:t>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1435100"/>
            <wp:effectExtent b="0" l="0" r="0" t="0"/>
            <wp:docPr id="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Chile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 our broad aim is to understand how sensitive Chile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5.jpg"/>
            <a:graphic>
              <a:graphicData uri="http://schemas.openxmlformats.org/drawingml/2006/picture">
                <pic:pic>
                  <pic:nvPicPr>
                    <pic:cNvPr id="0" name="image5.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11" name="image6.jpg"/>
            <a:graphic>
              <a:graphicData uri="http://schemas.openxmlformats.org/drawingml/2006/picture">
                <pic:pic>
                  <pic:nvPicPr>
                    <pic:cNvPr id="0" name="image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is Chile’s 2018 ECI Sensitivity Charts. Firstly in the positive chart, we notice immediately an increase in export in none of the industries lead to an increase in ECI score. We need to increase exports in a combination of industries in order to truly increase ECI score. Additionally an increase of export in many of the industries lead to slight decreases in ECI.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 we consider Chile’s 2018 Negative Shock chart. We see that Chile is especially sensitive to drawdown in Raw Manufacturing, Weapons, and Chemicals suggesting that these are key industries for the stability of the country’s ECI score.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jc w:val="both"/>
        <w:rPr>
          <w:b w:val="1"/>
          <w:bCs w:val="1"/>
        </w:rPr>
      </w:pPr>
      <w:r w:rsidDel="00000000" w:rsidR="00000000" w:rsidRPr="00000000">
        <w:rPr>
          <w:b w:val="1"/>
          <w:bCs w:val="1"/>
        </w:rPr>
        <w:drawing>
          <wp:inline distB="114300" distT="114300" distL="114300" distR="114300">
            <wp:extent cx="5731200" cy="3073400"/>
            <wp:effectExtent b="0" l="0" r="0" t="0"/>
            <wp:docPr id="14"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center"/>
        <w:rPr>
          <w:b w:val="1"/>
          <w:bCs w:val="1"/>
        </w:rPr>
      </w:pPr>
      <w:r w:rsidDel="00000000" w:rsidR="00000000" w:rsidRPr="00000000">
        <w:rPr>
          <w:rtl w:val="0"/>
        </w:rPr>
        <w:t xml:space="preserve">Chile 2018 (Incremental ECI Sensitivity)</w:t>
      </w: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18"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center"/>
        <w:rPr/>
      </w:pPr>
      <w:r w:rsidDel="00000000" w:rsidR="00000000" w:rsidRPr="00000000">
        <w:rPr>
          <w:rtl w:val="0"/>
        </w:rPr>
        <w:t xml:space="preserve">Chile 2018 (Decremental  ECI Sensitivity)</w:t>
      </w:r>
    </w:p>
    <w:p w:rsidR="00000000" w:rsidDel="00000000" w:rsidP="00000000" w:rsidRDefault="00000000" w:rsidRPr="00000000" w14:paraId="00000156">
      <w:pPr>
        <w:pageBreakBefore w:val="0"/>
        <w:jc w:val="center"/>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Next we consider the 2013 ECI Sensitivity graphs. In the positive shocking case we see very similar behaviour as in 2018 although it is quite amplified. We see that increase in export for most industries actually decreases the ECI score. </w:t>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t xml:space="preserve">In the negative shocking case we see again Chile is quite sensitive to decreases in Raw Manufacturing and Chemicals, even more so than we see in 2018. Large decreases in Energy, Drilling &amp; Mining seem to increase the ECI score suggesting that this is a suboptimal industry for Chile to expand into.  </w:t>
      </w:r>
    </w:p>
    <w:p w:rsidR="00000000" w:rsidDel="00000000" w:rsidP="00000000" w:rsidRDefault="00000000" w:rsidRPr="00000000" w14:paraId="0000015A">
      <w:pPr>
        <w:pageBreakBefore w:val="0"/>
        <w:jc w:val="both"/>
        <w:rPr>
          <w:b w:val="1"/>
          <w:bCs w:val="1"/>
        </w:rPr>
      </w:pPr>
      <w:r w:rsidDel="00000000" w:rsidR="00000000" w:rsidRPr="00000000">
        <w:rPr>
          <w:b w:val="1"/>
          <w:bCs w:val="1"/>
        </w:rPr>
        <w:drawing>
          <wp:inline distB="114300" distT="114300" distL="114300" distR="114300">
            <wp:extent cx="5731200" cy="2921000"/>
            <wp:effectExtent b="0" l="0" r="0" t="0"/>
            <wp:docPr id="24"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Chile 2013 (Incremental ECI Sensitivity)</w:t>
      </w:r>
    </w:p>
    <w:p w:rsidR="00000000" w:rsidDel="00000000" w:rsidP="00000000" w:rsidRDefault="00000000" w:rsidRPr="00000000" w14:paraId="0000015C">
      <w:pPr>
        <w:pageBreakBefore w:val="0"/>
        <w:jc w:val="both"/>
        <w:rPr>
          <w:b w:val="1"/>
          <w:bCs w:val="1"/>
        </w:rPr>
      </w:pP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2971800"/>
            <wp:effectExtent b="0" l="0" r="0" t="0"/>
            <wp:docPr id="2" name="image20.jpg"/>
            <a:graphic>
              <a:graphicData uri="http://schemas.openxmlformats.org/drawingml/2006/picture">
                <pic:pic>
                  <pic:nvPicPr>
                    <pic:cNvPr id="0" name="image20.jpg"/>
                    <pic:cNvPicPr preferRelativeResize="0"/>
                  </pic:nvPicPr>
                  <pic:blipFill>
                    <a:blip r:embed="rId2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Chile 2013 (Decremental  ECI Sensitivity)</w:t>
      </w:r>
    </w:p>
    <w:p w:rsidR="00000000" w:rsidDel="00000000" w:rsidP="00000000" w:rsidRDefault="00000000" w:rsidRPr="00000000" w14:paraId="0000015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1">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t xml:space="preserve">Decreasing export of each industry in Chile’s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6">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205288" cy="2228383"/>
            <wp:effectExtent b="0" l="0" r="0" t="0"/>
            <wp:docPr id="19"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4205288" cy="222838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ageBreakBefore w:val="0"/>
        <w:jc w:val="center"/>
        <w:rPr>
          <w:sz w:val="22"/>
          <w:szCs w:val="22"/>
        </w:rPr>
      </w:pPr>
      <w:r w:rsidDel="00000000" w:rsidR="00000000" w:rsidRPr="00000000">
        <w:rPr>
          <w:sz w:val="22"/>
          <w:szCs w:val="22"/>
          <w:rtl w:val="0"/>
        </w:rPr>
        <w:t xml:space="preserve">Chile Contingency Strategy 2018</w:t>
      </w:r>
    </w:p>
    <w:p w:rsidR="00000000" w:rsidDel="00000000" w:rsidP="00000000" w:rsidRDefault="00000000" w:rsidRPr="00000000" w14:paraId="00000168">
      <w:pPr>
        <w:pageBreakBefore w:val="0"/>
        <w:jc w:val="left"/>
        <w:rPr>
          <w:sz w:val="28"/>
          <w:szCs w:val="28"/>
        </w:rPr>
      </w:pP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rtl w:val="0"/>
        </w:rPr>
      </w:r>
    </w:p>
    <w:p w:rsidR="00000000" w:rsidDel="00000000" w:rsidP="00000000" w:rsidRDefault="00000000" w:rsidRPr="00000000" w14:paraId="0000016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E">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1">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A">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B">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C">
      <w:pPr>
        <w:pageBreakBefore w:val="0"/>
        <w:jc w:val="both"/>
        <w:rPr/>
      </w:pPr>
      <w:r w:rsidDel="00000000" w:rsidR="00000000" w:rsidRPr="00000000">
        <w:rPr>
          <w:rtl w:val="0"/>
        </w:rPr>
      </w:r>
    </w:p>
    <w:p w:rsidR="00000000" w:rsidDel="00000000" w:rsidP="00000000" w:rsidRDefault="00000000" w:rsidRPr="00000000" w14:paraId="0000017D">
      <w:pPr>
        <w:pageBreakBefore w:val="0"/>
        <w:jc w:val="both"/>
        <w:rPr>
          <w:b w:val="1"/>
          <w:bCs w:val="1"/>
        </w:rPr>
      </w:pPr>
      <w:r w:rsidDel="00000000" w:rsidR="00000000" w:rsidRPr="00000000">
        <w:rPr>
          <w:b w:val="1"/>
          <w:bCs w:val="1"/>
          <w:rtl w:val="0"/>
        </w:rPr>
        <w:t xml:space="preserve">5.2 SOI of Chile and Its Implications</w:t>
      </w:r>
    </w:p>
    <w:p w:rsidR="00000000" w:rsidDel="00000000" w:rsidP="00000000" w:rsidRDefault="00000000" w:rsidRPr="00000000" w14:paraId="0000017E">
      <w:pPr>
        <w:pageBreakBefore w:val="0"/>
        <w:jc w:val="both"/>
        <w:rPr/>
      </w:pPr>
      <w:r w:rsidDel="00000000" w:rsidR="00000000" w:rsidRPr="00000000">
        <w:rPr>
          <w:rtl w:val="0"/>
        </w:rPr>
        <w:t xml:space="preserve">Chile for instance, has an average level of structural optimality as compared with its emerging peers. As the regression in Figure 7 suggests (the orange curve represents export increase and the blue curve stands for opportunity gain of the corresponding industry), Chile demonstrates an average level of correlation with the suggested developmental path, having an adjusted R-square of around 3.34%. Chile ranks in the second quartile among all countries in terms of SOI and has made an average rate of economic progress among its emerging peers from 2013 to 2018 with a 5-year GDP growth rate of 19.8%, which is consistent with the regression result in Figure 6. This is in direct contrast to other emerging economies such as Turkey, where there is high SOI of around 21.8% and a corresponding GDP growth of 36.7% from 2013 to 2018, making it one of the fastest developing economies during the period. In sum, Chile’s stable economic progress from 2013 to 2018 can be at least partially explained by a development strategy that demonstrates a decent but not perfect level of matches with our suggested developmental path. In specific, Chile invested heavily in the Services and Utilities industry, while it should have focused more on moderately complex industry groups such as the Energy Drilling/Mining and Precious Stones industry. </w:t>
      </w:r>
    </w:p>
    <w:p w:rsidR="00000000" w:rsidDel="00000000" w:rsidP="00000000" w:rsidRDefault="00000000" w:rsidRPr="00000000" w14:paraId="0000017F">
      <w:pPr>
        <w:pageBreakBefore w:val="0"/>
        <w:jc w:val="both"/>
        <w:rPr/>
      </w:pP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drawing>
          <wp:inline distB="114300" distT="114300" distL="114300" distR="114300">
            <wp:extent cx="6155671" cy="2295525"/>
            <wp:effectExtent b="0" l="0" r="0" t="0"/>
            <wp:docPr id="16"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6155671"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center"/>
        <w:rPr>
          <w:b w:val="1"/>
          <w:bCs w:val="1"/>
        </w:rPr>
      </w:pPr>
      <w:r w:rsidDel="00000000" w:rsidR="00000000" w:rsidRPr="00000000">
        <w:rPr>
          <w:rtl w:val="0"/>
        </w:rPr>
        <w:t xml:space="preserve">Figure 7: SOI of Chile (2013-2018)</w:t>
      </w:r>
      <w:r w:rsidDel="00000000" w:rsidR="00000000" w:rsidRPr="00000000">
        <w:rPr>
          <w:rtl w:val="0"/>
        </w:rPr>
      </w:r>
    </w:p>
    <w:p w:rsidR="00000000" w:rsidDel="00000000" w:rsidP="00000000" w:rsidRDefault="00000000" w:rsidRPr="00000000" w14:paraId="00000182">
      <w:pPr>
        <w:pageBreakBefore w:val="0"/>
        <w:jc w:val="both"/>
        <w:rPr>
          <w:b w:val="1"/>
          <w:bCs w:val="1"/>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5">
      <w:pPr>
        <w:pageBreakBefore w:val="0"/>
        <w:jc w:val="both"/>
        <w:rPr/>
      </w:pP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t xml:space="preserve">In conclusion, Chile has demonstrated a moderate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7">
      <w:pPr>
        <w:pageBreakBefore w:val="0"/>
        <w:jc w:val="both"/>
        <w:rPr/>
      </w:pPr>
      <w:r w:rsidDel="00000000" w:rsidR="00000000" w:rsidRPr="00000000">
        <w:rPr>
          <w:rtl w:val="0"/>
        </w:rPr>
      </w:r>
    </w:p>
    <w:p w:rsidR="00000000" w:rsidDel="00000000" w:rsidP="00000000" w:rsidRDefault="00000000" w:rsidRPr="00000000" w14:paraId="00000188">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Chile on the industry group level. The product classification system we adopt allows us to measure the realized industry development for various industry groups and to observe that Chile c</w:t>
      </w:r>
      <w:r w:rsidDel="00000000" w:rsidR="00000000" w:rsidRPr="00000000">
        <w:rPr>
          <w:rtl w:val="0"/>
        </w:rPr>
        <w:t xml:space="preserve">onsistently relied on developing the Services and Utilities and Transportation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Based on our analysis of the opportunity gain and a sensitivity analysis of major industry groups, Chile can further its gains by prioritizing a combination of sectors, most notably Services and Utilities and Chemical Manufacturing. We further note that Chile has a slightly mismatched development strategy that indicates an average (compared to other emerging economies) level of structural optimality on the complexity level, having an adjusted R-square of around 3.34%. Since a significant positive correlation exists between five-year GDP growth and the structural optimality index of an economy as we define and calculate, Chile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C">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E">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8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0">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2">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4">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6">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8">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C">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D">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6.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9.jpg"/><Relationship Id="rId25" Type="http://schemas.openxmlformats.org/officeDocument/2006/relationships/image" Target="media/image18.jpg"/><Relationship Id="rId28" Type="http://schemas.openxmlformats.org/officeDocument/2006/relationships/image" Target="media/image15.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0.jpg"/><Relationship Id="rId7" Type="http://schemas.openxmlformats.org/officeDocument/2006/relationships/image" Target="media/image24.png"/><Relationship Id="rId8" Type="http://schemas.openxmlformats.org/officeDocument/2006/relationships/image" Target="media/image9.png"/><Relationship Id="rId31" Type="http://schemas.openxmlformats.org/officeDocument/2006/relationships/image" Target="media/image13.png"/><Relationship Id="rId30" Type="http://schemas.openxmlformats.org/officeDocument/2006/relationships/image" Target="media/image2.jpg"/><Relationship Id="rId11" Type="http://schemas.openxmlformats.org/officeDocument/2006/relationships/image" Target="media/image10.jpg"/><Relationship Id="rId33" Type="http://schemas.openxmlformats.org/officeDocument/2006/relationships/header" Target="header1.xml"/><Relationship Id="rId10" Type="http://schemas.openxmlformats.org/officeDocument/2006/relationships/image" Target="media/image11.png"/><Relationship Id="rId32" Type="http://schemas.openxmlformats.org/officeDocument/2006/relationships/image" Target="media/image27.png"/><Relationship Id="rId13" Type="http://schemas.openxmlformats.org/officeDocument/2006/relationships/image" Target="media/image26.png"/><Relationship Id="rId35" Type="http://schemas.openxmlformats.org/officeDocument/2006/relationships/footer" Target="footer3.xml"/><Relationship Id="rId12" Type="http://schemas.openxmlformats.org/officeDocument/2006/relationships/image" Target="media/image25.png"/><Relationship Id="rId34"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1.jpg"/><Relationship Id="rId36" Type="http://schemas.openxmlformats.org/officeDocument/2006/relationships/footer" Target="footer1.xml"/><Relationship Id="rId17" Type="http://schemas.openxmlformats.org/officeDocument/2006/relationships/image" Target="media/image7.png"/><Relationship Id="rId16" Type="http://schemas.openxmlformats.org/officeDocument/2006/relationships/image" Target="media/image3.png"/><Relationship Id="rId19" Type="http://schemas.openxmlformats.org/officeDocument/2006/relationships/image" Target="media/image23.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