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6.png"/>
            <a:graphic>
              <a:graphicData uri="http://schemas.openxmlformats.org/drawingml/2006/picture">
                <pic:pic>
                  <pic:nvPicPr>
                    <pic:cNvPr descr="horizontal line" id="0" name="image6.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3" name="image21.png"/>
            <a:graphic>
              <a:graphicData uri="http://schemas.openxmlformats.org/drawingml/2006/picture">
                <pic:pic>
                  <pic:nvPicPr>
                    <pic:cNvPr id="0" name="image2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Ireland</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Ireland</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Ireland went through during the period from 2013 to 2018. Specifically, we dive into the topic through a macroeconomic overview of Ireland from the perspective of Gross Domestic Product (GDP) and Economic Complexity Index (ECI), which reflect countries’ production capability and production structure, respectively. We find that during the period of our interest, Ireland demonstrated a high level of economic growth with an average annual GDP growth rate of 11.16%, concurrent with an increase in economic complexity as compared with other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progress during the period, we believe, can be partially explained through analysis of the economic and product complexity structure of Ireland on the industry group level. The product classification system we adopt allows us to measure the realized industry development for various industry groups and to observe that Irel</w:t>
      </w:r>
      <w:r w:rsidDel="00000000" w:rsidR="00000000" w:rsidRPr="00000000">
        <w:rPr>
          <w:rtl w:val="0"/>
        </w:rPr>
        <w:t xml:space="preserve">and consistently relied on developing the Vegetables, Fruits, and Plants, Services and Utilities, and Precious Stones industries during the period, while some of its developed counterparts and emerging economies around the globe adopted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Ireland can further its gains by prioritizing High-Complexity Products, Chemical Manufacturing, and Machinery. We further note that Ireland has a slightly mismatched development strategy that indicates a high level (compared to other developed countries) of structural optimality on the complexity level, having an adjusted R-square of around 20.8%. Since a significant positive correlation exists between five-year GDP growth and the structural optimality index of an economy as we define and calculate, this explains why Ireland has a comparable growth experience as compared with fast-growing economies both on a regional scale and on a global scale. However, despite its success, Ireland still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Ireland went through during the period from 2013 to 2018. Specifically, we dive into the topic through a macroeconomic overview of Ireland from the perspective of Gross Domestic Product (GDP) and Economic Complexity Index (ECI), which reflect countries’ production capability and production structure, respectively. We then analyze the industrial framework and changes of Ireland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Ireland,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Ireland and three of its peer countries (Finland, Denmark, New Zealand) from 2013-2018. In contrast to the other countries, which generally displayed either constant or upwards growth over all years, Ireland had volatile periods of high growth mixed in with periods of low growth. Therefore, Ireland’s average annual growth rate of 11.16% over the five-year period is clearly higher than its peers, which are 2.84%, 3.57%, and 3.71% for Finland, Denmark, and New Zealand,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3810000" cy="2505075"/>
            <wp:effectExtent b="0" l="0" r="0" t="0"/>
            <wp:docPr id="28"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8100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 below. Similar to its peers, Ireland exhibits ECI volatility over the period; however, Ireland is the only peer country to see an increase (13.61% change) in terms of its production capability from 2013 to 2018, as Finland, Denmark, and New Zealand all have -15.68%, -9.25%, and -37.37% ECI changes respectively.</w:t>
      </w:r>
    </w:p>
    <w:p w:rsidR="00000000" w:rsidDel="00000000" w:rsidP="00000000" w:rsidRDefault="00000000" w:rsidRPr="00000000" w14:paraId="00000021">
      <w:pPr>
        <w:pageBreakBefore w:val="0"/>
        <w:jc w:val="center"/>
        <w:rPr/>
      </w:pPr>
      <w:r w:rsidDel="00000000" w:rsidR="00000000" w:rsidRPr="00000000">
        <w:rPr/>
        <w:drawing>
          <wp:inline distB="114300" distT="114300" distL="114300" distR="114300">
            <wp:extent cx="3943350" cy="25527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9433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3">
      <w:pPr>
        <w:pageBreakBefore w:val="0"/>
        <w:jc w:val="center"/>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drawing>
          <wp:inline distB="114300" distT="114300" distL="114300" distR="114300">
            <wp:extent cx="4114800" cy="2524125"/>
            <wp:effectExtent b="0" l="0" r="0" t="0"/>
            <wp:docPr id="2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1148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Figure 3: GDP Growth and ECI (U.S.)</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Figure 3 offers a further comparison of GDP Growth and ECI over the time span from 2013 to 2018 for Ireland.. The increase in GDP growth during the period from 2013 to 2018 is accompanied by a more volatile eventual increase in ECI. The results show that the economic growth experienced by Ireland during the period from 2013 to 2018 is partially the predictions by ECI and that Ireland made strides on effectively developing a competitive product space that helps to accumulate complicated knowledge and technology. In order to provide a more concrete answer to why this has happened, we will dive into an analysis of Ireland’s production structure and its product space designs in the next few chapters. </w:t>
      </w:r>
    </w:p>
    <w:p w:rsidR="00000000" w:rsidDel="00000000" w:rsidP="00000000" w:rsidRDefault="00000000" w:rsidRPr="00000000" w14:paraId="00000028">
      <w:pPr>
        <w:pageBreakBefore w:val="0"/>
        <w:jc w:val="both"/>
        <w:rPr>
          <w:b w:val="1"/>
          <w:bCs w:val="1"/>
        </w:rPr>
      </w:pPr>
      <w:r w:rsidDel="00000000" w:rsidR="00000000" w:rsidRPr="00000000">
        <w:rPr>
          <w:rtl w:val="0"/>
        </w:rPr>
      </w:r>
    </w:p>
    <w:p w:rsidR="00000000" w:rsidDel="00000000" w:rsidP="00000000" w:rsidRDefault="00000000" w:rsidRPr="00000000" w14:paraId="0000002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B">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C">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F">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0">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1">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2">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3">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0">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C">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C">
            <w:pPr>
              <w:pageBreakBefore w:val="0"/>
              <w:jc w:val="center"/>
              <w:rPr/>
            </w:pPr>
            <w:r w:rsidDel="00000000" w:rsidR="00000000" w:rsidRPr="00000000">
              <w:rPr>
                <w:rtl w:val="0"/>
              </w:rPr>
            </w:r>
          </w:p>
        </w:tc>
        <w:tc>
          <w:tcPr/>
          <w:p w:rsidR="00000000" w:rsidDel="00000000" w:rsidP="00000000" w:rsidRDefault="00000000" w:rsidRPr="00000000" w14:paraId="0000005D">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0">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1">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5">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r>
    </w:tbl>
    <w:p w:rsidR="00000000" w:rsidDel="00000000" w:rsidP="00000000" w:rsidRDefault="00000000" w:rsidRPr="00000000" w14:paraId="0000006C">
      <w:pPr>
        <w:pageBreakBefore w:val="0"/>
        <w:jc w:val="center"/>
        <w:rPr/>
      </w:pPr>
      <w:r w:rsidDel="00000000" w:rsidR="00000000" w:rsidRPr="00000000">
        <w:rPr>
          <w:rtl w:val="0"/>
        </w:rPr>
      </w:r>
    </w:p>
    <w:p w:rsidR="00000000" w:rsidDel="00000000" w:rsidP="00000000" w:rsidRDefault="00000000" w:rsidRPr="00000000" w14:paraId="0000006D">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E">
      <w:pPr>
        <w:pageBreakBefore w:val="0"/>
        <w:jc w:val="both"/>
        <w:rPr/>
      </w:pPr>
      <w:r w:rsidDel="00000000" w:rsidR="00000000" w:rsidRPr="00000000">
        <w:rPr>
          <w:rtl w:val="0"/>
        </w:rPr>
      </w:r>
    </w:p>
    <w:p w:rsidR="00000000" w:rsidDel="00000000" w:rsidP="00000000" w:rsidRDefault="00000000" w:rsidRPr="00000000" w14:paraId="0000006F">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0">
            <w:pPr>
              <w:pageBreakBefore w:val="0"/>
              <w:jc w:val="center"/>
              <w:rPr/>
            </w:pPr>
            <w:r w:rsidDel="00000000" w:rsidR="00000000" w:rsidRPr="00000000">
              <w:rPr>
                <w:rtl w:val="0"/>
              </w:rPr>
            </w:r>
          </w:p>
        </w:tc>
        <w:tc>
          <w:tcPr/>
          <w:p w:rsidR="00000000" w:rsidDel="00000000" w:rsidP="00000000" w:rsidRDefault="00000000" w:rsidRPr="00000000" w14:paraId="0000007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5">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9">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r>
    </w:tbl>
    <w:p w:rsidR="00000000" w:rsidDel="00000000" w:rsidP="00000000" w:rsidRDefault="00000000" w:rsidRPr="00000000" w14:paraId="00000080">
      <w:pPr>
        <w:pageBreakBefore w:val="0"/>
        <w:jc w:val="center"/>
        <w:rPr/>
      </w:pPr>
      <w:r w:rsidDel="00000000" w:rsidR="00000000" w:rsidRPr="00000000">
        <w:rPr>
          <w:rtl w:val="0"/>
        </w:rPr>
      </w:r>
    </w:p>
    <w:p w:rsidR="00000000" w:rsidDel="00000000" w:rsidP="00000000" w:rsidRDefault="00000000" w:rsidRPr="00000000" w14:paraId="00000081">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2">
      <w:pPr>
        <w:pageBreakBefore w:val="0"/>
        <w:jc w:val="center"/>
        <w:rPr>
          <w:sz w:val="20"/>
          <w:szCs w:val="20"/>
        </w:rPr>
      </w:pPr>
      <w:r w:rsidDel="00000000" w:rsidR="00000000" w:rsidRPr="00000000">
        <w:rPr>
          <w:rtl w:val="0"/>
        </w:rPr>
      </w:r>
    </w:p>
    <w:p w:rsidR="00000000" w:rsidDel="00000000" w:rsidP="00000000" w:rsidRDefault="00000000" w:rsidRPr="00000000" w14:paraId="00000083">
      <w:pPr>
        <w:pageBreakBefore w:val="0"/>
        <w:jc w:val="center"/>
        <w:rPr/>
      </w:pPr>
      <w:r w:rsidDel="00000000" w:rsidR="00000000" w:rsidRPr="00000000">
        <w:rPr>
          <w:rtl w:val="0"/>
        </w:rPr>
      </w:r>
    </w:p>
    <w:p w:rsidR="00000000" w:rsidDel="00000000" w:rsidP="00000000" w:rsidRDefault="00000000" w:rsidRPr="00000000" w14:paraId="00000084">
      <w:pPr>
        <w:pageBreakBefore w:val="0"/>
        <w:jc w:val="both"/>
        <w:rPr>
          <w:b w:val="1"/>
          <w:bCs w:val="1"/>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6">
      <w:pPr>
        <w:pageBreakBefore w:val="0"/>
        <w:jc w:val="both"/>
        <w:rPr/>
      </w:pPr>
      <w:r w:rsidDel="00000000" w:rsidR="00000000" w:rsidRPr="00000000">
        <w:rPr>
          <w:rtl w:val="0"/>
        </w:rPr>
        <w:t xml:space="preserve">Based on the product categorization aforementioned, we aim to capture Ireland’s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7">
      <w:pPr>
        <w:pageBreakBefore w:val="0"/>
        <w:jc w:val="center"/>
        <w:rPr/>
      </w:pPr>
      <w:r w:rsidDel="00000000" w:rsidR="00000000" w:rsidRPr="00000000">
        <w:rPr/>
        <w:drawing>
          <wp:inline distB="114300" distT="114300" distL="114300" distR="114300">
            <wp:extent cx="2044727" cy="3948113"/>
            <wp:effectExtent b="0" l="0" r="0" t="0"/>
            <wp:docPr id="18"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044727"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t xml:space="preserve">Table 2: Realized Industry Development (RID) of Ireland</w:t>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B">
      <w:pPr>
        <w:pageBreakBefore w:val="0"/>
        <w:jc w:val="both"/>
        <w:rPr/>
      </w:pPr>
      <w:r w:rsidDel="00000000" w:rsidR="00000000" w:rsidRPr="00000000">
        <w:rPr>
          <w:rtl w:val="0"/>
        </w:rPr>
        <w:t xml:space="preserve">Table 3 and 4 below summarize how the production strategy adopted by Ireland compares with leading economies and a selected group of emerging economies in the world, as measured in RID. </w:t>
      </w:r>
    </w:p>
    <w:p w:rsidR="00000000" w:rsidDel="00000000" w:rsidP="00000000" w:rsidRDefault="00000000" w:rsidRPr="00000000" w14:paraId="0000008C">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D">
            <w:pPr>
              <w:pageBreakBefore w:val="0"/>
              <w:jc w:val="both"/>
              <w:rPr/>
            </w:pPr>
            <w:r w:rsidDel="00000000" w:rsidR="00000000" w:rsidRPr="00000000">
              <w:rPr>
                <w:rtl w:val="0"/>
              </w:rPr>
              <w:t xml:space="preserve">Ranking</w:t>
            </w:r>
          </w:p>
        </w:tc>
        <w:tc>
          <w:tcPr/>
          <w:p w:rsidR="00000000" w:rsidDel="00000000" w:rsidP="00000000" w:rsidRDefault="00000000" w:rsidRPr="00000000" w14:paraId="0000008E">
            <w:pPr>
              <w:pageBreakBefore w:val="0"/>
              <w:jc w:val="both"/>
              <w:rPr/>
            </w:pPr>
            <w:r w:rsidDel="00000000" w:rsidR="00000000" w:rsidRPr="00000000">
              <w:rPr>
                <w:rtl w:val="0"/>
              </w:rPr>
              <w:t xml:space="preserve">France</w:t>
            </w:r>
          </w:p>
        </w:tc>
        <w:tc>
          <w:tcPr/>
          <w:p w:rsidR="00000000" w:rsidDel="00000000" w:rsidP="00000000" w:rsidRDefault="00000000" w:rsidRPr="00000000" w14:paraId="0000008F">
            <w:pPr>
              <w:pageBreakBefore w:val="0"/>
              <w:jc w:val="both"/>
              <w:rPr/>
            </w:pPr>
            <w:r w:rsidDel="00000000" w:rsidR="00000000" w:rsidRPr="00000000">
              <w:rPr>
                <w:rtl w:val="0"/>
              </w:rPr>
              <w:t xml:space="preserve">US</w:t>
            </w:r>
          </w:p>
        </w:tc>
        <w:tc>
          <w:tcPr/>
          <w:p w:rsidR="00000000" w:rsidDel="00000000" w:rsidP="00000000" w:rsidRDefault="00000000" w:rsidRPr="00000000" w14:paraId="00000090">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1">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2">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3">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5">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9">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D">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1">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9">
            <w:pPr>
              <w:pageBreakBefore w:val="0"/>
              <w:jc w:val="both"/>
              <w:rPr/>
            </w:pPr>
            <w:r w:rsidDel="00000000" w:rsidR="00000000" w:rsidRPr="00000000">
              <w:rPr>
                <w:rtl w:val="0"/>
              </w:rPr>
              <w:t xml:space="preserve">Ranking</w:t>
            </w:r>
          </w:p>
        </w:tc>
        <w:tc>
          <w:tcPr/>
          <w:p w:rsidR="00000000" w:rsidDel="00000000" w:rsidP="00000000" w:rsidRDefault="00000000" w:rsidRPr="00000000" w14:paraId="000000AA">
            <w:pPr>
              <w:pageBreakBefore w:val="0"/>
              <w:jc w:val="both"/>
              <w:rPr/>
            </w:pPr>
            <w:r w:rsidDel="00000000" w:rsidR="00000000" w:rsidRPr="00000000">
              <w:rPr>
                <w:rtl w:val="0"/>
              </w:rPr>
              <w:t xml:space="preserve">China</w:t>
            </w:r>
          </w:p>
        </w:tc>
        <w:tc>
          <w:tcPr/>
          <w:p w:rsidR="00000000" w:rsidDel="00000000" w:rsidP="00000000" w:rsidRDefault="00000000" w:rsidRPr="00000000" w14:paraId="000000AB">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C">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D">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AE">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AF">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1">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5">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9">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D">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3">
      <w:pPr>
        <w:pageBreakBefore w:val="0"/>
        <w:jc w:val="both"/>
        <w:rPr/>
      </w:pPr>
      <w:r w:rsidDel="00000000" w:rsidR="00000000" w:rsidRPr="00000000">
        <w:rPr>
          <w:rtl w:val="0"/>
        </w:rPr>
      </w:r>
    </w:p>
    <w:p w:rsidR="00000000" w:rsidDel="00000000" w:rsidP="00000000" w:rsidRDefault="00000000" w:rsidRPr="00000000" w14:paraId="000000C4">
      <w:pPr>
        <w:pageBreakBefore w:val="0"/>
        <w:jc w:val="both"/>
        <w:rPr>
          <w:rFonts w:ascii="Times" w:cs="Times" w:eastAsia="Times" w:hAnsi="Times"/>
          <w:b w:val="1"/>
          <w:bCs w:val="1"/>
          <w:sz w:val="28"/>
          <w:szCs w:val="28"/>
        </w:rPr>
      </w:pPr>
      <w:r w:rsidDel="00000000" w:rsidR="00000000" w:rsidRPr="00000000">
        <w:rPr>
          <w:rtl w:val="0"/>
        </w:rPr>
        <w:t xml:space="preserve">Table 4 further examines Ireland’s development strategy against those of emerging economies on a global scale. Reasonably, emerging economies such as China, South Korea, Singapore and India have devoted the majority of their efforts into intermediate industry groups.</w:t>
      </w:r>
      <w:r w:rsidDel="00000000" w:rsidR="00000000" w:rsidRPr="00000000">
        <w:rPr>
          <w:rtl w:val="0"/>
        </w:rPr>
      </w:r>
    </w:p>
    <w:p w:rsidR="00000000" w:rsidDel="00000000" w:rsidP="00000000" w:rsidRDefault="00000000" w:rsidRPr="00000000" w14:paraId="000000C5">
      <w:pPr>
        <w:pageBreakBefore w:val="0"/>
        <w:jc w:val="both"/>
        <w:rPr>
          <w:b w:val="1"/>
          <w:bCs w:val="1"/>
        </w:rPr>
      </w:pPr>
      <w:r w:rsidDel="00000000" w:rsidR="00000000" w:rsidRPr="00000000">
        <w:rPr>
          <w:rtl w:val="0"/>
        </w:rPr>
      </w:r>
    </w:p>
    <w:p w:rsidR="00000000" w:rsidDel="00000000" w:rsidP="00000000" w:rsidRDefault="00000000" w:rsidRPr="00000000" w14:paraId="000000C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8">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9">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CA">
      <w:pPr>
        <w:pageBreakBefore w:val="0"/>
        <w:jc w:val="both"/>
        <w:rPr/>
      </w:pPr>
      <w:r w:rsidDel="00000000" w:rsidR="00000000" w:rsidRPr="00000000">
        <w:rPr>
          <w:rtl w:val="0"/>
        </w:rPr>
      </w:r>
    </w:p>
    <w:p w:rsidR="00000000" w:rsidDel="00000000" w:rsidP="00000000" w:rsidRDefault="00000000" w:rsidRPr="00000000" w14:paraId="000000CB">
      <w:pPr>
        <w:pageBreakBefore w:val="0"/>
        <w:jc w:val="center"/>
        <w:rPr/>
      </w:pPr>
      <w:r w:rsidDel="00000000" w:rsidR="00000000" w:rsidRPr="00000000">
        <w:rPr/>
        <w:drawing>
          <wp:inline distB="114300" distT="114300" distL="114300" distR="114300">
            <wp:extent cx="5731200" cy="15875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ageBreakBefore w:val="0"/>
        <w:jc w:val="center"/>
        <w:rPr/>
      </w:pPr>
      <w:r w:rsidDel="00000000" w:rsidR="00000000" w:rsidRPr="00000000">
        <w:rPr>
          <w:rtl w:val="0"/>
        </w:rPr>
      </w:r>
    </w:p>
    <w:p w:rsidR="00000000" w:rsidDel="00000000" w:rsidP="00000000" w:rsidRDefault="00000000" w:rsidRPr="00000000" w14:paraId="000000CD">
      <w:pPr>
        <w:pageBreakBefore w:val="0"/>
        <w:jc w:val="center"/>
        <w:rPr/>
      </w:pPr>
      <w:r w:rsidDel="00000000" w:rsidR="00000000" w:rsidRPr="00000000">
        <w:rPr/>
        <w:drawing>
          <wp:inline distB="114300" distT="114300" distL="114300" distR="114300">
            <wp:extent cx="5731200" cy="1587500"/>
            <wp:effectExtent b="0" l="0" r="0" t="0"/>
            <wp:docPr id="2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jc w:val="center"/>
        <w:rPr/>
      </w:pPr>
      <w:r w:rsidDel="00000000" w:rsidR="00000000" w:rsidRPr="00000000">
        <w:rPr>
          <w:rtl w:val="0"/>
        </w:rPr>
      </w:r>
    </w:p>
    <w:p w:rsidR="00000000" w:rsidDel="00000000" w:rsidP="00000000" w:rsidRDefault="00000000" w:rsidRPr="00000000" w14:paraId="000000CF">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0">
      <w:pPr>
        <w:pageBreakBefore w:val="0"/>
        <w:jc w:val="center"/>
        <w:rPr/>
      </w:pPr>
      <w:r w:rsidDel="00000000" w:rsidR="00000000" w:rsidRPr="00000000">
        <w:rPr>
          <w:rtl w:val="0"/>
        </w:rPr>
      </w:r>
    </w:p>
    <w:p w:rsidR="00000000" w:rsidDel="00000000" w:rsidP="00000000" w:rsidRDefault="00000000" w:rsidRPr="00000000" w14:paraId="000000D1">
      <w:pPr>
        <w:pageBreakBefore w:val="0"/>
        <w:jc w:val="both"/>
        <w:rPr/>
      </w:pPr>
      <w:r w:rsidDel="00000000" w:rsidR="00000000" w:rsidRPr="00000000">
        <w:rPr>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Africas and Colombia,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both"/>
        <w:rPr/>
      </w:pPr>
      <w:r w:rsidDel="00000000" w:rsidR="00000000" w:rsidRPr="00000000">
        <w:rPr>
          <w:rtl w:val="0"/>
        </w:rPr>
        <w:t xml:space="preserve">It can be concluded that Ireland is categorized to be a highly complex country as compared with the world’s leading economies. </w:t>
      </w:r>
    </w:p>
    <w:p w:rsidR="00000000" w:rsidDel="00000000" w:rsidP="00000000" w:rsidRDefault="00000000" w:rsidRPr="00000000" w14:paraId="000000D4">
      <w:pPr>
        <w:pageBreakBefore w:val="0"/>
        <w:jc w:val="both"/>
        <w:rPr/>
      </w:pPr>
      <w:r w:rsidDel="00000000" w:rsidR="00000000" w:rsidRPr="00000000">
        <w:rPr/>
        <w:drawing>
          <wp:inline distB="114300" distT="114300" distL="114300" distR="114300">
            <wp:extent cx="5734050" cy="2273300"/>
            <wp:effectExtent b="0" l="0" r="0" t="0"/>
            <wp:docPr id="2"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drawing>
          <wp:inline distB="114300" distT="114300" distL="114300" distR="114300">
            <wp:extent cx="2528888" cy="1141284"/>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DF">
      <w:pPr>
        <w:pageBreakBefore w:val="0"/>
        <w:jc w:val="both"/>
        <w:rPr/>
      </w:pPr>
      <w:r w:rsidDel="00000000" w:rsidR="00000000" w:rsidRPr="00000000">
        <w:rPr>
          <w:rtl w:val="0"/>
        </w:rPr>
        <w:t xml:space="preserve"> </w:t>
      </w:r>
    </w:p>
    <w:p w:rsidR="00000000" w:rsidDel="00000000" w:rsidP="00000000" w:rsidRDefault="00000000" w:rsidRPr="00000000" w14:paraId="000000E0">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1">
      <w:pPr>
        <w:pageBreakBefore w:val="0"/>
        <w:jc w:val="both"/>
        <w:rPr/>
      </w:pPr>
      <w:r w:rsidDel="00000000" w:rsidR="00000000" w:rsidRPr="00000000">
        <w:rPr>
          <w:rtl w:val="0"/>
        </w:rPr>
        <w:t xml:space="preserve"> </w:t>
      </w:r>
    </w:p>
    <w:p w:rsidR="00000000" w:rsidDel="00000000" w:rsidP="00000000" w:rsidRDefault="00000000" w:rsidRPr="00000000" w14:paraId="000000E2">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drawing>
          <wp:inline distB="114300" distT="114300" distL="114300" distR="114300">
            <wp:extent cx="2138363" cy="71863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8">
      <w:pPr>
        <w:pageBreakBefore w:val="0"/>
        <w:rPr/>
      </w:pPr>
      <w:r w:rsidDel="00000000" w:rsidR="00000000" w:rsidRPr="00000000">
        <w:rPr>
          <w:rtl w:val="0"/>
        </w:rPr>
        <w:t xml:space="preserve"> </w:t>
      </w:r>
    </w:p>
    <w:p w:rsidR="00000000" w:rsidDel="00000000" w:rsidP="00000000" w:rsidRDefault="00000000" w:rsidRPr="00000000" w14:paraId="000000E9">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C">
      <w:pPr>
        <w:pageBreakBefore w:val="0"/>
        <w:jc w:val="both"/>
        <w:rPr>
          <w:b w:val="1"/>
          <w:bCs w:val="1"/>
        </w:rPr>
      </w:pP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E">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5">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6">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7">
      <w:pPr>
        <w:pageBreakBefore w:val="0"/>
        <w:jc w:val="center"/>
        <w:rPr/>
      </w:pPr>
      <w:r w:rsidDel="00000000" w:rsidR="00000000" w:rsidRPr="00000000">
        <w:rPr>
          <w:rtl w:val="0"/>
        </w:rPr>
      </w:r>
    </w:p>
    <w:p w:rsidR="00000000" w:rsidDel="00000000" w:rsidP="00000000" w:rsidRDefault="00000000" w:rsidRPr="00000000" w14:paraId="00000118">
      <w:pPr>
        <w:pageBreakBefore w:val="0"/>
        <w:ind w:right="-720"/>
        <w:jc w:val="both"/>
        <w:rPr/>
      </w:pPr>
      <w:r w:rsidDel="00000000" w:rsidR="00000000" w:rsidRPr="00000000">
        <w:rPr>
          <w:rtl w:val="0"/>
        </w:rPr>
        <w:t xml:space="preserve">Below is the economic panel for Ireland in 2013. We can see that for different percentages of heuristic total export growth, the ECIs of Ireland actually have very slightly different amounts of increments. Overall, with a 5 percent growth in export, the ECI of Ireland starts growing from around 1.29 and ends at around 1.32. However, with a much larger amount of budget, such as 10, 15, and 20 percent growth, Ireland’s ECI can actually achieve a much higher level, namely around 1.67. </w:t>
      </w:r>
    </w:p>
    <w:p w:rsidR="00000000" w:rsidDel="00000000" w:rsidP="00000000" w:rsidRDefault="00000000" w:rsidRPr="00000000" w14:paraId="00000119">
      <w:pPr>
        <w:pageBreakBefore w:val="0"/>
        <w:ind w:right="-720"/>
        <w:jc w:val="both"/>
        <w:rPr/>
      </w:pPr>
      <w:r w:rsidDel="00000000" w:rsidR="00000000" w:rsidRPr="00000000">
        <w:rPr>
          <w:rtl w:val="0"/>
        </w:rPr>
        <w:t xml:space="preserve"> </w:t>
      </w:r>
    </w:p>
    <w:p w:rsidR="00000000" w:rsidDel="00000000" w:rsidP="00000000" w:rsidRDefault="00000000" w:rsidRPr="00000000" w14:paraId="0000011A">
      <w:pPr>
        <w:pageBreakBefore w:val="0"/>
        <w:spacing w:after="240" w:lineRule="auto"/>
        <w:ind w:right="-720"/>
        <w:jc w:val="both"/>
        <w:rPr/>
      </w:pPr>
      <w:r w:rsidDel="00000000" w:rsidR="00000000" w:rsidRPr="00000000">
        <w:rPr>
          <w:rtl w:val="0"/>
        </w:rPr>
        <w:t xml:space="preserve">For the case of 5 percent growth in export, wood products and services and utilities are main components of the portfolio. For the cases of 10, 15 and 20 percent increment budgets, we realize that the development trajectories are in a similar pattern, mainly consisting of machinery and construction as well as services and utilities. Similar to other developed countries, Ireland also has a relatively sparse solution, which can be reasoned by its pretty well-rounded economic structure. However, from the ECI improvement trajectories, we observe that most of the increments are resulted by services and utilities when its budget is low, and by machinery and construction when it has a high development budget. A more detailed numerical representation of the portfolio is shown in Table 8.</w:t>
      </w:r>
    </w:p>
    <w:p w:rsidR="00000000" w:rsidDel="00000000" w:rsidP="00000000" w:rsidRDefault="00000000" w:rsidRPr="00000000" w14:paraId="0000011B">
      <w:pPr>
        <w:pageBreakBefore w:val="0"/>
        <w:jc w:val="both"/>
        <w:rPr/>
      </w:pPr>
      <w:r w:rsidDel="00000000" w:rsidR="00000000" w:rsidRPr="00000000">
        <w:rPr/>
        <w:drawing>
          <wp:inline distB="114300" distT="114300" distL="114300" distR="114300">
            <wp:extent cx="5921343" cy="1957388"/>
            <wp:effectExtent b="0" l="0" r="0" t="0"/>
            <wp:docPr id="3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921343" cy="1957388"/>
                    </a:xfrm>
                    <a:prstGeom prst="rect"/>
                    <a:ln/>
                  </pic:spPr>
                </pic:pic>
              </a:graphicData>
            </a:graphic>
          </wp:inline>
        </w:drawing>
      </w:r>
      <w:r w:rsidDel="00000000" w:rsidR="00000000" w:rsidRPr="00000000">
        <w:rPr/>
        <w:drawing>
          <wp:inline distB="114300" distT="114300" distL="114300" distR="114300">
            <wp:extent cx="5658704" cy="1785938"/>
            <wp:effectExtent b="0" l="0" r="0" t="0"/>
            <wp:docPr id="30" name="image23.png"/>
            <a:graphic>
              <a:graphicData uri="http://schemas.openxmlformats.org/drawingml/2006/picture">
                <pic:pic>
                  <pic:nvPicPr>
                    <pic:cNvPr id="0" name="image23.png"/>
                    <pic:cNvPicPr preferRelativeResize="0"/>
                  </pic:nvPicPr>
                  <pic:blipFill>
                    <a:blip r:embed="rId18"/>
                    <a:srcRect b="7538" l="3156" r="0" t="0"/>
                    <a:stretch>
                      <a:fillRect/>
                    </a:stretch>
                  </pic:blipFill>
                  <pic:spPr>
                    <a:xfrm>
                      <a:off x="0" y="0"/>
                      <a:ext cx="5658704"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r>
    </w:p>
    <w:p w:rsidR="00000000" w:rsidDel="00000000" w:rsidP="00000000" w:rsidRDefault="00000000" w:rsidRPr="00000000" w14:paraId="0000011D">
      <w:pPr>
        <w:pageBreakBefore w:val="0"/>
        <w:jc w:val="center"/>
        <w:rPr/>
      </w:pPr>
      <w:r w:rsidDel="00000000" w:rsidR="00000000" w:rsidRPr="00000000">
        <w:rPr>
          <w:rtl w:val="0"/>
        </w:rPr>
        <w:t xml:space="preserve">Figure 5: Greedy Based ECI Improvement Results of Ireland in 2013 with Different Budgets</w:t>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drawing>
          <wp:inline distB="114300" distT="114300" distL="114300" distR="114300">
            <wp:extent cx="5731200" cy="977900"/>
            <wp:effectExtent b="0" l="0" r="0" t="0"/>
            <wp:docPr id="1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center"/>
        <w:rPr/>
      </w:pPr>
      <w:r w:rsidDel="00000000" w:rsidR="00000000" w:rsidRPr="00000000">
        <w:rPr>
          <w:rtl w:val="0"/>
        </w:rPr>
        <w:t xml:space="preserve">Table 8: Portfolio of Ireland in 2013</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ind w:right="-720"/>
        <w:jc w:val="both"/>
        <w:rPr/>
      </w:pPr>
      <w:r w:rsidDel="00000000" w:rsidR="00000000" w:rsidRPr="00000000">
        <w:rPr>
          <w:rtl w:val="0"/>
        </w:rPr>
        <w:t xml:space="preserve">For further suggestions on Ireland’s development in the future. We also offer the optimization result based on export data in 2018. Below is the economic panel for Ireland in 2018. We can see that there is a similar pattern for the ECI improvement trajectories, which is that the improvements in 10, 15 and 20 percent export growth are similar, and all of them are greater than the one in 5 percent growth. Again, since Ireland is a pretty developed economic entity, the optimization result is very sparse and there are not so many suggestions for future development in terms of ECI improvement. With 5 percent growth in export, transportation and chemical manufacturing are the main components for ECI improvement, but as the budgets become larger, machinery and construction as well as services and utilities are still essential for ECI improvement to a great extent, which is similar to the result in 2018. A more detailed numerical representation of the portfolio is shown in Table 9. </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978972" cy="1976438"/>
            <wp:effectExtent b="0" l="0" r="0" t="0"/>
            <wp:docPr id="24"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78972" cy="1976438"/>
                    </a:xfrm>
                    <a:prstGeom prst="rect"/>
                    <a:ln/>
                  </pic:spPr>
                </pic:pic>
              </a:graphicData>
            </a:graphic>
          </wp:inline>
        </w:drawing>
      </w:r>
      <w:r w:rsidDel="00000000" w:rsidR="00000000" w:rsidRPr="00000000">
        <w:rPr/>
        <w:drawing>
          <wp:inline distB="114300" distT="114300" distL="114300" distR="114300">
            <wp:extent cx="5848247" cy="1852613"/>
            <wp:effectExtent b="0" l="0" r="0" t="0"/>
            <wp:docPr id="20" name="image13.png"/>
            <a:graphic>
              <a:graphicData uri="http://schemas.openxmlformats.org/drawingml/2006/picture">
                <pic:pic>
                  <pic:nvPicPr>
                    <pic:cNvPr id="0" name="image13.png"/>
                    <pic:cNvPicPr preferRelativeResize="0"/>
                  </pic:nvPicPr>
                  <pic:blipFill>
                    <a:blip r:embed="rId21"/>
                    <a:srcRect b="7035" l="2990" r="0" t="0"/>
                    <a:stretch>
                      <a:fillRect/>
                    </a:stretch>
                  </pic:blipFill>
                  <pic:spPr>
                    <a:xfrm>
                      <a:off x="0" y="0"/>
                      <a:ext cx="5848247"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center"/>
        <w:rPr/>
      </w:pPr>
      <w:r w:rsidDel="00000000" w:rsidR="00000000" w:rsidRPr="00000000">
        <w:rPr>
          <w:rtl w:val="0"/>
        </w:rPr>
        <w:t xml:space="preserve">Figure 6: Greedy Based ECI Improvement Results of Ireland in 2018 with Different Budgets</w:t>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drawing>
          <wp:inline distB="114300" distT="114300" distL="114300" distR="114300">
            <wp:extent cx="5731200" cy="977900"/>
            <wp:effectExtent b="0" l="0" r="0" t="0"/>
            <wp:docPr id="21"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center"/>
        <w:rPr/>
      </w:pPr>
      <w:r w:rsidDel="00000000" w:rsidR="00000000" w:rsidRPr="00000000">
        <w:rPr>
          <w:rtl w:val="0"/>
        </w:rPr>
        <w:t xml:space="preserve">Table 9: Portfolio of Ireland in 2018</w:t>
      </w:r>
    </w:p>
    <w:p w:rsidR="00000000" w:rsidDel="00000000" w:rsidP="00000000" w:rsidRDefault="00000000" w:rsidRPr="00000000" w14:paraId="0000012C">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D">
      <w:pPr>
        <w:pageBreakBefore w:val="0"/>
        <w:spacing w:after="240" w:before="240" w:line="276" w:lineRule="auto"/>
        <w:rPr/>
      </w:pPr>
      <w:r w:rsidDel="00000000" w:rsidR="00000000" w:rsidRPr="00000000">
        <w:rPr>
          <w:rtl w:val="0"/>
        </w:rPr>
        <w:t xml:space="preserve">In the following section our broad aim is to understand how sensitive Ireland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2E">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2F">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0">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1">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3.jpg"/>
            <a:graphic>
              <a:graphicData uri="http://schemas.openxmlformats.org/drawingml/2006/picture">
                <pic:pic>
                  <pic:nvPicPr>
                    <pic:cNvPr id="0" name="image3.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3">
      <w:pPr>
        <w:pageBreakBefore w:val="0"/>
        <w:jc w:val="both"/>
        <w:rPr>
          <w:b w:val="1"/>
          <w:bCs w:val="1"/>
        </w:rPr>
      </w:pPr>
      <w:r w:rsidDel="00000000" w:rsidR="00000000" w:rsidRPr="00000000">
        <w:rPr>
          <w:rtl w:val="0"/>
        </w:rPr>
      </w:r>
    </w:p>
    <w:p w:rsidR="00000000" w:rsidDel="00000000" w:rsidP="00000000" w:rsidRDefault="00000000" w:rsidRPr="00000000" w14:paraId="00000134">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7">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8">
      <w:pPr>
        <w:pageBreakBefore w:val="0"/>
        <w:spacing w:line="276" w:lineRule="auto"/>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drawing>
          <wp:inline distB="114300" distT="114300" distL="114300" distR="114300">
            <wp:extent cx="5734050" cy="1739900"/>
            <wp:effectExtent b="0" l="0" r="0" t="0"/>
            <wp:docPr id="8"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C">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D">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3E">
      <w:pPr>
        <w:pageBreakBefore w:val="0"/>
        <w:spacing w:line="276" w:lineRule="auto"/>
        <w:rPr/>
      </w:pPr>
      <w:r w:rsidDel="00000000" w:rsidR="00000000" w:rsidRPr="00000000">
        <w:rPr>
          <w:rtl w:val="0"/>
        </w:rPr>
      </w:r>
    </w:p>
    <w:p w:rsidR="00000000" w:rsidDel="00000000" w:rsidP="00000000" w:rsidRDefault="00000000" w:rsidRPr="00000000" w14:paraId="0000013F">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4">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rtl w:val="0"/>
        </w:rPr>
        <w:t xml:space="preserve">Below is Ireland’s 2018 ECI Sensitivity Charts. Firstly in the positive chart, we notice immediately that Ireland is quite sensitive to Food and Preparations and Chemical Manufacturing, Increases in export in either of these industries decreases ECI. Ireland is quite insensitive to increases in other industries except when very large shocks are experienced.</w:t>
      </w:r>
    </w:p>
    <w:p w:rsidR="00000000" w:rsidDel="00000000" w:rsidP="00000000" w:rsidRDefault="00000000" w:rsidRPr="00000000" w14:paraId="00000147">
      <w:pPr>
        <w:pageBreakBefore w:val="0"/>
        <w:jc w:val="both"/>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Next we consider Ireland’s 2018 Negative Shock chart. We see that Ireland experiences a large drop off of ECI when there is a 30% decrease in export of High Complexity Products which suggests that this is a main supportive factor of Ireland’s ECI score.  Also decreases in Animals &amp; By-products seems to increase the ECI score after about a 50% decrease.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jc w:val="both"/>
        <w:rPr>
          <w:b w:val="1"/>
          <w:bCs w:val="1"/>
        </w:rPr>
      </w:pPr>
      <w:r w:rsidDel="00000000" w:rsidR="00000000" w:rsidRPr="00000000">
        <w:rPr>
          <w:b w:val="1"/>
          <w:bCs w:val="1"/>
        </w:rPr>
        <w:drawing>
          <wp:inline distB="114300" distT="114300" distL="114300" distR="114300">
            <wp:extent cx="5731200" cy="2971800"/>
            <wp:effectExtent b="0" l="0" r="0" t="0"/>
            <wp:docPr id="22"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jc w:val="center"/>
        <w:rPr>
          <w:b w:val="1"/>
          <w:bCs w:val="1"/>
        </w:rPr>
      </w:pPr>
      <w:r w:rsidDel="00000000" w:rsidR="00000000" w:rsidRPr="00000000">
        <w:rPr>
          <w:rtl w:val="0"/>
        </w:rPr>
        <w:t xml:space="preserve">Ireland 2018 (Incremental ECI Sensitivity)</w:t>
      </w:r>
      <w:r w:rsidDel="00000000" w:rsidR="00000000" w:rsidRPr="00000000">
        <w:rPr>
          <w:rtl w:val="0"/>
        </w:rPr>
      </w:r>
    </w:p>
    <w:p w:rsidR="00000000" w:rsidDel="00000000" w:rsidP="00000000" w:rsidRDefault="00000000" w:rsidRPr="00000000" w14:paraId="0000014C">
      <w:pPr>
        <w:pageBreakBefore w:val="0"/>
        <w:jc w:val="both"/>
        <w:rPr>
          <w:b w:val="1"/>
          <w:bCs w:val="1"/>
        </w:rPr>
      </w:pPr>
      <w:r w:rsidDel="00000000" w:rsidR="00000000" w:rsidRPr="00000000">
        <w:rPr>
          <w:rtl w:val="0"/>
        </w:rPr>
      </w:r>
    </w:p>
    <w:p w:rsidR="00000000" w:rsidDel="00000000" w:rsidP="00000000" w:rsidRDefault="00000000" w:rsidRPr="00000000" w14:paraId="0000014D">
      <w:pPr>
        <w:pageBreakBefore w:val="0"/>
        <w:jc w:val="both"/>
        <w:rPr>
          <w:b w:val="1"/>
          <w:bCs w:val="1"/>
        </w:rPr>
      </w:pPr>
      <w:r w:rsidDel="00000000" w:rsidR="00000000" w:rsidRPr="00000000">
        <w:rPr>
          <w:b w:val="1"/>
          <w:bCs w:val="1"/>
        </w:rPr>
        <w:drawing>
          <wp:inline distB="114300" distT="114300" distL="114300" distR="114300">
            <wp:extent cx="5731200" cy="2946400"/>
            <wp:effectExtent b="0" l="0" r="0" t="0"/>
            <wp:docPr id="10"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ageBreakBefore w:val="0"/>
        <w:jc w:val="both"/>
        <w:rPr>
          <w:b w:val="1"/>
          <w:bCs w:val="1"/>
        </w:rPr>
      </w:pPr>
      <w:r w:rsidDel="00000000" w:rsidR="00000000" w:rsidRPr="00000000">
        <w:rPr>
          <w:rtl w:val="0"/>
        </w:rPr>
      </w:r>
    </w:p>
    <w:p w:rsidR="00000000" w:rsidDel="00000000" w:rsidP="00000000" w:rsidRDefault="00000000" w:rsidRPr="00000000" w14:paraId="0000014F">
      <w:pPr>
        <w:pageBreakBefore w:val="0"/>
        <w:jc w:val="center"/>
        <w:rPr/>
      </w:pPr>
      <w:r w:rsidDel="00000000" w:rsidR="00000000" w:rsidRPr="00000000">
        <w:rPr>
          <w:rtl w:val="0"/>
        </w:rPr>
        <w:t xml:space="preserve">Ireland 2018 (Decremental  ECI Sensitivity)</w:t>
      </w:r>
    </w:p>
    <w:p w:rsidR="00000000" w:rsidDel="00000000" w:rsidP="00000000" w:rsidRDefault="00000000" w:rsidRPr="00000000" w14:paraId="00000150">
      <w:pPr>
        <w:pageBreakBefore w:val="0"/>
        <w:jc w:val="center"/>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Next we consider the 2013 ECI Sensitivity graphs. Immediately we notice that Ireland has a much lower ECI score than in 2018. the 2013 positive shocking chart suggests that increases in export in industries such as High Complexity Product, Machinery, and Chemical Manufacturing could increase the ECI level to the level we see in 2018, suggesting that Ireland may have followed a similar path to achieve their 2018 ECI score.</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In the negative shocking case we see similar to 2018, decreases in High Complexity Products can lead to massive drop offs in ECI. We also see that decreases in Food and Preparations lead to large increases in ECI suggesting that this not an optimal industry for Ireland to expand into. </w:t>
      </w:r>
    </w:p>
    <w:p w:rsidR="00000000" w:rsidDel="00000000" w:rsidP="00000000" w:rsidRDefault="00000000" w:rsidRPr="00000000" w14:paraId="00000154">
      <w:pPr>
        <w:pageBreakBefore w:val="0"/>
        <w:rPr/>
      </w:pPr>
      <w:r w:rsidDel="00000000" w:rsidR="00000000" w:rsidRPr="00000000">
        <w:rPr/>
        <w:drawing>
          <wp:inline distB="114300" distT="114300" distL="114300" distR="114300">
            <wp:extent cx="5731200" cy="2870200"/>
            <wp:effectExtent b="0" l="0" r="0" t="0"/>
            <wp:docPr id="11"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Ireland 2013 (Incremental ECI Sensitivity)</w:t>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b w:val="1"/>
          <w:bCs w:val="1"/>
        </w:rPr>
        <w:drawing>
          <wp:inline distB="114300" distT="114300" distL="114300" distR="114300">
            <wp:extent cx="5731200" cy="2933700"/>
            <wp:effectExtent b="0" l="0" r="0" t="0"/>
            <wp:docPr id="16"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rtl w:val="0"/>
        </w:rPr>
        <w:t xml:space="preserve">Ireland 2013 (Decremental  ECI Sensitivity)</w:t>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rtl w:val="0"/>
        </w:rPr>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Below we see the SDV sensitivity charts for High Complexity Products. Similar to other countries that are dependent on High Complexity Products, industries such as Transportation, and Machinery are usually great opportunities to expand into as an economy it High Complexity Product footprint. Considering the negative High Complexity Product SDV sensitivity chart we observe that as the export of  High Complexity Products decreases the number of industries with positive opportunity gain begin to increase. Interestingly in both the positive and negative shocking cases we see that Vegetables, Fruits, and Plants is consistently the highest opportunity gain industry. </w:t>
      </w:r>
    </w:p>
    <w:p w:rsidR="00000000" w:rsidDel="00000000" w:rsidP="00000000" w:rsidRDefault="00000000" w:rsidRPr="00000000" w14:paraId="0000015E">
      <w:pPr>
        <w:pageBreakBefore w:val="0"/>
        <w:rPr/>
      </w:pPr>
      <w:r w:rsidDel="00000000" w:rsidR="00000000" w:rsidRPr="00000000">
        <w:rPr>
          <w:rtl w:val="0"/>
        </w:rPr>
        <w:t xml:space="preserve">Concerning Food and Preparations, Ireland seems to be mostly insensitive to this industry suggesting that this is not an important industry in terms of the stability of its SDV. </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center"/>
        <w:rPr>
          <w:b w:val="1"/>
          <w:bCs w:val="1"/>
        </w:rPr>
      </w:pPr>
      <w:r w:rsidDel="00000000" w:rsidR="00000000" w:rsidRPr="00000000">
        <w:rPr>
          <w:b w:val="1"/>
          <w:bCs w:val="1"/>
        </w:rPr>
        <w:drawing>
          <wp:inline distB="114300" distT="114300" distL="114300" distR="114300">
            <wp:extent cx="2516025" cy="2536733"/>
            <wp:effectExtent b="0" l="0" r="0" t="0"/>
            <wp:docPr id="14" name="image19.jpg"/>
            <a:graphic>
              <a:graphicData uri="http://schemas.openxmlformats.org/drawingml/2006/picture">
                <pic:pic>
                  <pic:nvPicPr>
                    <pic:cNvPr id="0" name="image19.jpg"/>
                    <pic:cNvPicPr preferRelativeResize="0"/>
                  </pic:nvPicPr>
                  <pic:blipFill>
                    <a:blip r:embed="rId30"/>
                    <a:srcRect b="0" l="0" r="0" t="0"/>
                    <a:stretch>
                      <a:fillRect/>
                    </a:stretch>
                  </pic:blipFill>
                  <pic:spPr>
                    <a:xfrm>
                      <a:off x="0" y="0"/>
                      <a:ext cx="2516025" cy="253673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ageBreakBefore w:val="0"/>
        <w:ind w:left="720" w:firstLine="720"/>
        <w:jc w:val="center"/>
        <w:rPr/>
      </w:pPr>
      <w:r w:rsidDel="00000000" w:rsidR="00000000" w:rsidRPr="00000000">
        <w:rPr>
          <w:rtl w:val="0"/>
        </w:rPr>
        <w:t xml:space="preserve">Ireland High-complexity Products 2018 (Incremental SDV Sensitivity)</w:t>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jc w:val="center"/>
        <w:rPr>
          <w:b w:val="1"/>
          <w:bCs w:val="1"/>
        </w:rPr>
      </w:pPr>
      <w:r w:rsidDel="00000000" w:rsidR="00000000" w:rsidRPr="00000000">
        <w:rPr>
          <w:b w:val="1"/>
          <w:bCs w:val="1"/>
        </w:rPr>
        <w:drawing>
          <wp:inline distB="114300" distT="114300" distL="114300" distR="114300">
            <wp:extent cx="3435188" cy="2364928"/>
            <wp:effectExtent b="0" l="0" r="0" t="0"/>
            <wp:docPr id="19" name="image15.jpg"/>
            <a:graphic>
              <a:graphicData uri="http://schemas.openxmlformats.org/drawingml/2006/picture">
                <pic:pic>
                  <pic:nvPicPr>
                    <pic:cNvPr id="0" name="image15.jpg"/>
                    <pic:cNvPicPr preferRelativeResize="0"/>
                  </pic:nvPicPr>
                  <pic:blipFill>
                    <a:blip r:embed="rId31"/>
                    <a:srcRect b="0" l="0" r="0" t="0"/>
                    <a:stretch>
                      <a:fillRect/>
                    </a:stretch>
                  </pic:blipFill>
                  <pic:spPr>
                    <a:xfrm>
                      <a:off x="0" y="0"/>
                      <a:ext cx="3435188" cy="236492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ind w:left="720" w:firstLine="720"/>
        <w:jc w:val="center"/>
        <w:rPr/>
      </w:pPr>
      <w:r w:rsidDel="00000000" w:rsidR="00000000" w:rsidRPr="00000000">
        <w:rPr>
          <w:rtl w:val="0"/>
        </w:rPr>
        <w:t xml:space="preserve">Ireland</w:t>
      </w:r>
      <w:r w:rsidDel="00000000" w:rsidR="00000000" w:rsidRPr="00000000">
        <w:rPr>
          <w:rtl w:val="0"/>
        </w:rPr>
        <w:t xml:space="preserve"> High-complexity Products 2018 (Decremental SDV Sensitivity)</w:t>
      </w:r>
    </w:p>
    <w:p w:rsidR="00000000" w:rsidDel="00000000" w:rsidP="00000000" w:rsidRDefault="00000000" w:rsidRPr="00000000" w14:paraId="00000167">
      <w:pPr>
        <w:pageBreakBefore w:val="0"/>
        <w:ind w:left="720" w:firstLine="720"/>
        <w:jc w:val="center"/>
        <w:rPr/>
      </w:pPr>
      <w:r w:rsidDel="00000000" w:rsidR="00000000" w:rsidRPr="00000000">
        <w:rPr>
          <w:rtl w:val="0"/>
        </w:rPr>
      </w:r>
    </w:p>
    <w:p w:rsidR="00000000" w:rsidDel="00000000" w:rsidP="00000000" w:rsidRDefault="00000000" w:rsidRPr="00000000" w14:paraId="00000168">
      <w:pPr>
        <w:pageBreakBefore w:val="0"/>
        <w:ind w:left="720" w:firstLine="720"/>
        <w:jc w:val="center"/>
        <w:rPr/>
      </w:pPr>
      <w:r w:rsidDel="00000000" w:rsidR="00000000" w:rsidRPr="00000000">
        <w:rPr>
          <w:rtl w:val="0"/>
        </w:rPr>
      </w:r>
    </w:p>
    <w:p w:rsidR="00000000" w:rsidDel="00000000" w:rsidP="00000000" w:rsidRDefault="00000000" w:rsidRPr="00000000" w14:paraId="00000169">
      <w:pPr>
        <w:pageBreakBefore w:val="0"/>
        <w:ind w:left="720" w:firstLine="720"/>
        <w:jc w:val="center"/>
        <w:rPr/>
      </w:pPr>
      <w:r w:rsidDel="00000000" w:rsidR="00000000" w:rsidRPr="00000000">
        <w:rPr/>
        <w:drawing>
          <wp:inline distB="114300" distT="114300" distL="114300" distR="114300">
            <wp:extent cx="2668425" cy="2690708"/>
            <wp:effectExtent b="0" l="0" r="0" t="0"/>
            <wp:docPr id="6"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2668425" cy="2690708"/>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ind w:left="720" w:firstLine="720"/>
        <w:jc w:val="center"/>
        <w:rPr/>
      </w:pPr>
      <w:r w:rsidDel="00000000" w:rsidR="00000000" w:rsidRPr="00000000">
        <w:rPr>
          <w:rtl w:val="0"/>
        </w:rPr>
        <w:t xml:space="preserve">Ireland Food and Preparations 2018 (Incremental SDV Sensitivity)</w:t>
      </w:r>
    </w:p>
    <w:p w:rsidR="00000000" w:rsidDel="00000000" w:rsidP="00000000" w:rsidRDefault="00000000" w:rsidRPr="00000000" w14:paraId="0000016B">
      <w:pPr>
        <w:pageBreakBefore w:val="0"/>
        <w:jc w:val="both"/>
        <w:rPr>
          <w:b w:val="1"/>
          <w:bCs w:val="1"/>
        </w:rPr>
      </w:pPr>
      <w:r w:rsidDel="00000000" w:rsidR="00000000" w:rsidRPr="00000000">
        <w:rPr>
          <w:rtl w:val="0"/>
        </w:rPr>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center"/>
        <w:rPr>
          <w:b w:val="1"/>
          <w:bCs w:val="1"/>
        </w:rPr>
      </w:pPr>
      <w:r w:rsidDel="00000000" w:rsidR="00000000" w:rsidRPr="00000000">
        <w:rPr>
          <w:b w:val="1"/>
          <w:bCs w:val="1"/>
        </w:rPr>
        <w:drawing>
          <wp:inline distB="114300" distT="114300" distL="114300" distR="114300">
            <wp:extent cx="1420650" cy="2685307"/>
            <wp:effectExtent b="0" l="0" r="0" t="0"/>
            <wp:docPr id="15" name="image12.jpg"/>
            <a:graphic>
              <a:graphicData uri="http://schemas.openxmlformats.org/drawingml/2006/picture">
                <pic:pic>
                  <pic:nvPicPr>
                    <pic:cNvPr id="0" name="image12.jpg"/>
                    <pic:cNvPicPr preferRelativeResize="0"/>
                  </pic:nvPicPr>
                  <pic:blipFill>
                    <a:blip r:embed="rId33"/>
                    <a:srcRect b="0" l="0" r="0" t="0"/>
                    <a:stretch>
                      <a:fillRect/>
                    </a:stretch>
                  </pic:blipFill>
                  <pic:spPr>
                    <a:xfrm>
                      <a:off x="0" y="0"/>
                      <a:ext cx="1420650" cy="2685307"/>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t xml:space="preserve">Ireland Food and Preparations 2018 (Decremental SDV Sensitivity)</w:t>
      </w:r>
    </w:p>
    <w:p w:rsidR="00000000" w:rsidDel="00000000" w:rsidP="00000000" w:rsidRDefault="00000000" w:rsidRPr="00000000" w14:paraId="0000016F">
      <w:pPr>
        <w:pageBreakBefore w:val="0"/>
        <w:jc w:val="both"/>
        <w:rPr>
          <w:b w:val="1"/>
          <w:bCs w:val="1"/>
        </w:rPr>
      </w:pPr>
      <w:r w:rsidDel="00000000" w:rsidR="00000000" w:rsidRPr="00000000">
        <w:rPr>
          <w:rtl w:val="0"/>
        </w:rPr>
      </w:r>
    </w:p>
    <w:p w:rsidR="00000000" w:rsidDel="00000000" w:rsidP="00000000" w:rsidRDefault="00000000" w:rsidRPr="00000000" w14:paraId="0000017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2">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4">
      <w:pPr>
        <w:pageBreakBefore w:val="0"/>
        <w:jc w:val="both"/>
        <w:rPr>
          <w:b w:val="1"/>
          <w:bCs w:val="1"/>
          <w:sz w:val="28"/>
          <w:szCs w:val="28"/>
        </w:rPr>
      </w:pPr>
      <w:r w:rsidDel="00000000" w:rsidR="00000000" w:rsidRPr="00000000">
        <w:rPr>
          <w:rtl w:val="0"/>
        </w:rPr>
        <w:t xml:space="preserve">Decreasing export of each industry in Ireland’s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7">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542331" cy="2328863"/>
            <wp:effectExtent b="0" l="0" r="0" t="0"/>
            <wp:docPr id="29" name="image29.jpg"/>
            <a:graphic>
              <a:graphicData uri="http://schemas.openxmlformats.org/drawingml/2006/picture">
                <pic:pic>
                  <pic:nvPicPr>
                    <pic:cNvPr id="0" name="image29.jpg"/>
                    <pic:cNvPicPr preferRelativeResize="0"/>
                  </pic:nvPicPr>
                  <pic:blipFill>
                    <a:blip r:embed="rId34"/>
                    <a:srcRect b="0" l="0" r="0" t="0"/>
                    <a:stretch>
                      <a:fillRect/>
                    </a:stretch>
                  </pic:blipFill>
                  <pic:spPr>
                    <a:xfrm>
                      <a:off x="0" y="0"/>
                      <a:ext cx="4542331"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jc w:val="center"/>
        <w:rPr>
          <w:sz w:val="22"/>
          <w:szCs w:val="22"/>
        </w:rPr>
      </w:pPr>
      <w:r w:rsidDel="00000000" w:rsidR="00000000" w:rsidRPr="00000000">
        <w:rPr>
          <w:sz w:val="22"/>
          <w:szCs w:val="22"/>
          <w:rtl w:val="0"/>
        </w:rPr>
        <w:t xml:space="preserve">Ireland Contingency Strategy 2018</w:t>
      </w:r>
    </w:p>
    <w:p w:rsidR="00000000" w:rsidDel="00000000" w:rsidP="00000000" w:rsidRDefault="00000000" w:rsidRPr="00000000" w14:paraId="00000179">
      <w:pPr>
        <w:pageBreakBefore w:val="0"/>
        <w:jc w:val="center"/>
        <w:rPr>
          <w:sz w:val="22"/>
          <w:szCs w:val="22"/>
        </w:rPr>
      </w:pPr>
      <w:r w:rsidDel="00000000" w:rsidR="00000000" w:rsidRPr="00000000">
        <w:rPr>
          <w:rtl w:val="0"/>
        </w:rPr>
      </w:r>
    </w:p>
    <w:p w:rsidR="00000000" w:rsidDel="00000000" w:rsidP="00000000" w:rsidRDefault="00000000" w:rsidRPr="00000000" w14:paraId="0000017A">
      <w:pPr>
        <w:pageBreakBefore w:val="0"/>
        <w:jc w:val="center"/>
        <w:rPr>
          <w:sz w:val="28"/>
          <w:szCs w:val="28"/>
        </w:rPr>
      </w:pPr>
      <w:r w:rsidDel="00000000" w:rsidR="00000000" w:rsidRPr="00000000">
        <w:rPr>
          <w:rtl w:val="0"/>
        </w:rPr>
      </w:r>
    </w:p>
    <w:p w:rsidR="00000000" w:rsidDel="00000000" w:rsidP="00000000" w:rsidRDefault="00000000" w:rsidRPr="00000000" w14:paraId="0000017B">
      <w:pPr>
        <w:pageBreakBefore w:val="0"/>
        <w:jc w:val="center"/>
        <w:rPr>
          <w:sz w:val="28"/>
          <w:szCs w:val="28"/>
        </w:rPr>
      </w:pPr>
      <w:r w:rsidDel="00000000" w:rsidR="00000000" w:rsidRPr="00000000">
        <w:rPr>
          <w:rtl w:val="0"/>
        </w:rPr>
      </w:r>
    </w:p>
    <w:p w:rsidR="00000000" w:rsidDel="00000000" w:rsidP="00000000" w:rsidRDefault="00000000" w:rsidRPr="00000000" w14:paraId="0000017C">
      <w:pPr>
        <w:pageBreakBefore w:val="0"/>
        <w:jc w:val="both"/>
        <w:rPr>
          <w:b w:val="1"/>
          <w:bCs w:val="1"/>
        </w:rPr>
      </w:pPr>
      <w:r w:rsidDel="00000000" w:rsidR="00000000" w:rsidRPr="00000000">
        <w:rPr>
          <w:rtl w:val="0"/>
        </w:rPr>
      </w:r>
    </w:p>
    <w:p w:rsidR="00000000" w:rsidDel="00000000" w:rsidP="00000000" w:rsidRDefault="00000000" w:rsidRPr="00000000" w14:paraId="0000017D">
      <w:pPr>
        <w:pageBreakBefore w:val="0"/>
        <w:jc w:val="both"/>
        <w:rPr>
          <w:b w:val="1"/>
          <w:bCs w:val="1"/>
        </w:rPr>
      </w:pPr>
      <w:r w:rsidDel="00000000" w:rsidR="00000000" w:rsidRPr="00000000">
        <w:rPr>
          <w:rtl w:val="0"/>
        </w:rPr>
      </w:r>
    </w:p>
    <w:p w:rsidR="00000000" w:rsidDel="00000000" w:rsidP="00000000" w:rsidRDefault="00000000" w:rsidRPr="00000000" w14:paraId="0000017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F">
      <w:pPr>
        <w:pageBreakBefore w:val="0"/>
        <w:jc w:val="both"/>
        <w:rPr>
          <w:b w:val="1"/>
          <w:bCs w:val="1"/>
        </w:rPr>
      </w:pPr>
      <w:r w:rsidDel="00000000" w:rsidR="00000000" w:rsidRPr="00000000">
        <w:rPr>
          <w:rtl w:val="0"/>
        </w:rPr>
      </w:r>
    </w:p>
    <w:p w:rsidR="00000000" w:rsidDel="00000000" w:rsidP="00000000" w:rsidRDefault="00000000" w:rsidRPr="00000000" w14:paraId="00000180">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1">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2">
      <w:pPr>
        <w:pageBreakBefore w:val="0"/>
        <w:jc w:val="both"/>
        <w:rPr/>
      </w:pP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4">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8D">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8E">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r>
    </w:p>
    <w:p w:rsidR="00000000" w:rsidDel="00000000" w:rsidP="00000000" w:rsidRDefault="00000000" w:rsidRPr="00000000" w14:paraId="00000190">
      <w:pPr>
        <w:pageBreakBefore w:val="0"/>
        <w:jc w:val="both"/>
        <w:rPr>
          <w:b w:val="1"/>
          <w:bCs w:val="1"/>
        </w:rPr>
      </w:pPr>
      <w:r w:rsidDel="00000000" w:rsidR="00000000" w:rsidRPr="00000000">
        <w:rPr>
          <w:b w:val="1"/>
          <w:bCs w:val="1"/>
          <w:rtl w:val="0"/>
        </w:rPr>
        <w:t xml:space="preserve">5.2 SOI of Ireland and Its Implications</w:t>
      </w:r>
    </w:p>
    <w:p w:rsidR="00000000" w:rsidDel="00000000" w:rsidP="00000000" w:rsidRDefault="00000000" w:rsidRPr="00000000" w14:paraId="00000191">
      <w:pPr>
        <w:pageBreakBefore w:val="0"/>
        <w:jc w:val="both"/>
        <w:rPr/>
      </w:pPr>
      <w:r w:rsidDel="00000000" w:rsidR="00000000" w:rsidRPr="00000000">
        <w:rPr>
          <w:rtl w:val="0"/>
        </w:rPr>
        <w:t xml:space="preserve">Ireland, for instance, has a higher level of structural optimality as compared with its developed peers. As the regression in Figure 7 suggests (the orange curve represents export increase and the blue curve stands for opportunity gain of the corresponding industry), Ireland demonstrates an above-average level of correlation with the suggested developmental path, having an adjusted R-square of around 20.8%. Ireland ranks in the top quartile among all countries in terms of SOI and has made a high rate of economic progress among its emerging peers from 2013 to 2018 with a 5-year GDP growth rate of 82.8%, which is consistent with the regression result in Figure 6. This is in direct contrast to other developed economies such as Japan, where there is moderate SOI of around -4.8% and a corresponding 5-year growth rate of 9.0%, ranking it a slow-developing economy during the period. In sum, Ireland’s rapid economic progress from 2013 to 2018 can be at least partially explained by a development strategy that demonstrates a good level of similarity with our suggested developmental path. Particularly, Ireland invested heavily in the Precious Stone and Metals industries, and decreased investment in the Transportation and High-complexity industries. </w:t>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drawing>
          <wp:inline distB="114300" distT="114300" distL="114300" distR="114300">
            <wp:extent cx="6136379" cy="2295525"/>
            <wp:effectExtent b="0" l="0" r="0" t="0"/>
            <wp:docPr id="12"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6136379"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ageBreakBefore w:val="0"/>
        <w:jc w:val="center"/>
        <w:rPr>
          <w:b w:val="1"/>
          <w:bCs w:val="1"/>
        </w:rPr>
      </w:pPr>
      <w:r w:rsidDel="00000000" w:rsidR="00000000" w:rsidRPr="00000000">
        <w:rPr>
          <w:rtl w:val="0"/>
        </w:rPr>
        <w:t xml:space="preserve">Figure 7: SOI of Ireland (2013-2018)</w:t>
      </w:r>
      <w:r w:rsidDel="00000000" w:rsidR="00000000" w:rsidRPr="00000000">
        <w:rPr>
          <w:rtl w:val="0"/>
        </w:rPr>
      </w:r>
    </w:p>
    <w:p w:rsidR="00000000" w:rsidDel="00000000" w:rsidP="00000000" w:rsidRDefault="00000000" w:rsidRPr="00000000" w14:paraId="00000195">
      <w:pPr>
        <w:pageBreakBefore w:val="0"/>
        <w:jc w:val="both"/>
        <w:rPr>
          <w:b w:val="1"/>
          <w:bCs w:val="1"/>
        </w:rPr>
      </w:pP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rtl w:val="0"/>
        </w:rPr>
      </w:r>
    </w:p>
    <w:p w:rsidR="00000000" w:rsidDel="00000000" w:rsidP="00000000" w:rsidRDefault="00000000" w:rsidRPr="00000000" w14:paraId="0000019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t xml:space="preserve">In conclusion, Ireland has demonstrated a high level of economic growth in terms of annual GDP increase during the period from 2013 to 2018, concurrent with an increase in economic complexity.</w:t>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t xml:space="preserve">The progress during the period, we believe, can be partially explained through analysis of the economic and product complexity structure of Ireland on the industry group level. The product classification system we adopt allows us to measure the realized industry development for various industry groups and to observe that Irel</w:t>
      </w:r>
      <w:r w:rsidDel="00000000" w:rsidR="00000000" w:rsidRPr="00000000">
        <w:rPr>
          <w:rtl w:val="0"/>
        </w:rPr>
        <w:t xml:space="preserve">and consistently relied on developing the Vegetables, Fruits, and Plants, Services and Utilities, and Precious Stones industries during the period, while some of its developed counterparts and emerging economies around the globe adopted more complex and progressive paths. </w:t>
      </w: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t xml:space="preserve">Based on our analysis of the opportunity gain and a sensitivity analysis of major industry groups, Ireland can further its gains by prioritizing High-Complexity Products, Chemical Manufacturing, and Machinery. We further note that Ireland has a slightly mismatched development strategy that indicates a high level (compared to other developed countries) of structural optimality on the complexity level, having an adjusted R-square of around 20.8%. Since a significant positive correlation exists between five-year GDP growth and the structural optimality index of an economy as we define and calculate, this explains why Ireland has a comparable growth experience as compared with fast-growing economies both on a regional scale and on a global scale. However, despite its success, Ireland still has the potential to further its economic gains through industrial structure optimization as suggested in the paper.</w:t>
      </w:r>
    </w:p>
    <w:p w:rsidR="00000000" w:rsidDel="00000000" w:rsidP="00000000" w:rsidRDefault="00000000" w:rsidRPr="00000000" w14:paraId="0000019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9F">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1">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3">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5">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0">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7.png"/><Relationship Id="rId22" Type="http://schemas.openxmlformats.org/officeDocument/2006/relationships/image" Target="media/image30.png"/><Relationship Id="rId21" Type="http://schemas.openxmlformats.org/officeDocument/2006/relationships/image" Target="media/image13.png"/><Relationship Id="rId24" Type="http://schemas.openxmlformats.org/officeDocument/2006/relationships/image" Target="media/image18.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jpg"/><Relationship Id="rId25" Type="http://schemas.openxmlformats.org/officeDocument/2006/relationships/image" Target="media/image1.jpg"/><Relationship Id="rId28" Type="http://schemas.openxmlformats.org/officeDocument/2006/relationships/image" Target="media/image16.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8.jpg"/><Relationship Id="rId7" Type="http://schemas.openxmlformats.org/officeDocument/2006/relationships/image" Target="media/image21.png"/><Relationship Id="rId8" Type="http://schemas.openxmlformats.org/officeDocument/2006/relationships/image" Target="media/image26.png"/><Relationship Id="rId31" Type="http://schemas.openxmlformats.org/officeDocument/2006/relationships/image" Target="media/image15.jpg"/><Relationship Id="rId30" Type="http://schemas.openxmlformats.org/officeDocument/2006/relationships/image" Target="media/image19.jpg"/><Relationship Id="rId11" Type="http://schemas.openxmlformats.org/officeDocument/2006/relationships/image" Target="media/image2.jpg"/><Relationship Id="rId33" Type="http://schemas.openxmlformats.org/officeDocument/2006/relationships/image" Target="media/image12.jpg"/><Relationship Id="rId10" Type="http://schemas.openxmlformats.org/officeDocument/2006/relationships/image" Target="media/image14.png"/><Relationship Id="rId32" Type="http://schemas.openxmlformats.org/officeDocument/2006/relationships/image" Target="media/image17.jpg"/><Relationship Id="rId13" Type="http://schemas.openxmlformats.org/officeDocument/2006/relationships/image" Target="media/image22.png"/><Relationship Id="rId35" Type="http://schemas.openxmlformats.org/officeDocument/2006/relationships/image" Target="media/image25.png"/><Relationship Id="rId12" Type="http://schemas.openxmlformats.org/officeDocument/2006/relationships/image" Target="media/image7.png"/><Relationship Id="rId34" Type="http://schemas.openxmlformats.org/officeDocument/2006/relationships/image" Target="media/image29.jpg"/><Relationship Id="rId15" Type="http://schemas.openxmlformats.org/officeDocument/2006/relationships/image" Target="media/image5.png"/><Relationship Id="rId37" Type="http://schemas.openxmlformats.org/officeDocument/2006/relationships/header" Target="header1.xml"/><Relationship Id="rId14" Type="http://schemas.openxmlformats.org/officeDocument/2006/relationships/image" Target="media/image11.jpg"/><Relationship Id="rId36" Type="http://schemas.openxmlformats.org/officeDocument/2006/relationships/image" Target="media/image28.png"/><Relationship Id="rId17" Type="http://schemas.openxmlformats.org/officeDocument/2006/relationships/image" Target="media/image31.png"/><Relationship Id="rId39" Type="http://schemas.openxmlformats.org/officeDocument/2006/relationships/footer" Target="footer3.xml"/><Relationship Id="rId16" Type="http://schemas.openxmlformats.org/officeDocument/2006/relationships/image" Target="media/image4.png"/><Relationship Id="rId38" Type="http://schemas.openxmlformats.org/officeDocument/2006/relationships/footer" Target="footer2.xml"/><Relationship Id="rId19" Type="http://schemas.openxmlformats.org/officeDocument/2006/relationships/image" Target="media/image24.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