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2" name="image23.png"/>
            <a:graphic>
              <a:graphicData uri="http://schemas.openxmlformats.org/drawingml/2006/picture">
                <pic:pic>
                  <pic:nvPicPr>
                    <pic:cNvPr descr="horizontal line" id="0" name="image2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25.png"/>
            <a:graphic>
              <a:graphicData uri="http://schemas.openxmlformats.org/drawingml/2006/picture">
                <pic:pic>
                  <pic:nvPicPr>
                    <pic:cNvPr id="0" name="image2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Kenya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Kenya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Kenya went through during the period from 2013 to 2018. Specifically, we dive into the topic through a macroeconomic overview of Kenya from the perspective of Gross Domestic Product (GDP) and Economic Complexity Index (ECI), which reflect countries’ production capability and production structure, respectively. We find that during the period of our interest, Kenya demonstrated a high level of economic growth with an average annual GDP growth rate of 6.11%,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progress during the period, we believe, can be partially explained through analysis of the economic and product complexity structure of Kenya on the industry group level. The product classification system we adopt allows us to measure the realized industry development for various industry groups and to observe that Kenya consistently relied on developing the Chemical Manufacturing, Energy Drilling and Mining, and Transportation</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Kenya can further its gains by prioritizing Raw Manufacturing and Chemicals. We further note that Kenya has a slightly mismatched development strategy that indicates a high level (compared to other emerging countries) of structural optimality on the complexity level, having an adjusted R-square of around 16.06%. Since a significant positive correlation exists between five-year GDP growth and the structural optimality index of an economy as we define and calculate, Kenya indeed has an optimal growth experience as compared with fast-growing economies both on a regional scale and on a global scale. However, Kenya still has the potential to further increase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Kenya went through during the period from 2013 to 2018. Specifically, we dive into the topic through a macroeconomic overview of Kenya from the perspective of Gross Domestic Product (GDP) and Economic Complexity Index (ECI), which reflect countries’ production capability and production structure, respectively. We then analyze the industrial framework and changes of Kenya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Kenya,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Kenya and three of its peer countries (Tanzania, Ethiopia, Ghana) from 2013-2018. Similar to the other countries, Kenya displayed upward growth over the period, and its average annual growth rate of 6.11% over the five-year period is comparable to that of its peers (particularly its closest peer, Tanzania), which are 6.74%, 9.34%, and 5.26% for Tanzania, Ethiopia, and Ghana,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800475" cy="2514600"/>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004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Leading Economies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As shown, Kenya exhibits a marked decrease in production capability from 2013 to 2018. Kenya’s ECI change of -589.06% is significantly lower than that of Tanzania (125.97%), Ethiopia (23.45%), and Ghana (-46.21%). </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781425" cy="249555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7814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114800" cy="2600325"/>
            <wp:effectExtent b="0" l="0" r="0" t="0"/>
            <wp:docPr id="1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114800" cy="26003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(U.S.)</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Kenya.. The steady increase in GDP growth during the period from 2013 to 2018 is accompanied by a sharp decrease in ECI. The results show that the economic growth experienced by Kenya during the period from 2013 to 2018, though relatively stable, is not very consistent with the predictions by ECI and that Kenya had not yet effectively developed a competitive product space that helps to accumulate complicated knowledge and technology. In order to provide a more concrete answer to why this has happened, we will dive into an analysis of Kenya’s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Kenya’s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2073112" cy="4521150"/>
            <wp:effectExtent b="0" l="0" r="0" t="0"/>
            <wp:docPr id="19"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2073112" cy="45211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Kenya</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Kenya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Kenya’s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drawing>
          <wp:inline distB="114300" distT="114300" distL="114300" distR="114300">
            <wp:extent cx="5453063" cy="3009900"/>
            <wp:effectExtent b="0" l="0" r="0" t="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453063"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454488" cy="2943225"/>
            <wp:effectExtent b="0" l="0" r="0" t="0"/>
            <wp:docPr id="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454488" cy="29432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Table 5: Opportunity Gain Ranking on a Regional Scale for 2013(up), 2018(down)</w:t>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shd w:fill="ffffff" w:val="clear"/>
        <w:spacing w:after="180" w:line="276" w:lineRule="auto"/>
        <w:jc w:val="both"/>
        <w:rPr/>
      </w:pPr>
      <w:r w:rsidDel="00000000" w:rsidR="00000000" w:rsidRPr="00000000">
        <w:rPr>
          <w:rtl w:val="0"/>
        </w:rPr>
        <w:t xml:space="preserve">We define the ranking of opportunity gain for a country c, as the Suggested Development Vector (SDV) of c. Table 5 and 6 summarize how the SDV of Kenya compares with a selected group of regional economies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Kenya shares the characters of developing countries, with a premature economics structure that leans towards basic to intermediate level industries. </w:t>
      </w:r>
    </w:p>
    <w:p w:rsidR="00000000" w:rsidDel="00000000" w:rsidP="00000000" w:rsidRDefault="00000000" w:rsidRPr="00000000" w14:paraId="000000D7">
      <w:pPr>
        <w:pageBreakBefore w:val="0"/>
        <w:jc w:val="both"/>
        <w:rPr/>
      </w:pPr>
      <w:r w:rsidDel="00000000" w:rsidR="00000000" w:rsidRPr="00000000">
        <w:rPr/>
        <w:drawing>
          <wp:inline distB="114300" distT="114300" distL="114300" distR="114300">
            <wp:extent cx="5731200" cy="2400300"/>
            <wp:effectExtent b="0" l="0" r="0" t="0"/>
            <wp:docPr id="27"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6: Opportunity Gain Ranking on a Global Scale 2013</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drawing>
          <wp:inline distB="114300" distT="114300" distL="114300" distR="114300">
            <wp:extent cx="2528888" cy="1141284"/>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4">
      <w:pPr>
        <w:pageBreakBefore w:val="0"/>
        <w:jc w:val="both"/>
        <w:rPr/>
      </w:pPr>
      <w:r w:rsidDel="00000000" w:rsidR="00000000" w:rsidRPr="00000000">
        <w:rPr>
          <w:rtl w:val="0"/>
        </w:rPr>
        <w:t xml:space="preserve"> </w:t>
      </w:r>
    </w:p>
    <w:p w:rsidR="00000000" w:rsidDel="00000000" w:rsidP="00000000" w:rsidRDefault="00000000" w:rsidRPr="00000000" w14:paraId="000000E5">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center"/>
        <w:rPr/>
      </w:pPr>
      <w:r w:rsidDel="00000000" w:rsidR="00000000" w:rsidRPr="00000000">
        <w:rPr/>
        <w:drawing>
          <wp:inline distB="114300" distT="114300" distL="114300" distR="114300">
            <wp:extent cx="2138363" cy="71863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B">
      <w:pPr>
        <w:pageBreakBefore w:val="0"/>
        <w:rPr/>
      </w:pPr>
      <w:r w:rsidDel="00000000" w:rsidR="00000000" w:rsidRPr="00000000">
        <w:rPr>
          <w:rtl w:val="0"/>
        </w:rPr>
        <w:t xml:space="preserve"> </w:t>
      </w:r>
    </w:p>
    <w:p w:rsidR="00000000" w:rsidDel="00000000" w:rsidP="00000000" w:rsidRDefault="00000000" w:rsidRPr="00000000" w14:paraId="000000EC">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F">
      <w:pPr>
        <w:pageBreakBefore w:val="0"/>
        <w:jc w:val="both"/>
        <w:rPr>
          <w:b w:val="1"/>
          <w:bCs w:val="1"/>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1">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8">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9">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A">
      <w:pPr>
        <w:pageBreakBefore w:val="0"/>
        <w:jc w:val="center"/>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Below is the economic panel for Kenya in 2013. We can see that for different percentages of heuristic total export growth, the ECIs of Kenya actually have different amounts of increments. Overall, 5 percent export growth result in a ECI improvement pattern starting from around 0.10 and ends at around 0.36. As the budget is increased to 10 percent export growth, the ECI of Kenya can achieve a slightly higher level, which is around 0.47. With much more growth budget, including 15 and 20 percent growth, Kenya is able to achieve an even much higher stage, which is around 0.72. </w:t>
      </w:r>
    </w:p>
    <w:p w:rsidR="00000000" w:rsidDel="00000000" w:rsidP="00000000" w:rsidRDefault="00000000" w:rsidRPr="00000000" w14:paraId="0000011C">
      <w:pPr>
        <w:pageBreakBefore w:val="0"/>
        <w:jc w:val="both"/>
        <w:rPr/>
      </w:pP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t xml:space="preserve">For the case of 5 percent export growth, animals and by-products, services and utilities, and textile account for most of the portfolio. For 10 percent export growth, the portfolio becomes more diverse. In addition to the products mentioned before, daily instruments is added as one of the main components as well. For the cases of 15 and 20 percent growth budgets, the solved portfolios are even more comprehensive. Not only do they follow similar ECI improvement trajectories but also they share a pretty close investment portfolio, which are mainly made up of machinery and construction, animals and by-products, and services and utilities etc. In these four ECI improvement trajectories, we also notice that the largest improvement comes from services and utilities and textile, suggesting that with a low economic improvement anticipation, Kenya should focus more on developing these products. A more detailed numerical representation of the portfolio is shown in Table 8.</w:t>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drawing>
          <wp:inline distB="114300" distT="114300" distL="114300" distR="114300">
            <wp:extent cx="6106898" cy="2090738"/>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106898" cy="2090738"/>
                    </a:xfrm>
                    <a:prstGeom prst="rect"/>
                    <a:ln/>
                  </pic:spPr>
                </pic:pic>
              </a:graphicData>
            </a:graphic>
          </wp:inline>
        </w:drawing>
      </w:r>
      <w:r w:rsidDel="00000000" w:rsidR="00000000" w:rsidRPr="00000000">
        <w:rPr/>
        <w:drawing>
          <wp:inline distB="114300" distT="114300" distL="114300" distR="114300">
            <wp:extent cx="5700348" cy="1795463"/>
            <wp:effectExtent b="0" l="0" r="0" t="0"/>
            <wp:docPr id="17" name="image9.png"/>
            <a:graphic>
              <a:graphicData uri="http://schemas.openxmlformats.org/drawingml/2006/picture">
                <pic:pic>
                  <pic:nvPicPr>
                    <pic:cNvPr id="0" name="image9.png"/>
                    <pic:cNvPicPr preferRelativeResize="0"/>
                  </pic:nvPicPr>
                  <pic:blipFill>
                    <a:blip r:embed="rId18"/>
                    <a:srcRect b="10732" l="3488" r="0" t="0"/>
                    <a:stretch>
                      <a:fillRect/>
                    </a:stretch>
                  </pic:blipFill>
                  <pic:spPr>
                    <a:xfrm>
                      <a:off x="0" y="0"/>
                      <a:ext cx="5700348"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center"/>
        <w:rPr/>
      </w:pPr>
      <w:r w:rsidDel="00000000" w:rsidR="00000000" w:rsidRPr="00000000">
        <w:rPr>
          <w:rtl w:val="0"/>
        </w:rPr>
        <w:t xml:space="preserve">Figure 5: Greedy Based ECI Improvement Results of Kenya in 2013 with Different Budgets</w:t>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drawing>
          <wp:inline distB="114300" distT="114300" distL="114300" distR="114300">
            <wp:extent cx="5731200" cy="1117600"/>
            <wp:effectExtent b="0" l="0" r="0" t="0"/>
            <wp:docPr id="2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Table 8: Portfolio of Kenya in 2013</w:t>
      </w:r>
    </w:p>
    <w:p w:rsidR="00000000" w:rsidDel="00000000" w:rsidP="00000000" w:rsidRDefault="00000000" w:rsidRPr="00000000" w14:paraId="00000127">
      <w:pPr>
        <w:pageBreakBefore w:val="0"/>
        <w:jc w:val="center"/>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t xml:space="preserve">For further suggestions on Kenya’s development in the future. We also offer the optimization result based on its export data in 2018. Below is the economic panel for Kenya in 2018. We can see that as the growth budget increases, a higher ECI can be achieved. With 5 percent export growth, the main components in the portfolio include animals and by-products, raw manufacturing, chemicals and textile. For the case of 10 percent growth, in addition to the components mentioned before, chemicals and daily instruments serve as another two important factors. Additionally, as the budget increases up to 15 or 20 percent, not only do they follow similar ECI improvement trajectories but also they share a pretty close investment portfolio, which are mainly made up of machinery and construction, chemical manufacturing, animal by-products, and raw manufacturing etc. A more detailed numerical representation of the portfolio is shown in Table 9.</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drawing>
          <wp:inline distB="114300" distT="114300" distL="114300" distR="114300">
            <wp:extent cx="6081341" cy="2081213"/>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081341" cy="2081213"/>
                    </a:xfrm>
                    <a:prstGeom prst="rect"/>
                    <a:ln/>
                  </pic:spPr>
                </pic:pic>
              </a:graphicData>
            </a:graphic>
          </wp:inline>
        </w:drawing>
      </w:r>
      <w:r w:rsidDel="00000000" w:rsidR="00000000" w:rsidRPr="00000000">
        <w:rPr/>
        <w:drawing>
          <wp:inline distB="114300" distT="114300" distL="114300" distR="114300">
            <wp:extent cx="5750326" cy="1785938"/>
            <wp:effectExtent b="0" l="0" r="0" t="0"/>
            <wp:docPr id="21" name="image19.png"/>
            <a:graphic>
              <a:graphicData uri="http://schemas.openxmlformats.org/drawingml/2006/picture">
                <pic:pic>
                  <pic:nvPicPr>
                    <pic:cNvPr id="0" name="image19.png"/>
                    <pic:cNvPicPr preferRelativeResize="0"/>
                  </pic:nvPicPr>
                  <pic:blipFill>
                    <a:blip r:embed="rId21"/>
                    <a:srcRect b="11220" l="2658" r="0" t="0"/>
                    <a:stretch>
                      <a:fillRect/>
                    </a:stretch>
                  </pic:blipFill>
                  <pic:spPr>
                    <a:xfrm>
                      <a:off x="0" y="0"/>
                      <a:ext cx="5750326"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rtl w:val="0"/>
        </w:rPr>
        <w:t xml:space="preserve">Figure 6: Greedy Based ECI Improvement Results of Kenya in 2018 with Different Budgets</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drawing>
          <wp:inline distB="114300" distT="114300" distL="114300" distR="114300">
            <wp:extent cx="5731200" cy="1231900"/>
            <wp:effectExtent b="0" l="0" r="0" t="0"/>
            <wp:docPr id="2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Table 9: Portfolio of Kenya in 2018</w:t>
      </w:r>
    </w:p>
    <w:p w:rsidR="00000000" w:rsidDel="00000000" w:rsidP="00000000" w:rsidRDefault="00000000" w:rsidRPr="00000000" w14:paraId="00000133">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In the following section our broad aim is to understand how sensitive Kenya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7">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8">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A">
      <w:pPr>
        <w:pageBreakBefore w:val="0"/>
        <w:jc w:val="both"/>
        <w:rPr>
          <w:b w:val="1"/>
          <w:bCs w:val="1"/>
        </w:rPr>
      </w:pPr>
      <w:r w:rsidDel="00000000" w:rsidR="00000000" w:rsidRPr="00000000">
        <w:rPr>
          <w:rtl w:val="0"/>
        </w:rPr>
      </w:r>
    </w:p>
    <w:p w:rsidR="00000000" w:rsidDel="00000000" w:rsidP="00000000" w:rsidRDefault="00000000" w:rsidRPr="00000000" w14:paraId="0000013B">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E">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3F">
      <w:pPr>
        <w:pageBreakBefore w:val="0"/>
        <w:spacing w:line="276" w:lineRule="auto"/>
        <w:rPr/>
      </w:pPr>
      <w:r w:rsidDel="00000000" w:rsidR="00000000" w:rsidRPr="00000000">
        <w:rPr>
          <w:rtl w:val="0"/>
        </w:rPr>
      </w:r>
    </w:p>
    <w:p w:rsidR="00000000" w:rsidDel="00000000" w:rsidP="00000000" w:rsidRDefault="00000000" w:rsidRPr="00000000" w14:paraId="00000140">
      <w:pPr>
        <w:pageBreakBefore w:val="0"/>
        <w:jc w:val="both"/>
        <w:rPr/>
      </w:pPr>
      <w:r w:rsidDel="00000000" w:rsidR="00000000" w:rsidRPr="00000000">
        <w:rPr/>
        <w:drawing>
          <wp:inline distB="114300" distT="114300" distL="114300" distR="114300">
            <wp:extent cx="5734050" cy="1739900"/>
            <wp:effectExtent b="0" l="0" r="0" t="0"/>
            <wp:docPr id="8"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4">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5">
      <w:pPr>
        <w:pageBreakBefore w:val="0"/>
        <w:spacing w:line="276" w:lineRule="auto"/>
        <w:rPr/>
      </w:pP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12.jpg"/>
            <a:graphic>
              <a:graphicData uri="http://schemas.openxmlformats.org/drawingml/2006/picture">
                <pic:pic>
                  <pic:nvPicPr>
                    <pic:cNvPr id="0" name="image12.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Below is Kenya’s 2018 ECI Sensitivity Charts. Firstly in the positive chart, we notice immediately that increases in Raw Manufacturing and Chemical lead to increases in the ECI level. We also notice that increases in Animals &amp; By-products and Vegetables, Fruits &amp; Plants actually decrease the ECI score implying that these are not worthwhile industries for Kenya to expand further into. </w:t>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Next we consider Kenya’s 2018 Negative Shock chart. We see that Kenya is high sensitive to changes in export levels in Energy, Drilling &amp; Mining, Weapons, and Chemical Manufacturing. That being said, decreases in export of Weapons, and Chemical Manufacturing lead to large drops in ECI while as decases in export of Energy, Drilling &amp; Mining drastically increases ECI. </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25" name="image18.jpg"/>
            <a:graphic>
              <a:graphicData uri="http://schemas.openxmlformats.org/drawingml/2006/picture">
                <pic:pic>
                  <pic:nvPicPr>
                    <pic:cNvPr id="0" name="image18.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rtl w:val="0"/>
        </w:rPr>
        <w:t xml:space="preserve">Kenya 2018 (Incremental ECI Sensitivity)</w:t>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both"/>
        <w:rPr>
          <w:b w:val="1"/>
          <w:bCs w:val="1"/>
        </w:rPr>
      </w:pPr>
      <w:r w:rsidDel="00000000" w:rsidR="00000000" w:rsidRPr="00000000">
        <w:rPr>
          <w:b w:val="1"/>
          <w:bCs w:val="1"/>
        </w:rPr>
        <w:drawing>
          <wp:inline distB="114300" distT="114300" distL="114300" distR="114300">
            <wp:extent cx="5731200" cy="2946400"/>
            <wp:effectExtent b="0" l="0" r="0" t="0"/>
            <wp:docPr id="22" name="image21.jpg"/>
            <a:graphic>
              <a:graphicData uri="http://schemas.openxmlformats.org/drawingml/2006/picture">
                <pic:pic>
                  <pic:nvPicPr>
                    <pic:cNvPr id="0" name="image21.jpg"/>
                    <pic:cNvPicPr preferRelativeResize="0"/>
                  </pic:nvPicPr>
                  <pic:blipFill>
                    <a:blip r:embed="rId27"/>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rtl w:val="0"/>
        </w:rPr>
      </w:r>
    </w:p>
    <w:p w:rsidR="00000000" w:rsidDel="00000000" w:rsidP="00000000" w:rsidRDefault="00000000" w:rsidRPr="00000000" w14:paraId="00000156">
      <w:pPr>
        <w:pageBreakBefore w:val="0"/>
        <w:jc w:val="center"/>
        <w:rPr/>
      </w:pPr>
      <w:r w:rsidDel="00000000" w:rsidR="00000000" w:rsidRPr="00000000">
        <w:rPr>
          <w:rtl w:val="0"/>
        </w:rPr>
        <w:t xml:space="preserve">Kenya 2018 (Decremental  ECI Sensitivity)</w:t>
      </w:r>
    </w:p>
    <w:p w:rsidR="00000000" w:rsidDel="00000000" w:rsidP="00000000" w:rsidRDefault="00000000" w:rsidRPr="00000000" w14:paraId="00000157">
      <w:pPr>
        <w:pageBreakBefore w:val="0"/>
        <w:jc w:val="center"/>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Next we consider the 2013 ECI Sensitivity graphs. Firstly we notice in the positive shocking case that the 2013 ECI sensitivity landscape is quite different from 2018. Increases in export of Vegetables, Fruit &amp; Plants, Energy, Drilling &amp; Mining, Precious Stones, and High Complexity Products actually lead to downturns in Kenya’s ECI score.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In the negative shocking case, we see that it is most beneficial for Kenya to decrease its export of Animals and By-products since this leads to almost an immediate increase in the ECI score. The industries that Kenya’s ECI score seems to be dependent on include, Chemical Manufacturing, Raw Manufacturing, and Metals.</w:t>
      </w:r>
    </w:p>
    <w:p w:rsidR="00000000" w:rsidDel="00000000" w:rsidP="00000000" w:rsidRDefault="00000000" w:rsidRPr="00000000" w14:paraId="0000015B">
      <w:pPr>
        <w:pageBreakBefore w:val="0"/>
        <w:jc w:val="both"/>
        <w:rPr>
          <w:b w:val="1"/>
          <w:bCs w:val="1"/>
        </w:rPr>
      </w:pPr>
      <w:r w:rsidDel="00000000" w:rsidR="00000000" w:rsidRPr="00000000">
        <w:rPr>
          <w:b w:val="1"/>
          <w:bCs w:val="1"/>
        </w:rPr>
        <w:drawing>
          <wp:inline distB="114300" distT="114300" distL="114300" distR="114300">
            <wp:extent cx="5731200" cy="3009900"/>
            <wp:effectExtent b="0" l="0" r="0" t="0"/>
            <wp:docPr id="20"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Kenya 2013 (Incremental ECI Sensitivity)</w:t>
      </w:r>
    </w:p>
    <w:p w:rsidR="00000000" w:rsidDel="00000000" w:rsidP="00000000" w:rsidRDefault="00000000" w:rsidRPr="00000000" w14:paraId="0000015D">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13" name="image14.jpg"/>
            <a:graphic>
              <a:graphicData uri="http://schemas.openxmlformats.org/drawingml/2006/picture">
                <pic:pic>
                  <pic:nvPicPr>
                    <pic:cNvPr id="0" name="image14.jp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jc w:val="both"/>
        <w:rPr>
          <w:b w:val="1"/>
          <w:bCs w:val="1"/>
        </w:rPr>
      </w:pPr>
      <w:r w:rsidDel="00000000" w:rsidR="00000000" w:rsidRPr="00000000">
        <w:rPr>
          <w:rtl w:val="0"/>
        </w:rPr>
      </w:r>
    </w:p>
    <w:p w:rsidR="00000000" w:rsidDel="00000000" w:rsidP="00000000" w:rsidRDefault="00000000" w:rsidRPr="00000000" w14:paraId="0000015F">
      <w:pPr>
        <w:pageBreakBefore w:val="0"/>
        <w:jc w:val="center"/>
        <w:rPr/>
      </w:pPr>
      <w:r w:rsidDel="00000000" w:rsidR="00000000" w:rsidRPr="00000000">
        <w:rPr>
          <w:rtl w:val="0"/>
        </w:rPr>
        <w:t xml:space="preserve">Kenya 2013 (Decremental  ECI Sensitivity)</w:t>
      </w:r>
    </w:p>
    <w:p w:rsidR="00000000" w:rsidDel="00000000" w:rsidP="00000000" w:rsidRDefault="00000000" w:rsidRPr="00000000" w14:paraId="00000160">
      <w:pPr>
        <w:pageBreakBefore w:val="0"/>
        <w:ind w:left="0" w:firstLine="0"/>
        <w:jc w:val="left"/>
        <w:rPr/>
      </w:pP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4">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6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6">
      <w:pPr>
        <w:pageBreakBefore w:val="0"/>
        <w:jc w:val="both"/>
        <w:rPr>
          <w:b w:val="1"/>
          <w:bCs w:val="1"/>
          <w:sz w:val="28"/>
          <w:szCs w:val="28"/>
        </w:rPr>
      </w:pPr>
      <w:r w:rsidDel="00000000" w:rsidR="00000000" w:rsidRPr="00000000">
        <w:rPr>
          <w:rtl w:val="0"/>
        </w:rPr>
        <w:t xml:space="preserve">Decreasing export of each industry in Kenya’s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6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9">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559138" cy="2424303"/>
            <wp:effectExtent b="0" l="0" r="0" t="0"/>
            <wp:docPr id="14"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4559138" cy="2424303"/>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jc w:val="center"/>
        <w:rPr>
          <w:sz w:val="22"/>
          <w:szCs w:val="22"/>
        </w:rPr>
      </w:pPr>
      <w:r w:rsidDel="00000000" w:rsidR="00000000" w:rsidRPr="00000000">
        <w:rPr>
          <w:sz w:val="22"/>
          <w:szCs w:val="22"/>
          <w:rtl w:val="0"/>
        </w:rPr>
        <w:t xml:space="preserve">Kenya Contingency Strategy 2018</w:t>
      </w:r>
    </w:p>
    <w:p w:rsidR="00000000" w:rsidDel="00000000" w:rsidP="00000000" w:rsidRDefault="00000000" w:rsidRPr="00000000" w14:paraId="0000016B">
      <w:pPr>
        <w:pageBreakBefore w:val="0"/>
        <w:jc w:val="center"/>
        <w:rPr>
          <w:sz w:val="22"/>
          <w:szCs w:val="22"/>
        </w:rPr>
      </w:pPr>
      <w:r w:rsidDel="00000000" w:rsidR="00000000" w:rsidRPr="00000000">
        <w:rPr>
          <w:rtl w:val="0"/>
        </w:rPr>
      </w:r>
    </w:p>
    <w:p w:rsidR="00000000" w:rsidDel="00000000" w:rsidP="00000000" w:rsidRDefault="00000000" w:rsidRPr="00000000" w14:paraId="0000016C">
      <w:pPr>
        <w:pageBreakBefore w:val="0"/>
        <w:jc w:val="center"/>
        <w:rPr>
          <w:sz w:val="28"/>
          <w:szCs w:val="28"/>
        </w:rPr>
      </w:pPr>
      <w:r w:rsidDel="00000000" w:rsidR="00000000" w:rsidRPr="00000000">
        <w:rPr>
          <w:rtl w:val="0"/>
        </w:rPr>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both"/>
        <w:rPr>
          <w:b w:val="1"/>
          <w:bCs w:val="1"/>
        </w:rPr>
      </w:pPr>
      <w:r w:rsidDel="00000000" w:rsidR="00000000" w:rsidRPr="00000000">
        <w:rPr>
          <w:rtl w:val="0"/>
        </w:rPr>
      </w:r>
    </w:p>
    <w:p w:rsidR="00000000" w:rsidDel="00000000" w:rsidP="00000000" w:rsidRDefault="00000000" w:rsidRPr="00000000" w14:paraId="0000016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0">
      <w:pPr>
        <w:pageBreakBefore w:val="0"/>
        <w:jc w:val="both"/>
        <w:rPr>
          <w:b w:val="1"/>
          <w:bCs w:val="1"/>
        </w:rPr>
      </w:pPr>
      <w:r w:rsidDel="00000000" w:rsidR="00000000" w:rsidRPr="00000000">
        <w:rPr>
          <w:rtl w:val="0"/>
        </w:rPr>
      </w:r>
    </w:p>
    <w:p w:rsidR="00000000" w:rsidDel="00000000" w:rsidP="00000000" w:rsidRDefault="00000000" w:rsidRPr="00000000" w14:paraId="00000171">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72">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73">
      <w:pPr>
        <w:pageBreakBefore w:val="0"/>
        <w:jc w:val="both"/>
        <w:rPr/>
      </w:pPr>
      <w:r w:rsidDel="00000000" w:rsidR="00000000" w:rsidRPr="00000000">
        <w:rPr>
          <w:rtl w:val="0"/>
        </w:rPr>
      </w:r>
    </w:p>
    <w:p w:rsidR="00000000" w:rsidDel="00000000" w:rsidP="00000000" w:rsidRDefault="00000000" w:rsidRPr="00000000" w14:paraId="00000174">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75">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7E">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7F">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jc w:val="both"/>
        <w:rPr>
          <w:b w:val="1"/>
          <w:bCs w:val="1"/>
        </w:rPr>
      </w:pPr>
      <w:r w:rsidDel="00000000" w:rsidR="00000000" w:rsidRPr="00000000">
        <w:rPr>
          <w:b w:val="1"/>
          <w:bCs w:val="1"/>
          <w:rtl w:val="0"/>
        </w:rPr>
        <w:t xml:space="preserve">5.2 SOI of Kenya and Its Implications</w:t>
      </w:r>
    </w:p>
    <w:p w:rsidR="00000000" w:rsidDel="00000000" w:rsidP="00000000" w:rsidRDefault="00000000" w:rsidRPr="00000000" w14:paraId="00000182">
      <w:pPr>
        <w:pageBreakBefore w:val="0"/>
        <w:jc w:val="both"/>
        <w:rPr/>
      </w:pPr>
      <w:r w:rsidDel="00000000" w:rsidR="00000000" w:rsidRPr="00000000">
        <w:rPr>
          <w:rtl w:val="0"/>
        </w:rPr>
        <w:t xml:space="preserve">Kenya, for instance, has a higher level of structural optimality as compared with its emerging peers. As the regression in Figure 7 suggests (the orange curve represents export increase and the blue curve stands for opportunity gain of the corresponding industry), Kenya demonstrates a high level of correlation with the suggested developmental path, having an adjusted R-square of around 16.06%. Kenya ranks in the top quartile among all countries in terms of SOI and has made a high rate of economic progress among its emerging peers from 2013 to 2018 with a 5-year GDP growth rate of 42.4%, which is consistent with the regression result in Figure 6. This is in direct contrast to developed economies such as Japan, where there is moderate SOI of around -4.8% and a corresponding 5-year growth rate of 9.0%, ranking it a slow-developing economy during the period. In sum, Kenya’s high rate of economic progress from 2013 to 2018 can be at least partially explained by a development strategy that demonstrates a strong level of matches with our suggested developmental path. In specific, Kenya invested heavily in the Energy &amp; Drilling industry, just as recommended.</w:t>
      </w:r>
    </w:p>
    <w:p w:rsidR="00000000" w:rsidDel="00000000" w:rsidP="00000000" w:rsidRDefault="00000000" w:rsidRPr="00000000" w14:paraId="00000183">
      <w:pPr>
        <w:pageBreakBefore w:val="0"/>
        <w:jc w:val="both"/>
        <w:rPr/>
      </w:pPr>
      <w:r w:rsidDel="00000000" w:rsidR="00000000" w:rsidRPr="00000000">
        <w:rPr>
          <w:rtl w:val="0"/>
        </w:rPr>
      </w:r>
    </w:p>
    <w:p w:rsidR="00000000" w:rsidDel="00000000" w:rsidP="00000000" w:rsidRDefault="00000000" w:rsidRPr="00000000" w14:paraId="00000184">
      <w:pPr>
        <w:pageBreakBefore w:val="0"/>
        <w:jc w:val="both"/>
        <w:rPr/>
      </w:pPr>
      <w:r w:rsidDel="00000000" w:rsidR="00000000" w:rsidRPr="00000000">
        <w:rPr/>
        <w:drawing>
          <wp:inline distB="114300" distT="114300" distL="114300" distR="114300">
            <wp:extent cx="6153150" cy="2571750"/>
            <wp:effectExtent b="0" l="0" r="0" t="0"/>
            <wp:docPr id="11" name="image27.png"/>
            <a:graphic>
              <a:graphicData uri="http://schemas.openxmlformats.org/drawingml/2006/picture">
                <pic:pic>
                  <pic:nvPicPr>
                    <pic:cNvPr id="0" name="image27.png"/>
                    <pic:cNvPicPr preferRelativeResize="0"/>
                  </pic:nvPicPr>
                  <pic:blipFill>
                    <a:blip r:embed="rId32"/>
                    <a:srcRect b="-4979" l="-3526" r="0" t="-7054"/>
                    <a:stretch>
                      <a:fillRect/>
                    </a:stretch>
                  </pic:blipFill>
                  <pic:spPr>
                    <a:xfrm>
                      <a:off x="0" y="0"/>
                      <a:ext cx="61531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ageBreakBefore w:val="0"/>
        <w:jc w:val="center"/>
        <w:rPr>
          <w:b w:val="1"/>
          <w:bCs w:val="1"/>
        </w:rPr>
      </w:pPr>
      <w:r w:rsidDel="00000000" w:rsidR="00000000" w:rsidRPr="00000000">
        <w:rPr>
          <w:rtl w:val="0"/>
        </w:rPr>
        <w:t xml:space="preserve">Figure 7: SOI of Kenya (2013-2018)</w:t>
      </w:r>
      <w:r w:rsidDel="00000000" w:rsidR="00000000" w:rsidRPr="00000000">
        <w:rPr>
          <w:rtl w:val="0"/>
        </w:rPr>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In conclusion, Kenya has demonstrated a high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8B">
      <w:pPr>
        <w:pageBreakBefore w:val="0"/>
        <w:jc w:val="both"/>
        <w:rPr/>
      </w:pPr>
      <w:r w:rsidDel="00000000" w:rsidR="00000000" w:rsidRPr="00000000">
        <w:rPr>
          <w:rtl w:val="0"/>
        </w:rPr>
      </w:r>
    </w:p>
    <w:p w:rsidR="00000000" w:rsidDel="00000000" w:rsidP="00000000" w:rsidRDefault="00000000" w:rsidRPr="00000000" w14:paraId="0000018C">
      <w:pPr>
        <w:pageBreakBefore w:val="0"/>
        <w:jc w:val="both"/>
        <w:rPr/>
      </w:pPr>
      <w:r w:rsidDel="00000000" w:rsidR="00000000" w:rsidRPr="00000000">
        <w:rPr>
          <w:rtl w:val="0"/>
        </w:rPr>
        <w:t xml:space="preserve">The progress during the period, we believe, can be partially explained through analysis of the economic and product complexity structure of Kenya on the industry group level. The product classification system we adopt allows us to measure the realized industry development for various industry groups and to observe that Kenya consistently relied on developing the Chemical Manufacturing, Energy Drilling and Mining, and Transportation</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r>
    </w:p>
    <w:p w:rsidR="00000000" w:rsidDel="00000000" w:rsidP="00000000" w:rsidRDefault="00000000" w:rsidRPr="00000000" w14:paraId="0000018E">
      <w:pPr>
        <w:pageBreakBefore w:val="0"/>
        <w:jc w:val="both"/>
        <w:rPr/>
      </w:pPr>
      <w:r w:rsidDel="00000000" w:rsidR="00000000" w:rsidRPr="00000000">
        <w:rPr>
          <w:rtl w:val="0"/>
        </w:rPr>
        <w:t xml:space="preserve">Based on our analysis of the opportunity gain and a sensitivity analysis of major industry groups, Kenya can further its gains by prioritizing Raw Manufacturing and Chemicals. We further note that Kenya has a slightly mismatched development strategy that indicates a high level (compared to other emerging countries) of structural optimality on the complexity level, having an adjusted R-square of around 16.06%. Since a significant positive correlation exists between five-year GDP growth and the structural optimality index of an economy as we define and calculate, Kenya indeed has an optimal growth experience as compared with fast-growing economies both on a regional scale and on a global scale. However, Kenya still has the potential to further increase its economic gains through industrial structure optimization as suggested in the paper.</w:t>
      </w:r>
    </w:p>
    <w:p w:rsidR="00000000" w:rsidDel="00000000" w:rsidP="00000000" w:rsidRDefault="00000000" w:rsidRPr="00000000" w14:paraId="0000018F">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9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9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9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A1">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26.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jpg"/><Relationship Id="rId25" Type="http://schemas.openxmlformats.org/officeDocument/2006/relationships/image" Target="media/image12.jpg"/><Relationship Id="rId28" Type="http://schemas.openxmlformats.org/officeDocument/2006/relationships/image" Target="media/image3.jpg"/><Relationship Id="rId27" Type="http://schemas.openxmlformats.org/officeDocument/2006/relationships/image" Target="media/image21.jpg"/><Relationship Id="rId5" Type="http://schemas.openxmlformats.org/officeDocument/2006/relationships/styles" Target="styles.xml"/><Relationship Id="rId6" Type="http://schemas.openxmlformats.org/officeDocument/2006/relationships/image" Target="media/image23.png"/><Relationship Id="rId29" Type="http://schemas.openxmlformats.org/officeDocument/2006/relationships/image" Target="media/image14.jpg"/><Relationship Id="rId7" Type="http://schemas.openxmlformats.org/officeDocument/2006/relationships/image" Target="media/image25.png"/><Relationship Id="rId8" Type="http://schemas.openxmlformats.org/officeDocument/2006/relationships/image" Target="media/image6.png"/><Relationship Id="rId31" Type="http://schemas.openxmlformats.org/officeDocument/2006/relationships/image" Target="media/image7.png"/><Relationship Id="rId30" Type="http://schemas.openxmlformats.org/officeDocument/2006/relationships/image" Target="media/image4.jpg"/><Relationship Id="rId11" Type="http://schemas.openxmlformats.org/officeDocument/2006/relationships/image" Target="media/image13.jpg"/><Relationship Id="rId33" Type="http://schemas.openxmlformats.org/officeDocument/2006/relationships/header" Target="header1.xml"/><Relationship Id="rId10" Type="http://schemas.openxmlformats.org/officeDocument/2006/relationships/image" Target="media/image15.png"/><Relationship Id="rId32" Type="http://schemas.openxmlformats.org/officeDocument/2006/relationships/image" Target="media/image27.png"/><Relationship Id="rId13" Type="http://schemas.openxmlformats.org/officeDocument/2006/relationships/image" Target="media/image17.png"/><Relationship Id="rId35" Type="http://schemas.openxmlformats.org/officeDocument/2006/relationships/footer" Target="footer3.xml"/><Relationship Id="rId12" Type="http://schemas.openxmlformats.org/officeDocument/2006/relationships/image" Target="media/image16.png"/><Relationship Id="rId34"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24.png"/><Relationship Id="rId36" Type="http://schemas.openxmlformats.org/officeDocument/2006/relationships/footer" Target="footer1.xml"/><Relationship Id="rId17" Type="http://schemas.openxmlformats.org/officeDocument/2006/relationships/image" Target="media/image11.png"/><Relationship Id="rId16" Type="http://schemas.openxmlformats.org/officeDocument/2006/relationships/image" Target="media/image8.png"/><Relationship Id="rId19" Type="http://schemas.openxmlformats.org/officeDocument/2006/relationships/image" Target="media/image2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