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7"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1"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Qatar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Qatar</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Qatar went through during the period from 2013 to 2018. Specifically, we dive into the topic through a macroeconomic overview of Qatar from the perspective of Gross Domestic Product (GDP) and Economic Complexity Index (ECI), which reflect countries’ production capability and production structure, respectively. We find that during the period of our interest, Qatar demonstrated a low level of economic growth with an average annual GDP growth rate of 3.59%,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Qatar on the industry group level. The product classification system we adopt allows us to measure the realized industry development for various industry groups and to observe that Qa</w:t>
      </w:r>
      <w:r w:rsidDel="00000000" w:rsidR="00000000" w:rsidRPr="00000000">
        <w:rPr>
          <w:rtl w:val="0"/>
        </w:rPr>
        <w:t xml:space="preserve">tar consistently relied on developing the High-Complexity Products, Transportation,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Qatar can further its gains by prioritizing Raw Manufacturing and Services and Utilities. We further note that Qatar has a mismatched development strategy that indicates an average level (compared to other emerging countries) of structural optimality on the complexity level, having an adjusted R-square of around 1.46%. Since a significant positive correlation exists between five-year GDP growth and the structural optimality index of an economy as we define and calculate, Qatar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Qatar went through during the period from 2013 to 2018. Specifically, we dive into the topic through a macroeconomic overview of Qatar from the perspective of Gross Domestic Product (GDP) and Economic Complexity Index (ECI), which reflect countries’ production capability and production structure, respectively. We then analyze the industrial framework and changes of Qatar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Qatar,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Qatar and two of its peer countries (Kuwait and Qatar) from 2013-2018. Similar to the other countries, Qatar displayed upward growth over the period; notably, its growth was more consistent than both of its peers. Qatar’s average annual growth rate of 3.59% over the five-year period is in the middle of the pack, as it is lower than Kuwait’s 1.54% growth rate but higher than Qatar’s 4.38% growth rate.</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905250" cy="2524125"/>
            <wp:effectExtent b="0" l="0" r="0" t="0"/>
            <wp:docPr id="2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905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w:t>
      </w:r>
      <w:r w:rsidDel="00000000" w:rsidR="00000000" w:rsidRPr="00000000">
        <w:rPr>
          <w:rtl w:val="0"/>
        </w:rPr>
        <w:t xml:space="preserve">Ricard</w:t>
      </w:r>
      <w:r w:rsidDel="00000000" w:rsidR="00000000" w:rsidRPr="00000000">
        <w:rPr>
          <w:rtl w:val="0"/>
        </w:rPr>
        <w:t xml:space="preserve">o Hausmann and Cesar Hidalgo in 2009 to explain the knowledge accumulated in a country's population is illustrated in Figure 2. As shown, Qatar exhibits a significant percent decrease in production capability from 2013 to 2018; Qatar’s ECI change of -157.10% is lower than both that of Qatar (-69.32%) and Kuwait (77.89%). </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t xml:space="preserve">     </w:t>
        <w:tab/>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3867150" cy="2581275"/>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671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552950" cy="257175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5529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(Qatar)</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Qatar. The steady increase in GDP growth during the period from 2013 to 2018 is accompanied by a volatile eventual decrease in ECI. The results show that the economic growth experienced by Qatar during the period from 2013 to 2018, though relatively stable, is not very consistent with the predictions by ECI and that Qatar had not yet effectively developed a competitive product space that helps to accumulate complicated knowledge and technology. In order to provide a more concrete answer to why this has happened, we will dive into an analysis of Qatar’s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Qatar’s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015962" cy="4074366"/>
            <wp:effectExtent b="0" l="0" r="0" t="0"/>
            <wp:docPr id="20"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015962" cy="407436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rtl w:val="0"/>
        </w:rPr>
        <w:t xml:space="preserve">Table 2: Realized Industry Development (RID) of Qatar</w:t>
      </w:r>
    </w:p>
    <w:p w:rsidR="00000000" w:rsidDel="00000000" w:rsidP="00000000" w:rsidRDefault="00000000" w:rsidRPr="00000000" w14:paraId="00000090">
      <w:pPr>
        <w:pageBreakBefore w:val="0"/>
        <w:jc w:val="both"/>
        <w:rPr>
          <w:b w:val="1"/>
          <w:bCs w:val="1"/>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pPr>
      <w:r w:rsidDel="00000000" w:rsidR="00000000" w:rsidRPr="00000000">
        <w:rPr>
          <w:rtl w:val="0"/>
        </w:rPr>
        <w:t xml:space="preserve">Table 3 and 4 below summarize how the production strategy adopted by Qatar compares with leading economies and a selected group of emerging economies in the world, as measured in RID. </w:t>
      </w:r>
    </w:p>
    <w:p w:rsidR="00000000" w:rsidDel="00000000" w:rsidP="00000000" w:rsidRDefault="00000000" w:rsidRPr="00000000" w14:paraId="00000093">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4">
            <w:pPr>
              <w:pageBreakBefore w:val="0"/>
              <w:jc w:val="both"/>
              <w:rPr/>
            </w:pPr>
            <w:r w:rsidDel="00000000" w:rsidR="00000000" w:rsidRPr="00000000">
              <w:rPr>
                <w:rtl w:val="0"/>
              </w:rPr>
              <w:t xml:space="preserve">Ranking</w:t>
            </w:r>
          </w:p>
        </w:tc>
        <w:tc>
          <w:tcPr/>
          <w:p w:rsidR="00000000" w:rsidDel="00000000" w:rsidP="00000000" w:rsidRDefault="00000000" w:rsidRPr="00000000" w14:paraId="00000095">
            <w:pPr>
              <w:pageBreakBefore w:val="0"/>
              <w:jc w:val="both"/>
              <w:rPr/>
            </w:pPr>
            <w:r w:rsidDel="00000000" w:rsidR="00000000" w:rsidRPr="00000000">
              <w:rPr>
                <w:rtl w:val="0"/>
              </w:rPr>
              <w:t xml:space="preserve">France</w:t>
            </w:r>
          </w:p>
        </w:tc>
        <w:tc>
          <w:tcPr/>
          <w:p w:rsidR="00000000" w:rsidDel="00000000" w:rsidP="00000000" w:rsidRDefault="00000000" w:rsidRPr="00000000" w14:paraId="00000096">
            <w:pPr>
              <w:pageBreakBefore w:val="0"/>
              <w:jc w:val="both"/>
              <w:rPr/>
            </w:pPr>
            <w:r w:rsidDel="00000000" w:rsidR="00000000" w:rsidRPr="00000000">
              <w:rPr>
                <w:rtl w:val="0"/>
              </w:rPr>
              <w:t xml:space="preserve">US</w:t>
            </w:r>
          </w:p>
        </w:tc>
        <w:tc>
          <w:tcPr/>
          <w:p w:rsidR="00000000" w:rsidDel="00000000" w:rsidP="00000000" w:rsidRDefault="00000000" w:rsidRPr="00000000" w14:paraId="00000097">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8">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C">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0">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4">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8">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0">
            <w:pPr>
              <w:pageBreakBefore w:val="0"/>
              <w:jc w:val="both"/>
              <w:rPr/>
            </w:pPr>
            <w:r w:rsidDel="00000000" w:rsidR="00000000" w:rsidRPr="00000000">
              <w:rPr>
                <w:rtl w:val="0"/>
              </w:rPr>
              <w:t xml:space="preserve">Ranking</w:t>
            </w:r>
          </w:p>
        </w:tc>
        <w:tc>
          <w:tcPr/>
          <w:p w:rsidR="00000000" w:rsidDel="00000000" w:rsidP="00000000" w:rsidRDefault="00000000" w:rsidRPr="00000000" w14:paraId="000000B1">
            <w:pPr>
              <w:pageBreakBefore w:val="0"/>
              <w:jc w:val="both"/>
              <w:rPr/>
            </w:pPr>
            <w:r w:rsidDel="00000000" w:rsidR="00000000" w:rsidRPr="00000000">
              <w:rPr>
                <w:rtl w:val="0"/>
              </w:rPr>
              <w:t xml:space="preserve">China</w:t>
            </w:r>
          </w:p>
        </w:tc>
        <w:tc>
          <w:tcPr/>
          <w:p w:rsidR="00000000" w:rsidDel="00000000" w:rsidP="00000000" w:rsidRDefault="00000000" w:rsidRPr="00000000" w14:paraId="000000B2">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3">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4">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8">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C">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0">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4">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t xml:space="preserve">Table 4 further examines Qatar’s development strategy against those of emerging economies on a global scale. Reasonably, emerging economies such as China, South Korea, Singapore and India have devoted the majority of their efforts into intermediate industry groups.</w:t>
      </w: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F">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0">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959100"/>
            <wp:effectExtent b="0" l="0" r="0" t="0"/>
            <wp:docPr id="1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w:t>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Qatar shares the characters of developing countries, with a balanced economics structure that leans towards intermediate-level industries. </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drawing>
          <wp:inline distB="114300" distT="114300" distL="114300" distR="114300">
            <wp:extent cx="5734050" cy="2273300"/>
            <wp:effectExtent b="0" l="0" r="0" t="0"/>
            <wp:docPr id="3"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B">
      <w:pPr>
        <w:pageBreakBefore w:val="0"/>
        <w:jc w:val="center"/>
        <w:rPr/>
      </w:pPr>
      <w:r w:rsidDel="00000000" w:rsidR="00000000" w:rsidRPr="00000000">
        <w:rPr>
          <w:rtl w:val="0"/>
        </w:rPr>
      </w:r>
    </w:p>
    <w:p w:rsidR="00000000" w:rsidDel="00000000" w:rsidP="00000000" w:rsidRDefault="00000000" w:rsidRPr="00000000" w14:paraId="000000D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drawing>
          <wp:inline distB="114300" distT="114300" distL="114300" distR="114300">
            <wp:extent cx="2528888" cy="1141284"/>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center"/>
        <w:rPr/>
      </w:pPr>
      <w:r w:rsidDel="00000000" w:rsidR="00000000" w:rsidRPr="00000000">
        <w:rPr/>
        <w:drawing>
          <wp:inline distB="114300" distT="114300" distL="114300" distR="114300">
            <wp:extent cx="2138363" cy="71863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C">
      <w:pPr>
        <w:pageBreakBefore w:val="0"/>
        <w:rPr/>
      </w:pPr>
      <w:r w:rsidDel="00000000" w:rsidR="00000000" w:rsidRPr="00000000">
        <w:rPr>
          <w:rtl w:val="0"/>
        </w:rPr>
        <w:t xml:space="preserve"> </w:t>
      </w:r>
    </w:p>
    <w:p w:rsidR="00000000" w:rsidDel="00000000" w:rsidP="00000000" w:rsidRDefault="00000000" w:rsidRPr="00000000" w14:paraId="000000ED">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rtl w:val="0"/>
        </w:rPr>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2">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9">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A">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Below is the economic panel for Qatar in 2013. We can see that for different percentages of heuristic total export growth, the ECIs of Qatar have different amounts of increments. Overall, 5 and 10 percent export growth result in a similar ECI improvement pattern, which starts from around -0.13 and ends at around 0.56. However, 15 and 20 percent export growth are able to result in much higher ECI improvement trajectories where the ECI of Qatar is able to end at around 0.67. </w:t>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The optimization results of Qatar in 2013 are pretty diverse, meaning that there are many industries contained in the portfolio. For the cases of 5 and 10 percent growth in export, even though the ECI improvement trajectories are not so different, the main components in the portfolio are quite distinguishable. For 5 percent, high-complexity products, raw manufacturing and textile are the main components, while for 10 percent, animals and by-products, chemicals, raw manufacturing and food and preparations are the main ones. For the cases of 15 and 20 percent growth, not only do they follow similar ECI improvement trajectories but also they share a pretty close investment portfolio, which are mainly made up of food and preparations, chemical manufacturing, and raw chemicals, manufacturing etc.</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31200" cy="1955800"/>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955800"/>
                    </a:xfrm>
                    <a:prstGeom prst="rect"/>
                    <a:ln/>
                  </pic:spPr>
                </pic:pic>
              </a:graphicData>
            </a:graphic>
          </wp:inline>
        </w:drawing>
      </w:r>
      <w:r w:rsidDel="00000000" w:rsidR="00000000" w:rsidRPr="00000000">
        <w:rPr/>
        <w:drawing>
          <wp:inline distB="114300" distT="114300" distL="114300" distR="114300">
            <wp:extent cx="5713030" cy="1852613"/>
            <wp:effectExtent b="0" l="0" r="0" t="0"/>
            <wp:docPr id="23" name="image24.png"/>
            <a:graphic>
              <a:graphicData uri="http://schemas.openxmlformats.org/drawingml/2006/picture">
                <pic:pic>
                  <pic:nvPicPr>
                    <pic:cNvPr id="0" name="image24.png"/>
                    <pic:cNvPicPr preferRelativeResize="0"/>
                  </pic:nvPicPr>
                  <pic:blipFill>
                    <a:blip r:embed="rId17"/>
                    <a:srcRect b="6829" l="2159" r="0" t="0"/>
                    <a:stretch>
                      <a:fillRect/>
                    </a:stretch>
                  </pic:blipFill>
                  <pic:spPr>
                    <a:xfrm>
                      <a:off x="0" y="0"/>
                      <a:ext cx="5713030"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Figure 5: Greedy Based ECI Improvement Results of Qatar in 2013 with Different Budgets</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1498600"/>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Table 8: Portfolio of Qatar in 2013</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For further suggestions on Qatar’s development in the future. We also offer the optimization result based on its export data in 2018. Below is the economic panel for Qatar in 2018. With 5 percent export growth, Qatar should mainly focus on developing precious stones, chemicals, and textile. As the budget grows to 10 percent, the main components contain daily instruments, machinery and construction, and chemicals. For situations with higher budgets of investment, like 15 or 20 percent growth, although improvement patterns are similar, the portfolio obtained from a higher budget tends to be more comprehensive. Specifically, not only do they follow similar ECI improvement trajectories but also they share a pretty close investment portfolio, which are mainly made up of raw manufacturing, chemical manufacturing, daily instruments and machinery and construction etc. A more detailed numerical representation of the portfolio is shown in Table 9.</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5731200" cy="1892300"/>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543550" cy="1790700"/>
            <wp:effectExtent b="0" l="0" r="0" t="0"/>
            <wp:docPr id="13" name="image21.png"/>
            <a:graphic>
              <a:graphicData uri="http://schemas.openxmlformats.org/drawingml/2006/picture">
                <pic:pic>
                  <pic:nvPicPr>
                    <pic:cNvPr id="0" name="image21.png"/>
                    <pic:cNvPicPr preferRelativeResize="0"/>
                  </pic:nvPicPr>
                  <pic:blipFill>
                    <a:blip r:embed="rId20"/>
                    <a:srcRect b="5528" l="3322" r="0" t="0"/>
                    <a:stretch>
                      <a:fillRect/>
                    </a:stretch>
                  </pic:blipFill>
                  <pic:spPr>
                    <a:xfrm>
                      <a:off x="0" y="0"/>
                      <a:ext cx="55435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t xml:space="preserve">Figure 6: Greedy Based ECI Improvement Results of Qatar in 2018 with Different Budgets</w:t>
      </w:r>
    </w:p>
    <w:p w:rsidR="00000000" w:rsidDel="00000000" w:rsidP="00000000" w:rsidRDefault="00000000" w:rsidRPr="00000000" w14:paraId="0000012E">
      <w:pPr>
        <w:pageBreakBefore w:val="0"/>
        <w:jc w:val="both"/>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drawing>
          <wp:inline distB="114300" distT="114300" distL="114300" distR="114300">
            <wp:extent cx="5731200" cy="1346200"/>
            <wp:effectExtent b="0" l="0" r="0" t="0"/>
            <wp:docPr id="2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9: Portfolio of Qatar in 2018</w:t>
      </w:r>
    </w:p>
    <w:p w:rsidR="00000000" w:rsidDel="00000000" w:rsidP="00000000" w:rsidRDefault="00000000" w:rsidRPr="00000000" w14:paraId="00000132">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In the following section our broad aim is to understand how sensitive Qatar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7">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2.jpg"/>
            <a:graphic>
              <a:graphicData uri="http://schemas.openxmlformats.org/drawingml/2006/picture">
                <pic:pic>
                  <pic:nvPicPr>
                    <pic:cNvPr id="0" name="image2.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D">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734050" cy="1739900"/>
            <wp:effectExtent b="0" l="0" r="0" t="0"/>
            <wp:docPr id="7"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2">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Below is Qatar’s 2018 ECI Sensitivity Charts. Firstly in the positive chart, we notice immediately that increases in Services and Utilities leads to a sudden drop off in ECI that turns into a slight increase if a significant(1.5x-2x) increase is experienced in this industry. The ECI level of Qatar is negative already and as expected it is very insensitive to changes in most other industries. </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 we consider Qatar’s 2018 Negative Shock chart. We see that large decreases in Energy, Drilling, and Mining could have a massive positive impact on ECI score. In fact decreasing this particular industry brings Qatar out of the negative ECI range and into the positive. Additionally we see marginal increases in ECI that come along with decreases in Services and Utilities. Shocks to the rest of the industries seem to have little to no effect on the ECI score of Qatar.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drawing>
          <wp:inline distB="114300" distT="114300" distL="114300" distR="114300">
            <wp:extent cx="5731200" cy="2971800"/>
            <wp:effectExtent b="0" l="0" r="0" t="0"/>
            <wp:docPr id="19"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Qatar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b w:val="1"/>
          <w:bCs w:val="1"/>
        </w:rPr>
        <w:drawing>
          <wp:inline distB="114300" distT="114300" distL="114300" distR="114300">
            <wp:extent cx="5731200" cy="2971800"/>
            <wp:effectExtent b="0" l="0" r="0" t="0"/>
            <wp:docPr id="25"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ind w:left="1440" w:firstLine="720"/>
        <w:jc w:val="left"/>
        <w:rPr/>
      </w:pPr>
      <w:r w:rsidDel="00000000" w:rsidR="00000000" w:rsidRPr="00000000">
        <w:rPr>
          <w:rtl w:val="0"/>
        </w:rPr>
        <w:t xml:space="preserve">Qatar 2018 (Decremental  ECI Sensitivity)</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Next we consider the 2013 ECI Sensitivity graphs. We see that in 2013 Qatar is actually operating at a higher ECI than in 2018. Increases in Raw Manufacturing seem to offer the best increase to ECI for Qatar.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In the 2013 negative shocking case, we see that again decreases in Energy, Drilling, and Mining seem to increase the ECI score however not as drastically as we see in 2018. Additionally large decreases in Services and Utilities could potentially lead to major declines in the ECI.</w:t>
      </w:r>
    </w:p>
    <w:p w:rsidR="00000000" w:rsidDel="00000000" w:rsidP="00000000" w:rsidRDefault="00000000" w:rsidRPr="00000000" w14:paraId="00000159">
      <w:pPr>
        <w:pageBreakBefore w:val="0"/>
        <w:rPr/>
      </w:pPr>
      <w:r w:rsidDel="00000000" w:rsidR="00000000" w:rsidRPr="00000000">
        <w:rPr/>
        <w:drawing>
          <wp:inline distB="114300" distT="114300" distL="114300" distR="114300">
            <wp:extent cx="5731200" cy="2971800"/>
            <wp:effectExtent b="0" l="0" r="0" t="0"/>
            <wp:docPr id="9"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center"/>
        <w:rPr/>
      </w:pPr>
      <w:r w:rsidDel="00000000" w:rsidR="00000000" w:rsidRPr="00000000">
        <w:rPr>
          <w:rtl w:val="0"/>
        </w:rPr>
        <w:t xml:space="preserve">Qatar 2013 (Incremental ECI Sensitivity)</w:t>
      </w:r>
    </w:p>
    <w:p w:rsidR="00000000" w:rsidDel="00000000" w:rsidP="00000000" w:rsidRDefault="00000000" w:rsidRPr="00000000" w14:paraId="0000015C">
      <w:pPr>
        <w:pageBreakBefore w:val="0"/>
        <w:jc w:val="both"/>
        <w:rPr>
          <w:b w:val="1"/>
          <w:bCs w:val="1"/>
        </w:rPr>
      </w:pPr>
      <w:r w:rsidDel="00000000" w:rsidR="00000000" w:rsidRPr="00000000">
        <w:rPr>
          <w:b w:val="1"/>
          <w:bCs w:val="1"/>
        </w:rPr>
        <w:drawing>
          <wp:inline distB="114300" distT="114300" distL="114300" distR="114300">
            <wp:extent cx="5731200" cy="3009900"/>
            <wp:effectExtent b="0" l="0" r="0" t="0"/>
            <wp:docPr id="18"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Qatar 2013 (Decremental  ECI Sensitivity)</w:t>
      </w:r>
    </w:p>
    <w:p w:rsidR="00000000" w:rsidDel="00000000" w:rsidP="00000000" w:rsidRDefault="00000000" w:rsidRPr="00000000" w14:paraId="0000015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1">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3">
      <w:pPr>
        <w:pageBreakBefore w:val="0"/>
        <w:jc w:val="both"/>
        <w:rPr>
          <w:b w:val="1"/>
          <w:bCs w:val="1"/>
          <w:sz w:val="28"/>
          <w:szCs w:val="28"/>
        </w:rPr>
      </w:pPr>
      <w:r w:rsidDel="00000000" w:rsidR="00000000" w:rsidRPr="00000000">
        <w:rPr>
          <w:rtl w:val="0"/>
        </w:rPr>
        <w:t xml:space="preserve">Decreasing export of each industry in Qatar’s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5">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674046" cy="2795588"/>
            <wp:effectExtent b="0" l="0" r="0" t="0"/>
            <wp:docPr id="14"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4674046"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67">
      <w:pPr>
        <w:pageBreakBefore w:val="0"/>
        <w:jc w:val="center"/>
        <w:rPr>
          <w:sz w:val="22"/>
          <w:szCs w:val="22"/>
        </w:rPr>
      </w:pPr>
      <w:r w:rsidDel="00000000" w:rsidR="00000000" w:rsidRPr="00000000">
        <w:rPr>
          <w:rtl w:val="0"/>
        </w:rPr>
        <w:t xml:space="preserve">Qatar</w:t>
      </w:r>
      <w:r w:rsidDel="00000000" w:rsidR="00000000" w:rsidRPr="00000000">
        <w:rPr>
          <w:sz w:val="22"/>
          <w:szCs w:val="22"/>
          <w:rtl w:val="0"/>
        </w:rPr>
        <w:t xml:space="preserve"> Contingency Strategy 2018</w:t>
      </w:r>
    </w:p>
    <w:p w:rsidR="00000000" w:rsidDel="00000000" w:rsidP="00000000" w:rsidRDefault="00000000" w:rsidRPr="00000000" w14:paraId="00000168">
      <w:pPr>
        <w:pageBreakBefore w:val="0"/>
        <w:jc w:val="center"/>
        <w:rPr>
          <w:sz w:val="22"/>
          <w:szCs w:val="22"/>
        </w:rPr>
      </w:pPr>
      <w:r w:rsidDel="00000000" w:rsidR="00000000" w:rsidRPr="00000000">
        <w:rPr>
          <w:rtl w:val="0"/>
        </w:rPr>
      </w:r>
    </w:p>
    <w:p w:rsidR="00000000" w:rsidDel="00000000" w:rsidP="00000000" w:rsidRDefault="00000000" w:rsidRPr="00000000" w14:paraId="00000169">
      <w:pPr>
        <w:pageBreakBefore w:val="0"/>
        <w:jc w:val="center"/>
        <w:rPr>
          <w:sz w:val="28"/>
          <w:szCs w:val="28"/>
        </w:rPr>
      </w:pP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rtl w:val="0"/>
        </w:rPr>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6F">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2">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B">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C">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b w:val="1"/>
          <w:bCs w:val="1"/>
          <w:rtl w:val="0"/>
        </w:rPr>
        <w:t xml:space="preserve">5.2 SOI of Qatar and Its Implications</w:t>
      </w:r>
    </w:p>
    <w:p w:rsidR="00000000" w:rsidDel="00000000" w:rsidP="00000000" w:rsidRDefault="00000000" w:rsidRPr="00000000" w14:paraId="0000017F">
      <w:pPr>
        <w:pageBreakBefore w:val="0"/>
        <w:jc w:val="both"/>
        <w:rPr/>
      </w:pPr>
      <w:r w:rsidDel="00000000" w:rsidR="00000000" w:rsidRPr="00000000">
        <w:rPr>
          <w:rtl w:val="0"/>
        </w:rPr>
        <w:t xml:space="preserve">Qatar, for instance, has an average level of structural optimality as compared with its emerging peers. As the regression in Figure 7 suggests (the orange curve represents export increase and the blue curve stands for opportunity gain of the corresponding industry), Qatar demonstrates a low level of correlation with the suggested developmental path, having an adjusted R-square of around 1.46%. Qatar. ranks in the third quartile among all countries in terms of SOI and has made a lower rate of economic progress among its emerging peers from 2013 to 2018 with a 5-year GDP growth rate of 23.4%, which is consistent with the regression result in Figure 6. This is in direct contrast to other emerging economies such as Turkey, where there is high SOI of around 21.8% and a corresponding GDP growth of 36.7% from 2013 to 2018, making it one of the fastest developing economies during the period. In sum, Qatar’s slow economic progress from 2013 to 2018 can be at least partially explained by a development strategy that demonstrates an imperfect level of matches with our suggested developmental path. In specific, Qatar invested heavily in the Animals and By-Products, as well as Vegetables/Fruits/Plants industries, when it should have focused more on Services and Utilities, as well as the Daily Instruments industries.</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drawing>
          <wp:inline distB="114300" distT="114300" distL="114300" distR="114300">
            <wp:extent cx="6114358" cy="2295525"/>
            <wp:effectExtent b="0" l="0" r="0" t="0"/>
            <wp:docPr id="10" name="image26.png"/>
            <a:graphic>
              <a:graphicData uri="http://schemas.openxmlformats.org/drawingml/2006/picture">
                <pic:pic>
                  <pic:nvPicPr>
                    <pic:cNvPr id="0" name="image26.png"/>
                    <pic:cNvPicPr preferRelativeResize="0"/>
                  </pic:nvPicPr>
                  <pic:blipFill>
                    <a:blip r:embed="rId31"/>
                    <a:srcRect b="0" l="-638" r="0" t="0"/>
                    <a:stretch>
                      <a:fillRect/>
                    </a:stretch>
                  </pic:blipFill>
                  <pic:spPr>
                    <a:xfrm>
                      <a:off x="0" y="0"/>
                      <a:ext cx="611435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jc w:val="center"/>
        <w:rPr>
          <w:b w:val="1"/>
          <w:bCs w:val="1"/>
        </w:rPr>
      </w:pPr>
      <w:r w:rsidDel="00000000" w:rsidR="00000000" w:rsidRPr="00000000">
        <w:rPr>
          <w:rtl w:val="0"/>
        </w:rPr>
        <w:t xml:space="preserve">Figure 7: SOI of Qatar (2009-2014)</w:t>
      </w: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In conclusion, Qatar has demonstrated a low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Qatar on the industry group level. The product classification system we adopt allows us to measure the realized industry development for various industry groups and to observe that Qa</w:t>
      </w:r>
      <w:r w:rsidDel="00000000" w:rsidR="00000000" w:rsidRPr="00000000">
        <w:rPr>
          <w:rtl w:val="0"/>
        </w:rPr>
        <w:t xml:space="preserve">tar consistently relied on developing the High-Complexity Products, Transportation,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Based on our analysis of the opportunity gain and a sensitivity analysis of major industry groups, Qatar can further its gains by prioritizing Raw Manufacturing and Services and Utilities. We further note that Qatar has a mismatched development strategy that indicates an average level (compared to other emerging countries) of structural optimality on the complexity level, having an adjusted R-square of around 1.46%. Since a significant positive correlation exists between five-year GDP growth and the structural optimality index of an economy as we define and calculate, Qatar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D">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F">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1">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3">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5">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7">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9">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B">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D">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E">
      <w:pPr>
        <w:pageBreakBefore w:val="0"/>
        <w:jc w:val="both"/>
        <w:rPr/>
      </w:pPr>
      <w:r w:rsidDel="00000000" w:rsidR="00000000" w:rsidRPr="00000000">
        <w:rPr>
          <w:rtl w:val="0"/>
        </w:rPr>
      </w:r>
    </w:p>
    <w:sectPr>
      <w:headerReference r:id="rId32" w:type="default"/>
      <w:footerReference r:id="rId33" w:type="default"/>
      <w:footerReference r:id="rId34" w:type="first"/>
      <w:footerReference r:id="rId3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jpg"/><Relationship Id="rId21" Type="http://schemas.openxmlformats.org/officeDocument/2006/relationships/image" Target="media/image22.png"/><Relationship Id="rId24" Type="http://schemas.openxmlformats.org/officeDocument/2006/relationships/image" Target="media/image3.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jpg"/><Relationship Id="rId25" Type="http://schemas.openxmlformats.org/officeDocument/2006/relationships/image" Target="media/image11.jpg"/><Relationship Id="rId28" Type="http://schemas.openxmlformats.org/officeDocument/2006/relationships/image" Target="media/image19.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0.jpg"/><Relationship Id="rId7" Type="http://schemas.openxmlformats.org/officeDocument/2006/relationships/image" Target="media/image25.png"/><Relationship Id="rId8" Type="http://schemas.openxmlformats.org/officeDocument/2006/relationships/image" Target="media/image20.png"/><Relationship Id="rId31" Type="http://schemas.openxmlformats.org/officeDocument/2006/relationships/image" Target="media/image26.png"/><Relationship Id="rId30" Type="http://schemas.openxmlformats.org/officeDocument/2006/relationships/image" Target="media/image9.png"/><Relationship Id="rId11" Type="http://schemas.openxmlformats.org/officeDocument/2006/relationships/image" Target="media/image5.jpg"/><Relationship Id="rId33" Type="http://schemas.openxmlformats.org/officeDocument/2006/relationships/footer" Target="footer2.xml"/><Relationship Id="rId10" Type="http://schemas.openxmlformats.org/officeDocument/2006/relationships/image" Target="media/image12.png"/><Relationship Id="rId32" Type="http://schemas.openxmlformats.org/officeDocument/2006/relationships/header" Target="header1.xml"/><Relationship Id="rId13" Type="http://schemas.openxmlformats.org/officeDocument/2006/relationships/image" Target="media/image13.jpg"/><Relationship Id="rId35" Type="http://schemas.openxmlformats.org/officeDocument/2006/relationships/footer" Target="footer1.xml"/><Relationship Id="rId12" Type="http://schemas.openxmlformats.org/officeDocument/2006/relationships/image" Target="media/image23.png"/><Relationship Id="rId34" Type="http://schemas.openxmlformats.org/officeDocument/2006/relationships/footer" Target="footer3.xml"/><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24.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