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8" name="image8.png"/>
            <a:graphic>
              <a:graphicData uri="http://schemas.openxmlformats.org/drawingml/2006/picture">
                <pic:pic>
                  <pic:nvPicPr>
                    <pic:cNvPr descr="horizontal line" id="0" name="image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6"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Russia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Russia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Russia went through during the period from 2013 to 2018. Specifically, we dive into the topic through a macroeconomic overview of Russia from the perspective of Gross Domestic Product (GDP) and Economic Complexity Index (ECI), which reflect countries’ production capability and production structure, respectively. We find that during the period of our interest, Russia demonstrated a low level of economic growth with an average annual GDP growth rate of 1.31%, however with an increase in economic complexity compared to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Russia on the industry group level. The product classification system we adopt allows us to measure the realized industry development for various industry groups and to observe that Russia regressed in developing most of its industries during the </w:t>
      </w:r>
      <w:r w:rsidDel="00000000" w:rsidR="00000000" w:rsidRPr="00000000">
        <w:rPr>
          <w:rtl w:val="0"/>
        </w:rPr>
        <w:t xml:space="preserve">period, while its developed counterparts and emerging economies around the globe adopted much more complex and progressive paths.</w:t>
      </w:r>
      <w:r w:rsidDel="00000000" w:rsidR="00000000" w:rsidRPr="00000000">
        <w:rPr>
          <w:rtl w:val="0"/>
        </w:rPr>
        <w:t xml:space="preserve"> </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Russia can further its gains by prioritizing Raw Manufacturing, Weapons, and Chemical Manufacturing. We further note that Russia has a heavily mismatched development strategy that indicates a low level (compared to other developed countries) of structural optimality on the complexity level, having an adjusted R-square of around -0.37%. Since a significant positive correlation exists between five-year GDP growth and the structural optimality index of an economy as we define and calculate, Russia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Russia went through during the period from 2013 to 2018. Specifically, we dive into the topic through a macroeconomic overview of Russia from the perspective of Gross Domestic Product (GDP) and Economic Complexity Index (ECI), which reflect countries’ production capability and production structure, respectively. We then analyze the industrial framework and changes of Russia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Russia,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Russia and two of its peer countries (Brazil and Germany) from 2013-2018. Similar to the other countries, Russia displayed an eventual upward trend over the period; however, its growth was less consistent than both Russia’s and Germany’s growth. Russia’s average annual GDP growth rate (1.31%) is in the middle of the pack, as it is greater than Brazil’s rate (0.69%), but less than Germany’s rate (3.28%).</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810000" cy="2533650"/>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810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left"/>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As shown, Russia exhibits a small increase in production capability from 2013 to 2018. Russia is in a strong position in ECI terms, as its ECI change of 64.66% is greater than both Brazil (-24.62%) and Germany (52.80%).</w:t>
      </w:r>
    </w:p>
    <w:p w:rsidR="00000000" w:rsidDel="00000000" w:rsidP="00000000" w:rsidRDefault="00000000" w:rsidRPr="00000000" w14:paraId="00000024">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686175" cy="2533650"/>
            <wp:effectExtent b="0" l="0" r="0" t="0"/>
            <wp:docPr id="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6861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191000" cy="2581275"/>
            <wp:effectExtent b="0" l="0" r="0" t="0"/>
            <wp:docPr id="27"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4191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(Russia)</w:t>
      </w:r>
    </w:p>
    <w:p w:rsidR="00000000" w:rsidDel="00000000" w:rsidP="00000000" w:rsidRDefault="00000000" w:rsidRPr="00000000" w14:paraId="0000002B">
      <w:pPr>
        <w:pageBreakBefore w:val="0"/>
        <w:jc w:val="center"/>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Israel.. The volatile increase in GDP growth during the period from 2013 to 2018 is accompanied by a similarly volatile increase in ECI. The results show that the economic growth experienced by Russia during the period from 2013 to 2018 is only partially consistent with the predictions by ECI and that Russia made strong progress towards effectively developing a competitive product space that helps to accumulate complicated knowledge and technology. In order to provide a more concrete answer to why this has happened, we will dive into an analysis of Russia’s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Russia’s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C">
      <w:pPr>
        <w:pageBreakBefore w:val="0"/>
        <w:jc w:val="center"/>
        <w:rPr/>
      </w:pPr>
      <w:r w:rsidDel="00000000" w:rsidR="00000000" w:rsidRPr="00000000">
        <w:rPr/>
        <w:drawing>
          <wp:inline distB="114300" distT="114300" distL="114300" distR="114300">
            <wp:extent cx="2077875" cy="4333009"/>
            <wp:effectExtent b="0" l="0" r="0" t="0"/>
            <wp:docPr id="25" name="image25.jpg"/>
            <a:graphic>
              <a:graphicData uri="http://schemas.openxmlformats.org/drawingml/2006/picture">
                <pic:pic>
                  <pic:nvPicPr>
                    <pic:cNvPr id="0" name="image25.jpg"/>
                    <pic:cNvPicPr preferRelativeResize="0"/>
                  </pic:nvPicPr>
                  <pic:blipFill>
                    <a:blip r:embed="rId11"/>
                    <a:srcRect b="0" l="0" r="0" t="0"/>
                    <a:stretch>
                      <a:fillRect/>
                    </a:stretch>
                  </pic:blipFill>
                  <pic:spPr>
                    <a:xfrm>
                      <a:off x="0" y="0"/>
                      <a:ext cx="2077875" cy="433300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Russia</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Russia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Russia’s development strategy against those of emerging economies on a global scale. Reasonably, emerging economies such as China, South Korea, Singapore and India have devoted the majority of their efforts into intermediate industry groups.</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drawing>
          <wp:inline distB="114300" distT="114300" distL="114300" distR="114300">
            <wp:extent cx="5731200" cy="2946400"/>
            <wp:effectExtent b="0" l="0" r="0" t="0"/>
            <wp:docPr id="26"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drawing>
          <wp:inline distB="114300" distT="114300" distL="114300" distR="114300">
            <wp:extent cx="5731200" cy="2997200"/>
            <wp:effectExtent b="0" l="0" r="0" t="0"/>
            <wp:docPr id="2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t xml:space="preserve">Table 5: Opportunity Gain Ranking on a Comparable Scale for 2013(up) and 2018(down)</w:t>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Russia shares the characters of developing countries, with a balanced economics structure that leans towards intermediate-level industries. </w:t>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drawing>
          <wp:inline distB="114300" distT="114300" distL="114300" distR="114300">
            <wp:extent cx="5734050" cy="2273300"/>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C">
      <w:pPr>
        <w:pageBreakBefore w:val="0"/>
        <w:jc w:val="center"/>
        <w:rPr/>
      </w:pPr>
      <w:r w:rsidDel="00000000" w:rsidR="00000000" w:rsidRPr="00000000">
        <w:rPr>
          <w:rtl w:val="0"/>
        </w:rPr>
      </w:r>
    </w:p>
    <w:p w:rsidR="00000000" w:rsidDel="00000000" w:rsidP="00000000" w:rsidRDefault="00000000" w:rsidRPr="00000000" w14:paraId="000000DD">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0">
      <w:pPr>
        <w:pageBreakBefore w:val="0"/>
        <w:jc w:val="both"/>
        <w:rPr/>
      </w:pPr>
      <w:r w:rsidDel="00000000" w:rsidR="00000000" w:rsidRPr="00000000">
        <w:rPr>
          <w:rtl w:val="0"/>
        </w:rPr>
      </w:r>
    </w:p>
    <w:p w:rsidR="00000000" w:rsidDel="00000000" w:rsidP="00000000" w:rsidRDefault="00000000" w:rsidRPr="00000000" w14:paraId="000000E1">
      <w:pPr>
        <w:pageBreakBefore w:val="0"/>
        <w:jc w:val="center"/>
        <w:rPr/>
      </w:pPr>
      <w:r w:rsidDel="00000000" w:rsidR="00000000" w:rsidRPr="00000000">
        <w:rPr/>
        <w:drawing>
          <wp:inline distB="114300" distT="114300" distL="114300" distR="114300">
            <wp:extent cx="2528888" cy="1141284"/>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ageBreakBefore w:val="0"/>
        <w:jc w:val="center"/>
        <w:rPr/>
      </w:pPr>
      <w:r w:rsidDel="00000000" w:rsidR="00000000" w:rsidRPr="00000000">
        <w:rPr>
          <w:rtl w:val="0"/>
        </w:rPr>
      </w:r>
    </w:p>
    <w:p w:rsidR="00000000" w:rsidDel="00000000" w:rsidP="00000000" w:rsidRDefault="00000000" w:rsidRPr="00000000" w14:paraId="000000E3">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4">
      <w:pPr>
        <w:pageBreakBefore w:val="0"/>
        <w:jc w:val="both"/>
        <w:rPr/>
      </w:pPr>
      <w:r w:rsidDel="00000000" w:rsidR="00000000" w:rsidRPr="00000000">
        <w:rPr>
          <w:rtl w:val="0"/>
        </w:rPr>
        <w:t xml:space="preserve"> </w:t>
      </w:r>
    </w:p>
    <w:p w:rsidR="00000000" w:rsidDel="00000000" w:rsidP="00000000" w:rsidRDefault="00000000" w:rsidRPr="00000000" w14:paraId="000000E5">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6">
      <w:pPr>
        <w:pageBreakBefore w:val="0"/>
        <w:jc w:val="both"/>
        <w:rPr/>
      </w:pPr>
      <w:r w:rsidDel="00000000" w:rsidR="00000000" w:rsidRPr="00000000">
        <w:rPr>
          <w:rtl w:val="0"/>
        </w:rPr>
        <w:t xml:space="preserve"> </w:t>
      </w:r>
    </w:p>
    <w:p w:rsidR="00000000" w:rsidDel="00000000" w:rsidP="00000000" w:rsidRDefault="00000000" w:rsidRPr="00000000" w14:paraId="000000E7">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jc w:val="center"/>
        <w:rPr/>
      </w:pPr>
      <w:r w:rsidDel="00000000" w:rsidR="00000000" w:rsidRPr="00000000">
        <w:rPr/>
        <w:drawing>
          <wp:inline distB="114300" distT="114300" distL="114300" distR="114300">
            <wp:extent cx="2138363" cy="718630"/>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D">
      <w:pPr>
        <w:pageBreakBefore w:val="0"/>
        <w:rPr/>
      </w:pPr>
      <w:r w:rsidDel="00000000" w:rsidR="00000000" w:rsidRPr="00000000">
        <w:rPr>
          <w:rtl w:val="0"/>
        </w:rPr>
        <w:t xml:space="preserve"> </w:t>
      </w:r>
    </w:p>
    <w:p w:rsidR="00000000" w:rsidDel="00000000" w:rsidP="00000000" w:rsidRDefault="00000000" w:rsidRPr="00000000" w14:paraId="000000EE">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F">
      <w:pPr>
        <w:pageBreakBefore w:val="0"/>
        <w:jc w:val="both"/>
        <w:rPr>
          <w:b w:val="1"/>
          <w:bCs w:val="1"/>
        </w:rPr>
      </w:pP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3">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A">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B">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C">
      <w:pPr>
        <w:pageBreakBefore w:val="0"/>
        <w:jc w:val="center"/>
        <w:rPr/>
      </w:pP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t xml:space="preserve">Below is the economic panel for Russia in 2013. We can see that for different percentages of heuristic total export growth, the ECIs of Russia actually have different amounts of increments. Overall, 5 percent export growth results in a ECI improvement pattern starting from around -1.05 and ends at around 0.28. As the budget is increased to 10 percent export growth, the ECI of Russia can achieve a slightly higher level, which is around 0.84. With much more growth budget, including 15 and 20 percent growth, Russia is able to achieve an even much higher stage, which is around 0.85. </w:t>
      </w:r>
    </w:p>
    <w:p w:rsidR="00000000" w:rsidDel="00000000" w:rsidP="00000000" w:rsidRDefault="00000000" w:rsidRPr="00000000" w14:paraId="0000011E">
      <w:pPr>
        <w:pageBreakBefore w:val="0"/>
        <w:jc w:val="both"/>
        <w:rPr/>
      </w:pPr>
      <w:r w:rsidDel="00000000" w:rsidR="00000000" w:rsidRPr="00000000">
        <w:rPr>
          <w:rtl w:val="0"/>
        </w:rPr>
        <w:t xml:space="preserve"> </w:t>
      </w:r>
    </w:p>
    <w:p w:rsidR="00000000" w:rsidDel="00000000" w:rsidP="00000000" w:rsidRDefault="00000000" w:rsidRPr="00000000" w14:paraId="0000011F">
      <w:pPr>
        <w:pageBreakBefore w:val="0"/>
        <w:jc w:val="both"/>
        <w:rPr/>
      </w:pPr>
      <w:r w:rsidDel="00000000" w:rsidR="00000000" w:rsidRPr="00000000">
        <w:rPr>
          <w:rtl w:val="0"/>
        </w:rPr>
        <w:t xml:space="preserve">For the case of 5 percent export growth, raw manufacturing is one of the main components. With a budget of 10 percent export growth, machinery and construction accounts for most of the portfolio. As the budgets are increased to 15 and 20 percent export growth, not only do they follow similar ECI improvement trajectories but also they share a pretty close investment portfolio, which are mainly made up of machinery and construction, chemical manufacturing, chemicals etc. In these four ECI improvement trajectories, we also notice that the largest improvement comes from services and utilities, suggesting that with a low economic improvement anticipation, Russia should focus more on developing the industry of services and utilities. A more detailed numerical representation of the portfolio is shown in Table 8.</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887890" cy="2005013"/>
            <wp:effectExtent b="0" l="0" r="0" t="0"/>
            <wp:docPr id="1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500" cy="1833563"/>
            <wp:effectExtent b="0" l="0" r="0" t="0"/>
            <wp:docPr id="31" name="image18.png"/>
            <a:graphic>
              <a:graphicData uri="http://schemas.openxmlformats.org/drawingml/2006/picture">
                <pic:pic>
                  <pic:nvPicPr>
                    <pic:cNvPr id="0" name="image18.png"/>
                    <pic:cNvPicPr preferRelativeResize="0"/>
                  </pic:nvPicPr>
                  <pic:blipFill>
                    <a:blip r:embed="rId18"/>
                    <a:srcRect b="8293" l="2824" r="0" t="0"/>
                    <a:stretch>
                      <a:fillRect/>
                    </a:stretch>
                  </pic:blipFill>
                  <pic:spPr>
                    <a:xfrm>
                      <a:off x="0" y="0"/>
                      <a:ext cx="5705500"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Figure 5: Greedy Based ECI Improvement Results of Russia in 2013 with Different Budgets</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1200" cy="1079500"/>
            <wp:effectExtent b="0" l="0" r="0" t="0"/>
            <wp:docPr id="30"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center"/>
        <w:rPr/>
      </w:pPr>
      <w:r w:rsidDel="00000000" w:rsidR="00000000" w:rsidRPr="00000000">
        <w:rPr>
          <w:rtl w:val="0"/>
        </w:rPr>
        <w:t xml:space="preserve">Table 8: Portfolio of Russia in 2013</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t xml:space="preserve">For further suggestions on Russia’s development in the future, we also offer the optimization result based on its export data in 2018. Below is the economic panel for Russia in 2018. We can see that there are two patterns for the ECI improvement trajectories in four cases, which is that the improvements in 5 and 10 percent export growth share one pattern, and the improvements in 15 and 20 share another one. For 5 and 10 percent growth, even though the ECI improvement trajectories are not so different, the main components in the portfolio are quite distinguishable. In detail, for 5 percent export growth, chemical manufacturing, textile, and raw manufacturing are the main components, while for 10 percent, daily instruments, chemical manufacturing and raw manufacturing are the main ones. For the cases of 15 and 20 percent growth, not only do they follow similar ECI improvement trajectories but also they share a pretty close investment portfolio, which are mainly made up of transportation, high-complexity products, chemical manufacturing etc. A more detailed numerical representation of the portfolio is shown in Table 9.</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drawing>
          <wp:inline distB="114300" distT="114300" distL="114300" distR="114300">
            <wp:extent cx="6040580" cy="2062163"/>
            <wp:effectExtent b="0" l="0" r="0" t="0"/>
            <wp:docPr id="2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41349" cy="1833563"/>
            <wp:effectExtent b="0" l="0" r="0" t="0"/>
            <wp:docPr id="15" name="image19.png"/>
            <a:graphic>
              <a:graphicData uri="http://schemas.openxmlformats.org/drawingml/2006/picture">
                <pic:pic>
                  <pic:nvPicPr>
                    <pic:cNvPr id="0" name="image19.png"/>
                    <pic:cNvPicPr preferRelativeResize="0"/>
                  </pic:nvPicPr>
                  <pic:blipFill>
                    <a:blip r:embed="rId21"/>
                    <a:srcRect b="10732" l="3156" r="0" t="0"/>
                    <a:stretch>
                      <a:fillRect/>
                    </a:stretch>
                  </pic:blipFill>
                  <pic:spPr>
                    <a:xfrm>
                      <a:off x="0" y="0"/>
                      <a:ext cx="5841349"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center"/>
        <w:rPr/>
      </w:pPr>
      <w:r w:rsidDel="00000000" w:rsidR="00000000" w:rsidRPr="00000000">
        <w:rPr>
          <w:rtl w:val="0"/>
        </w:rPr>
        <w:t xml:space="preserve">Figure 6: Greedy Based ECI Improvement Results of Russia in 2018 with Different Budgets</w:t>
      </w:r>
    </w:p>
    <w:p w:rsidR="00000000" w:rsidDel="00000000" w:rsidP="00000000" w:rsidRDefault="00000000" w:rsidRPr="00000000" w14:paraId="0000012E">
      <w:pPr>
        <w:pageBreakBefore w:val="0"/>
        <w:jc w:val="both"/>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drawing>
          <wp:inline distB="114300" distT="114300" distL="114300" distR="114300">
            <wp:extent cx="5731200" cy="1371600"/>
            <wp:effectExtent b="0" l="0" r="0" t="0"/>
            <wp:docPr id="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rtl w:val="0"/>
        </w:rPr>
        <w:t xml:space="preserve">Table 9: Portfolio of Russia in 2018</w:t>
      </w:r>
    </w:p>
    <w:p w:rsidR="00000000" w:rsidDel="00000000" w:rsidP="00000000" w:rsidRDefault="00000000" w:rsidRPr="00000000" w14:paraId="00000132">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3">
      <w:pPr>
        <w:pageBreakBefore w:val="0"/>
        <w:spacing w:after="240" w:before="240" w:line="276" w:lineRule="auto"/>
        <w:rPr/>
      </w:pPr>
      <w:r w:rsidDel="00000000" w:rsidR="00000000" w:rsidRPr="00000000">
        <w:rPr>
          <w:rtl w:val="0"/>
        </w:rPr>
        <w:t xml:space="preserve">In the following section our broad aim is to understand how sensitive Russia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7">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8"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9">
      <w:pPr>
        <w:pageBreakBefore w:val="0"/>
        <w:jc w:val="both"/>
        <w:rPr>
          <w:b w:val="1"/>
          <w:bCs w:val="1"/>
        </w:rPr>
      </w:pPr>
      <w:r w:rsidDel="00000000" w:rsidR="00000000" w:rsidRPr="00000000">
        <w:rPr>
          <w:rtl w:val="0"/>
        </w:rPr>
      </w:r>
    </w:p>
    <w:p w:rsidR="00000000" w:rsidDel="00000000" w:rsidP="00000000" w:rsidRDefault="00000000" w:rsidRPr="00000000" w14:paraId="0000013A">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D">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drawing>
          <wp:inline distB="114300" distT="114300" distL="114300" distR="114300">
            <wp:extent cx="5734050" cy="1739900"/>
            <wp:effectExtent b="0" l="0" r="0" t="0"/>
            <wp:docPr id="10"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1">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2">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3">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7"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Below is Russia’s 2018 ECI Sensitivity Charts. Firstly in the positive chart, we notice immediately that increases in Raw Manufacturing, Weapons, Chemical Manufacturing lead to an uptrend of ECI. Raw Manufacturing and Chemical Manufacturing seem to give the most immediate increase in ECI for only a 20-30% increase in export magnitude. </w:t>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Next we consider Russia’s 2018 Negative Shock chart. We see that Russia is sensitive to changes in export level in Energy, Drilling, and Mining as well as Services and Utilities. Interesting Russia is highly insensitive to changes in most other industries suggesting that Russia has a good blend of industries that complement each other and are able to compensate for reductions in other industries. </w:t>
      </w:r>
    </w:p>
    <w:p w:rsidR="00000000" w:rsidDel="00000000" w:rsidP="00000000" w:rsidRDefault="00000000" w:rsidRPr="00000000" w14:paraId="0000014F">
      <w:pPr>
        <w:pageBreakBefore w:val="0"/>
        <w:jc w:val="both"/>
        <w:rPr>
          <w:b w:val="1"/>
          <w:bCs w:val="1"/>
        </w:rPr>
      </w:pPr>
      <w:r w:rsidDel="00000000" w:rsidR="00000000" w:rsidRPr="00000000">
        <w:rPr>
          <w:b w:val="1"/>
          <w:bCs w:val="1"/>
        </w:rPr>
        <w:drawing>
          <wp:inline distB="114300" distT="114300" distL="114300" distR="114300">
            <wp:extent cx="5731200" cy="2984500"/>
            <wp:effectExtent b="0" l="0" r="0" t="0"/>
            <wp:docPr id="19"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jc w:val="center"/>
        <w:rPr>
          <w:b w:val="1"/>
          <w:bCs w:val="1"/>
        </w:rPr>
      </w:pPr>
      <w:r w:rsidDel="00000000" w:rsidR="00000000" w:rsidRPr="00000000">
        <w:rPr>
          <w:rtl w:val="0"/>
        </w:rPr>
        <w:t xml:space="preserve">Russia 2018 (Incremental ECI Sensitivity)</w:t>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3"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ageBreakBefore w:val="0"/>
        <w:ind w:left="720" w:firstLine="720"/>
        <w:jc w:val="left"/>
        <w:rPr/>
      </w:pPr>
      <w:r w:rsidDel="00000000" w:rsidR="00000000" w:rsidRPr="00000000">
        <w:rPr>
          <w:rtl w:val="0"/>
        </w:rPr>
        <w:t xml:space="preserve">Russia 2018 (Decremental  ECI Sensitivity)</w:t>
      </w:r>
    </w:p>
    <w:p w:rsidR="00000000" w:rsidDel="00000000" w:rsidP="00000000" w:rsidRDefault="00000000" w:rsidRPr="00000000" w14:paraId="00000154">
      <w:pPr>
        <w:pageBreakBefore w:val="0"/>
        <w:jc w:val="center"/>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Raw Manufacturing, Weapons, Chemical Manufacturing, and Services and Utilities lead to an uptrend of ECI. However we see that in 2013 Russia seems to be highly sensitive to increases in Energy Drilling and Mining. </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In the 2013 negative shocking case, we see that again that Russia is very sensitive to drawbacks in Energy.  Again we see that Russia is highly insensitive to drawdowns in the majority of its industries. However unlike the 2018 case, we see quite a bit of sensitivity to Metals. </w:t>
      </w:r>
      <w:r w:rsidDel="00000000" w:rsidR="00000000" w:rsidRPr="00000000">
        <w:rPr/>
        <w:drawing>
          <wp:inline distB="114300" distT="114300" distL="114300" distR="114300">
            <wp:extent cx="5731200" cy="2959100"/>
            <wp:effectExtent b="0" l="0" r="0" t="0"/>
            <wp:docPr id="20"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Russia 2013 (Incremental ECI Sensitivity)</w:t>
      </w:r>
    </w:p>
    <w:p w:rsidR="00000000" w:rsidDel="00000000" w:rsidP="00000000" w:rsidRDefault="00000000" w:rsidRPr="00000000" w14:paraId="0000015A">
      <w:pPr>
        <w:pageBreakBefore w:val="0"/>
        <w:jc w:val="center"/>
        <w:rPr/>
      </w:pP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24" name="image6.jpg"/>
            <a:graphic>
              <a:graphicData uri="http://schemas.openxmlformats.org/drawingml/2006/picture">
                <pic:pic>
                  <pic:nvPicPr>
                    <pic:cNvPr id="0" name="image6.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jc w:val="center"/>
        <w:rPr/>
      </w:pPr>
      <w:r w:rsidDel="00000000" w:rsidR="00000000" w:rsidRPr="00000000">
        <w:rPr>
          <w:rtl w:val="0"/>
        </w:rPr>
        <w:t xml:space="preserve">Russia 2013 (Decremental  ECI Sensitivity)</w:t>
      </w:r>
    </w:p>
    <w:p w:rsidR="00000000" w:rsidDel="00000000" w:rsidP="00000000" w:rsidRDefault="00000000" w:rsidRPr="00000000" w14:paraId="0000015E">
      <w:pPr>
        <w:pageBreakBefore w:val="0"/>
        <w:jc w:val="both"/>
        <w:rPr>
          <w:b w:val="1"/>
          <w:bCs w:val="1"/>
        </w:rPr>
      </w:pPr>
      <w:r w:rsidDel="00000000" w:rsidR="00000000" w:rsidRPr="00000000">
        <w:rPr>
          <w:rtl w:val="0"/>
        </w:rPr>
      </w:r>
    </w:p>
    <w:p w:rsidR="00000000" w:rsidDel="00000000" w:rsidP="00000000" w:rsidRDefault="00000000" w:rsidRPr="00000000" w14:paraId="0000015F">
      <w:pPr>
        <w:pageBreakBefore w:val="0"/>
        <w:jc w:val="both"/>
        <w:rPr>
          <w:b w:val="1"/>
          <w:bCs w:val="1"/>
        </w:rPr>
      </w:pP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Below we see the SDV sensitivity charts for High Complexity Products. Russia’s SDV is quite insensitive to changes in High Complexity Products since this does not seem to be a key industry for the Russian economy. In both the positive negative SDV sensitivity chart we see that the SDV does not change for any level of shock to the export level of High Complexity Products. </w:t>
      </w:r>
    </w:p>
    <w:p w:rsidR="00000000" w:rsidDel="00000000" w:rsidP="00000000" w:rsidRDefault="00000000" w:rsidRPr="00000000" w14:paraId="00000162">
      <w:pPr>
        <w:pageBreakBefore w:val="0"/>
        <w:rPr>
          <w:b w:val="1"/>
          <w:bCs w:val="1"/>
        </w:rPr>
      </w:pPr>
      <w:r w:rsidDel="00000000" w:rsidR="00000000" w:rsidRPr="00000000">
        <w:rPr>
          <w:rtl w:val="0"/>
        </w:rPr>
        <w:t xml:space="preserve">Considering the Food and Preparations SDV sensitivity charts we see that Russia again is fairly insensitive to this industry. We see a slight change in the SDV from a decrease of 26% in Food and Preparations but in general the industries that have positive opportunity gain and negative opportunity gain for Russia are unchanged by shocks to the Food and Preparations industry. </w:t>
      </w: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center"/>
        <w:rPr>
          <w:b w:val="1"/>
          <w:bCs w:val="1"/>
        </w:rPr>
      </w:pPr>
      <w:r w:rsidDel="00000000" w:rsidR="00000000" w:rsidRPr="00000000">
        <w:rPr>
          <w:b w:val="1"/>
          <w:bCs w:val="1"/>
        </w:rPr>
        <w:drawing>
          <wp:inline distB="114300" distT="114300" distL="114300" distR="114300">
            <wp:extent cx="1273012" cy="2411762"/>
            <wp:effectExtent b="0" l="0" r="0" t="0"/>
            <wp:docPr id="12" name="image11.jpg"/>
            <a:graphic>
              <a:graphicData uri="http://schemas.openxmlformats.org/drawingml/2006/picture">
                <pic:pic>
                  <pic:nvPicPr>
                    <pic:cNvPr id="0" name="image11.jpg"/>
                    <pic:cNvPicPr preferRelativeResize="0"/>
                  </pic:nvPicPr>
                  <pic:blipFill>
                    <a:blip r:embed="rId30"/>
                    <a:srcRect b="0" l="0" r="0" t="0"/>
                    <a:stretch>
                      <a:fillRect/>
                    </a:stretch>
                  </pic:blipFill>
                  <pic:spPr>
                    <a:xfrm>
                      <a:off x="0" y="0"/>
                      <a:ext cx="1273012" cy="241176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ind w:left="720" w:firstLine="720"/>
        <w:jc w:val="center"/>
        <w:rPr/>
      </w:pPr>
      <w:r w:rsidDel="00000000" w:rsidR="00000000" w:rsidRPr="00000000">
        <w:rPr>
          <w:rtl w:val="0"/>
        </w:rPr>
        <w:t xml:space="preserve">Russia High-complexity Products 2018 (Incremental SDV Sensitivity)</w:t>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center"/>
        <w:rPr>
          <w:b w:val="1"/>
          <w:bCs w:val="1"/>
        </w:rPr>
      </w:pPr>
      <w:r w:rsidDel="00000000" w:rsidR="00000000" w:rsidRPr="00000000">
        <w:rPr>
          <w:b w:val="1"/>
          <w:bCs w:val="1"/>
        </w:rPr>
        <w:drawing>
          <wp:inline distB="114300" distT="114300" distL="114300" distR="114300">
            <wp:extent cx="1406362" cy="2628816"/>
            <wp:effectExtent b="0" l="0" r="0" t="0"/>
            <wp:docPr id="23" name="image20.jpg"/>
            <a:graphic>
              <a:graphicData uri="http://schemas.openxmlformats.org/drawingml/2006/picture">
                <pic:pic>
                  <pic:nvPicPr>
                    <pic:cNvPr id="0" name="image20.jpg"/>
                    <pic:cNvPicPr preferRelativeResize="0"/>
                  </pic:nvPicPr>
                  <pic:blipFill>
                    <a:blip r:embed="rId31"/>
                    <a:srcRect b="0" l="0" r="0" t="0"/>
                    <a:stretch>
                      <a:fillRect/>
                    </a:stretch>
                  </pic:blipFill>
                  <pic:spPr>
                    <a:xfrm>
                      <a:off x="0" y="0"/>
                      <a:ext cx="1406362" cy="262881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ageBreakBefore w:val="0"/>
        <w:ind w:left="720" w:firstLine="720"/>
        <w:jc w:val="center"/>
        <w:rPr/>
      </w:pPr>
      <w:r w:rsidDel="00000000" w:rsidR="00000000" w:rsidRPr="00000000">
        <w:rPr>
          <w:rtl w:val="0"/>
        </w:rPr>
        <w:t xml:space="preserve">Russia</w:t>
      </w:r>
      <w:r w:rsidDel="00000000" w:rsidR="00000000" w:rsidRPr="00000000">
        <w:rPr>
          <w:rtl w:val="0"/>
        </w:rPr>
        <w:t xml:space="preserve"> High-complexity Products 2018 (Decremental SDV Sensitivity)</w:t>
      </w:r>
    </w:p>
    <w:p w:rsidR="00000000" w:rsidDel="00000000" w:rsidP="00000000" w:rsidRDefault="00000000" w:rsidRPr="00000000" w14:paraId="0000016A">
      <w:pPr>
        <w:pageBreakBefore w:val="0"/>
        <w:ind w:left="720" w:firstLine="720"/>
        <w:jc w:val="center"/>
        <w:rPr/>
      </w:pPr>
      <w:r w:rsidDel="00000000" w:rsidR="00000000" w:rsidRPr="00000000">
        <w:rPr/>
        <w:drawing>
          <wp:inline distB="114300" distT="114300" distL="114300" distR="114300">
            <wp:extent cx="1358737" cy="2563556"/>
            <wp:effectExtent b="0" l="0" r="0" t="0"/>
            <wp:docPr id="17" name="image9.jpg"/>
            <a:graphic>
              <a:graphicData uri="http://schemas.openxmlformats.org/drawingml/2006/picture">
                <pic:pic>
                  <pic:nvPicPr>
                    <pic:cNvPr id="0" name="image9.jpg"/>
                    <pic:cNvPicPr preferRelativeResize="0"/>
                  </pic:nvPicPr>
                  <pic:blipFill>
                    <a:blip r:embed="rId32"/>
                    <a:srcRect b="0" l="0" r="0" t="0"/>
                    <a:stretch>
                      <a:fillRect/>
                    </a:stretch>
                  </pic:blipFill>
                  <pic:spPr>
                    <a:xfrm>
                      <a:off x="0" y="0"/>
                      <a:ext cx="1358737" cy="2563556"/>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ind w:left="720" w:firstLine="720"/>
        <w:jc w:val="center"/>
        <w:rPr/>
      </w:pPr>
      <w:r w:rsidDel="00000000" w:rsidR="00000000" w:rsidRPr="00000000">
        <w:rPr>
          <w:rtl w:val="0"/>
        </w:rPr>
        <w:t xml:space="preserve">Russia Food and Preparations 2018 (Incremental SDV Sensitivity)</w:t>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center"/>
        <w:rPr>
          <w:b w:val="1"/>
          <w:bCs w:val="1"/>
        </w:rPr>
      </w:pPr>
      <w:r w:rsidDel="00000000" w:rsidR="00000000" w:rsidRPr="00000000">
        <w:rPr>
          <w:b w:val="1"/>
          <w:bCs w:val="1"/>
        </w:rPr>
        <w:drawing>
          <wp:inline distB="114300" distT="114300" distL="114300" distR="114300">
            <wp:extent cx="2528888" cy="2560697"/>
            <wp:effectExtent b="0" l="0" r="0" t="0"/>
            <wp:docPr id="2" name="image17.jpg"/>
            <a:graphic>
              <a:graphicData uri="http://schemas.openxmlformats.org/drawingml/2006/picture">
                <pic:pic>
                  <pic:nvPicPr>
                    <pic:cNvPr id="0" name="image17.jpg"/>
                    <pic:cNvPicPr preferRelativeResize="0"/>
                  </pic:nvPicPr>
                  <pic:blipFill>
                    <a:blip r:embed="rId33"/>
                    <a:srcRect b="0" l="0" r="0" t="0"/>
                    <a:stretch>
                      <a:fillRect/>
                    </a:stretch>
                  </pic:blipFill>
                  <pic:spPr>
                    <a:xfrm>
                      <a:off x="0" y="0"/>
                      <a:ext cx="2528888" cy="2560697"/>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t xml:space="preserve">Russia Food and Preparations 2018 (Decremental SDV Sensitivity)</w:t>
      </w:r>
    </w:p>
    <w:p w:rsidR="00000000" w:rsidDel="00000000" w:rsidP="00000000" w:rsidRDefault="00000000" w:rsidRPr="00000000" w14:paraId="00000170">
      <w:pPr>
        <w:pageBreakBefore w:val="0"/>
        <w:ind w:left="720" w:firstLine="720"/>
        <w:jc w:val="center"/>
        <w:rPr/>
      </w:pPr>
      <w:r w:rsidDel="00000000" w:rsidR="00000000" w:rsidRPr="00000000">
        <w:rPr>
          <w:rtl w:val="0"/>
        </w:rPr>
      </w:r>
    </w:p>
    <w:p w:rsidR="00000000" w:rsidDel="00000000" w:rsidP="00000000" w:rsidRDefault="00000000" w:rsidRPr="00000000" w14:paraId="00000171">
      <w:pPr>
        <w:pageBreakBefore w:val="0"/>
        <w:jc w:val="both"/>
        <w:rPr>
          <w:b w:val="1"/>
          <w:bCs w:val="1"/>
        </w:rPr>
      </w:pPr>
      <w:r w:rsidDel="00000000" w:rsidR="00000000" w:rsidRPr="00000000">
        <w:rPr>
          <w:rtl w:val="0"/>
        </w:rPr>
      </w:r>
    </w:p>
    <w:p w:rsidR="00000000" w:rsidDel="00000000" w:rsidP="00000000" w:rsidRDefault="00000000" w:rsidRPr="00000000" w14:paraId="0000017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4">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6">
      <w:pPr>
        <w:pageBreakBefore w:val="0"/>
        <w:jc w:val="both"/>
        <w:rPr>
          <w:b w:val="1"/>
          <w:bCs w:val="1"/>
          <w:sz w:val="28"/>
          <w:szCs w:val="28"/>
        </w:rPr>
      </w:pPr>
      <w:r w:rsidDel="00000000" w:rsidR="00000000" w:rsidRPr="00000000">
        <w:rPr>
          <w:rtl w:val="0"/>
        </w:rPr>
        <w:t xml:space="preserve">Decreasing export of each industry in Russia’s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8">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315083" cy="2814638"/>
            <wp:effectExtent b="0" l="0" r="0" t="0"/>
            <wp:docPr id="21" name="image7.jpg"/>
            <a:graphic>
              <a:graphicData uri="http://schemas.openxmlformats.org/drawingml/2006/picture">
                <pic:pic>
                  <pic:nvPicPr>
                    <pic:cNvPr id="0" name="image7.jpg"/>
                    <pic:cNvPicPr preferRelativeResize="0"/>
                  </pic:nvPicPr>
                  <pic:blipFill>
                    <a:blip r:embed="rId34"/>
                    <a:srcRect b="0" l="0" r="0" t="0"/>
                    <a:stretch>
                      <a:fillRect/>
                    </a:stretch>
                  </pic:blipFill>
                  <pic:spPr>
                    <a:xfrm>
                      <a:off x="0" y="0"/>
                      <a:ext cx="5315083"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center"/>
        <w:rPr>
          <w:sz w:val="22"/>
          <w:szCs w:val="22"/>
        </w:rPr>
      </w:pPr>
      <w:r w:rsidDel="00000000" w:rsidR="00000000" w:rsidRPr="00000000">
        <w:rPr>
          <w:sz w:val="22"/>
          <w:szCs w:val="22"/>
          <w:rtl w:val="0"/>
        </w:rPr>
        <w:t xml:space="preserve">Russia Contingency Strategy 2018</w:t>
      </w:r>
    </w:p>
    <w:p w:rsidR="00000000" w:rsidDel="00000000" w:rsidP="00000000" w:rsidRDefault="00000000" w:rsidRPr="00000000" w14:paraId="0000017B">
      <w:pPr>
        <w:pageBreakBefore w:val="0"/>
        <w:jc w:val="center"/>
        <w:rPr>
          <w:sz w:val="22"/>
          <w:szCs w:val="22"/>
        </w:rPr>
      </w:pPr>
      <w:r w:rsidDel="00000000" w:rsidR="00000000" w:rsidRPr="00000000">
        <w:rPr>
          <w:rtl w:val="0"/>
        </w:rPr>
      </w:r>
    </w:p>
    <w:p w:rsidR="00000000" w:rsidDel="00000000" w:rsidP="00000000" w:rsidRDefault="00000000" w:rsidRPr="00000000" w14:paraId="0000017C">
      <w:pPr>
        <w:pageBreakBefore w:val="0"/>
        <w:jc w:val="center"/>
        <w:rPr>
          <w:sz w:val="28"/>
          <w:szCs w:val="28"/>
        </w:rPr>
      </w:pPr>
      <w:r w:rsidDel="00000000" w:rsidR="00000000" w:rsidRPr="00000000">
        <w:rPr>
          <w:rtl w:val="0"/>
        </w:rPr>
      </w:r>
    </w:p>
    <w:p w:rsidR="00000000" w:rsidDel="00000000" w:rsidP="00000000" w:rsidRDefault="00000000" w:rsidRPr="00000000" w14:paraId="0000017D">
      <w:pPr>
        <w:pageBreakBefore w:val="0"/>
        <w:jc w:val="both"/>
        <w:rPr>
          <w:b w:val="1"/>
          <w:bCs w:val="1"/>
        </w:rPr>
      </w:pPr>
      <w:r w:rsidDel="00000000" w:rsidR="00000000" w:rsidRPr="00000000">
        <w:rPr>
          <w:rtl w:val="0"/>
        </w:rPr>
      </w:r>
    </w:p>
    <w:p w:rsidR="00000000" w:rsidDel="00000000" w:rsidP="00000000" w:rsidRDefault="00000000" w:rsidRPr="00000000" w14:paraId="0000017E">
      <w:pPr>
        <w:pageBreakBefore w:val="0"/>
        <w:jc w:val="both"/>
        <w:rPr>
          <w:b w:val="1"/>
          <w:bCs w:val="1"/>
        </w:rPr>
      </w:pPr>
      <w:r w:rsidDel="00000000" w:rsidR="00000000" w:rsidRPr="00000000">
        <w:rPr>
          <w:rtl w:val="0"/>
        </w:rPr>
      </w:r>
    </w:p>
    <w:p w:rsidR="00000000" w:rsidDel="00000000" w:rsidP="00000000" w:rsidRDefault="00000000" w:rsidRPr="00000000" w14:paraId="0000017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0">
      <w:pPr>
        <w:pageBreakBefore w:val="0"/>
        <w:jc w:val="both"/>
        <w:rPr>
          <w:b w:val="1"/>
          <w:bCs w:val="1"/>
        </w:rPr>
      </w:pPr>
      <w:r w:rsidDel="00000000" w:rsidR="00000000" w:rsidRPr="00000000">
        <w:rPr>
          <w:rtl w:val="0"/>
        </w:rPr>
      </w:r>
    </w:p>
    <w:p w:rsidR="00000000" w:rsidDel="00000000" w:rsidP="00000000" w:rsidRDefault="00000000" w:rsidRPr="00000000" w14:paraId="0000018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2">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3">
      <w:pPr>
        <w:pageBreakBefore w:val="0"/>
        <w:jc w:val="both"/>
        <w:rPr/>
      </w:pPr>
      <w:r w:rsidDel="00000000" w:rsidR="00000000" w:rsidRPr="00000000">
        <w:rPr>
          <w:rtl w:val="0"/>
        </w:rPr>
      </w:r>
    </w:p>
    <w:p w:rsidR="00000000" w:rsidDel="00000000" w:rsidP="00000000" w:rsidRDefault="00000000" w:rsidRPr="00000000" w14:paraId="0000018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5">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E">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9"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8F">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pageBreakBefore w:val="0"/>
        <w:jc w:val="both"/>
        <w:rPr>
          <w:b w:val="1"/>
          <w:bCs w:val="1"/>
        </w:rPr>
      </w:pPr>
      <w:r w:rsidDel="00000000" w:rsidR="00000000" w:rsidRPr="00000000">
        <w:rPr>
          <w:b w:val="1"/>
          <w:bCs w:val="1"/>
          <w:rtl w:val="0"/>
        </w:rPr>
        <w:t xml:space="preserve">5.2 SOI of Russia and Its Implications</w:t>
      </w:r>
    </w:p>
    <w:p w:rsidR="00000000" w:rsidDel="00000000" w:rsidP="00000000" w:rsidRDefault="00000000" w:rsidRPr="00000000" w14:paraId="00000192">
      <w:pPr>
        <w:pageBreakBefore w:val="0"/>
        <w:jc w:val="both"/>
        <w:rPr/>
      </w:pPr>
      <w:r w:rsidDel="00000000" w:rsidR="00000000" w:rsidRPr="00000000">
        <w:rPr>
          <w:rtl w:val="0"/>
        </w:rPr>
        <w:t xml:space="preserve">Russia for instance, has a low level of structural optimality as compared with its developed peers. As the regression in Figure 7 suggests (the orange curve represents export increase and the blue curve stands for opportunity gain of the corresponding industry), Russia demonstrates a low level of correlation with the suggested developmental path, having an adjusted R-square of around -0.37%. Russia ranks in the third quartile among all countries in terms of SOI and has made a slow rate of economic progress among its emerging peers from 2013 to 2018 with a 5-year GDP growth rate of 7.42%,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Russia’s slow economic progress from 2013 to 2018 can be at least partially explained by a development strategy that demonstrates a considerable but not perfect level of matches with our suggested developmental path. In specific, Russia invested heavily in the Food and Preparations industry, while it should have focused more on industry groups such as Raw Manufacturing.</w:t>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drawing>
          <wp:inline distB="114300" distT="114300" distL="114300" distR="114300">
            <wp:extent cx="6448425" cy="2295525"/>
            <wp:effectExtent b="0" l="0" r="0" t="0"/>
            <wp:docPr id="16" name="image29.png"/>
            <a:graphic>
              <a:graphicData uri="http://schemas.openxmlformats.org/drawingml/2006/picture">
                <pic:pic>
                  <pic:nvPicPr>
                    <pic:cNvPr id="0" name="image29.png"/>
                    <pic:cNvPicPr preferRelativeResize="0"/>
                  </pic:nvPicPr>
                  <pic:blipFill>
                    <a:blip r:embed="rId36"/>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ageBreakBefore w:val="0"/>
        <w:jc w:val="center"/>
        <w:rPr>
          <w:b w:val="1"/>
          <w:bCs w:val="1"/>
        </w:rPr>
      </w:pPr>
      <w:r w:rsidDel="00000000" w:rsidR="00000000" w:rsidRPr="00000000">
        <w:rPr>
          <w:rtl w:val="0"/>
        </w:rPr>
        <w:t xml:space="preserve">Figure 7: SOI of Russia (2013-2018)</w:t>
      </w: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rtl w:val="0"/>
        </w:rPr>
      </w:r>
    </w:p>
    <w:p w:rsidR="00000000" w:rsidDel="00000000" w:rsidP="00000000" w:rsidRDefault="00000000" w:rsidRPr="00000000" w14:paraId="00000197">
      <w:pPr>
        <w:pageBreakBefore w:val="0"/>
        <w:jc w:val="both"/>
        <w:rPr>
          <w:b w:val="1"/>
          <w:bCs w:val="1"/>
        </w:rPr>
      </w:pPr>
      <w:r w:rsidDel="00000000" w:rsidR="00000000" w:rsidRPr="00000000">
        <w:rPr>
          <w:rtl w:val="0"/>
        </w:rPr>
      </w:r>
    </w:p>
    <w:p w:rsidR="00000000" w:rsidDel="00000000" w:rsidP="00000000" w:rsidRDefault="00000000" w:rsidRPr="00000000" w14:paraId="0000019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t xml:space="preserve">In conclusion, Russia has demonstrated a low level of economic growth in terms of annual GDP increase during the period from 2013 to 2018, concurrent with an increase in economic complexity as compared with other major developed economies. </w:t>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Russia on the industry group level. The product classification system we adopt allows us to measure the realized industry development for various industry groups and to observe that Russia regressed in developing most of its industries during the </w:t>
      </w:r>
      <w:r w:rsidDel="00000000" w:rsidR="00000000" w:rsidRPr="00000000">
        <w:rPr>
          <w:rtl w:val="0"/>
        </w:rPr>
        <w:t xml:space="preserve">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t xml:space="preserve">Based on our analysis of the opportunity gain and a sensitivity analysis of major industry groups, Russia can further its gains by prioritizing Raw Manufacturing, Weapons, and Chemical Manufacturing. We further note that Russia has a heavily mismatched development strategy that indicates a low level (compared to other developed countries) of structural optimality on the complexity level, having an adjusted R-square of around -0.37%. Since a significant positive correlation exists between five-year GDP growth and the structural optimality index of an economy as we define and calculate, Russia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4">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6">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3">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30.png"/><Relationship Id="rId22" Type="http://schemas.openxmlformats.org/officeDocument/2006/relationships/image" Target="media/image21.png"/><Relationship Id="rId21" Type="http://schemas.openxmlformats.org/officeDocument/2006/relationships/image" Target="media/image19.png"/><Relationship Id="rId24" Type="http://schemas.openxmlformats.org/officeDocument/2006/relationships/image" Target="media/image5.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2.jpg"/><Relationship Id="rId25" Type="http://schemas.openxmlformats.org/officeDocument/2006/relationships/image" Target="media/image3.jpg"/><Relationship Id="rId28" Type="http://schemas.openxmlformats.org/officeDocument/2006/relationships/image" Target="media/image22.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6.jpg"/><Relationship Id="rId7" Type="http://schemas.openxmlformats.org/officeDocument/2006/relationships/image" Target="media/image14.png"/><Relationship Id="rId8" Type="http://schemas.openxmlformats.org/officeDocument/2006/relationships/image" Target="media/image10.png"/><Relationship Id="rId31" Type="http://schemas.openxmlformats.org/officeDocument/2006/relationships/image" Target="media/image20.jpg"/><Relationship Id="rId30" Type="http://schemas.openxmlformats.org/officeDocument/2006/relationships/image" Target="media/image11.jpg"/><Relationship Id="rId11" Type="http://schemas.openxmlformats.org/officeDocument/2006/relationships/image" Target="media/image25.jpg"/><Relationship Id="rId33" Type="http://schemas.openxmlformats.org/officeDocument/2006/relationships/image" Target="media/image17.jpg"/><Relationship Id="rId10" Type="http://schemas.openxmlformats.org/officeDocument/2006/relationships/image" Target="media/image26.png"/><Relationship Id="rId32" Type="http://schemas.openxmlformats.org/officeDocument/2006/relationships/image" Target="media/image9.jpg"/><Relationship Id="rId13" Type="http://schemas.openxmlformats.org/officeDocument/2006/relationships/image" Target="media/image23.png"/><Relationship Id="rId35" Type="http://schemas.openxmlformats.org/officeDocument/2006/relationships/image" Target="media/image15.png"/><Relationship Id="rId12" Type="http://schemas.openxmlformats.org/officeDocument/2006/relationships/image" Target="media/image27.png"/><Relationship Id="rId34" Type="http://schemas.openxmlformats.org/officeDocument/2006/relationships/image" Target="media/image7.jpg"/><Relationship Id="rId15" Type="http://schemas.openxmlformats.org/officeDocument/2006/relationships/image" Target="media/image2.png"/><Relationship Id="rId37" Type="http://schemas.openxmlformats.org/officeDocument/2006/relationships/header" Target="header1.xml"/><Relationship Id="rId14" Type="http://schemas.openxmlformats.org/officeDocument/2006/relationships/image" Target="media/image4.jpg"/><Relationship Id="rId36" Type="http://schemas.openxmlformats.org/officeDocument/2006/relationships/image" Target="media/image29.png"/><Relationship Id="rId17" Type="http://schemas.openxmlformats.org/officeDocument/2006/relationships/image" Target="media/image31.png"/><Relationship Id="rId39" Type="http://schemas.openxmlformats.org/officeDocument/2006/relationships/footer" Target="footer3.xml"/><Relationship Id="rId16" Type="http://schemas.openxmlformats.org/officeDocument/2006/relationships/image" Target="media/image13.png"/><Relationship Id="rId38" Type="http://schemas.openxmlformats.org/officeDocument/2006/relationships/footer" Target="footer2.xml"/><Relationship Id="rId19" Type="http://schemas.openxmlformats.org/officeDocument/2006/relationships/image" Target="media/image28.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