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7" name="image19.png"/>
            <a:graphic>
              <a:graphicData uri="http://schemas.openxmlformats.org/drawingml/2006/picture">
                <pic:pic>
                  <pic:nvPicPr>
                    <pic:cNvPr descr="horizontal line" id="0" name="image19.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4" name="image30.png"/>
            <a:graphic>
              <a:graphicData uri="http://schemas.openxmlformats.org/drawingml/2006/picture">
                <pic:pic>
                  <pic:nvPicPr>
                    <pic:cNvPr id="0" name="image3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Sweden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Sweden</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Sweden went through during the period from 2013 to 2018. Specifically, we dive into the topic through a macroeconomic overview of Sweden from the perspective of Gross Domestic Product (GDP) and Economic Complexity Index (ECI), which reflect countries’ production capability and production structure, respectively. We find that during the period of our interest, Sweden demonstrated a moderate level of economic growth with an average annual GDP growth rate of 3.44%, concurrent with a decrease in economic complexity as compared with other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Sweden on the industry group level. The product classification system we adopt allows us to measure the realized industry development for various industry groups and to observe that S</w:t>
      </w:r>
      <w:r w:rsidDel="00000000" w:rsidR="00000000" w:rsidRPr="00000000">
        <w:rPr>
          <w:rtl w:val="0"/>
        </w:rPr>
        <w:t xml:space="preserve">weden consistently relied on developing the Services and Utilities and Machinery and Construction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Sweden can further its gains by prioritizing High-Complexity Products and Transportation. We further note that Sweden has a slightly mismatched development strategy that indicates a low level (compared to other developed countries) of structural optimality on the complexity level, having an adjusted R-square of around 0.516%. Since a significant positive correlation exists between five-year GDP growth and the structural optimality index of an economy as we define and calculate, Sweden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Sweden went through during the period from 2013 to 2018. Specifically, we dive into the topic through a macroeconomic overview of Sweden from the perspective of Gross Domestic Product (GDP) and Economic Complexity Index (ECI), which reflect countries’ production capability and production structure, respectively. We then analyze the industrial framework and changes of Sweden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Sweden,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Sweden and three of its peer countries (Norway, Sweden, Finland) from 2013-2018. Sweden displays consistent, upward growth over the period, which is similar to Finland and Sweden, but different from the volatile, up-and-down GDP growth of Norway. Sweden is in the upper tier of average annual GDP growth rate among its Scandinavian peers; its AAGR of 3.44% is clearly above that of Norway (0.54%) and Finland (2.84%) and comparable to that of Sweden (3.57%),</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781425" cy="2571750"/>
            <wp:effectExtent b="0" l="0" r="0" t="0"/>
            <wp:docPr id="31"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7814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1">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below. Similar to the rest of its Scandinavian peers, Sweden exhibits a decrease in terms of its production capability from 2013 to 2018; this decrease (-33.82%) is noticeably lower than that of Norway (-351.33%) and clearly larger than that of Sweden (-9.25%)  and Finland (-15.68%). </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905250" cy="2581275"/>
            <wp:effectExtent b="0" l="0" r="0" t="0"/>
            <wp:docPr id="3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9052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Figure 2: ECI Comparison    </w:t>
      </w:r>
    </w:p>
    <w:p w:rsidR="00000000" w:rsidDel="00000000" w:rsidP="00000000" w:rsidRDefault="00000000" w:rsidRPr="00000000" w14:paraId="00000026">
      <w:pPr>
        <w:pageBreakBefore w:val="0"/>
        <w:jc w:val="center"/>
        <w:rPr/>
      </w:pPr>
      <w:r w:rsidDel="00000000" w:rsidR="00000000" w:rsidRPr="00000000">
        <w:rPr>
          <w:rtl w:val="0"/>
        </w:rPr>
        <w:t xml:space="preserve">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095750" cy="2581275"/>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0957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Figure 3: GDP Growth and ECI (Sweden)</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2013 to 2018 for Sweden. The increase in GDP growth during the period from 2013 to 2018 is accompanied by a decrease in ECI. The results show that the economic growth experienced by Sweden during the period from 2013 to 2018 is not very consistent with the predictions by ECI and that Sweden regressed in effectively developing a competitive product space that helps to accumulate complicated knowledge and technology. In order to provide a more concrete answer to why this has happened, we will dive into an analysis of Sweden’s production structure and its product space designs in the next few chapters. </w:t>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Sweden’s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Sweden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B">
      <w:pPr>
        <w:pageBreakBefore w:val="0"/>
        <w:jc w:val="center"/>
        <w:rPr/>
      </w:pPr>
      <w:r w:rsidDel="00000000" w:rsidR="00000000" w:rsidRPr="00000000">
        <w:rPr/>
        <w:drawing>
          <wp:inline distB="114300" distT="114300" distL="114300" distR="114300">
            <wp:extent cx="2036118" cy="4243388"/>
            <wp:effectExtent b="0" l="0" r="0" t="0"/>
            <wp:docPr id="22"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036118"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Table 2: Realized Industry Development (RID) of Sweden</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 3 and 4 below summarize how the production strategy adopted by Sweden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Sweden</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t xml:space="preserve">Table 4 further examines Sweden’s development strategy against those of emerging economies on a global scale. Reasonably, emerging economies such as China, South Korea, Singapore and India have devoted the majority of their efforts into intermediate industry groups.</w:t>
      </w: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both"/>
        <w:rPr/>
      </w:pPr>
      <w:r w:rsidDel="00000000" w:rsidR="00000000" w:rsidRPr="00000000">
        <w:rPr/>
        <w:drawing>
          <wp:inline distB="114300" distT="114300" distL="114300" distR="114300">
            <wp:extent cx="5731200" cy="15748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drawing>
          <wp:inline distB="114300" distT="114300" distL="114300" distR="114300">
            <wp:extent cx="5731200" cy="1562100"/>
            <wp:effectExtent b="0" l="0" r="0" t="0"/>
            <wp:docPr id="1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both"/>
        <w:rPr/>
      </w:pPr>
      <w:r w:rsidDel="00000000" w:rsidR="00000000" w:rsidRPr="00000000">
        <w:rPr>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Africas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It can be concluded that Sweden is categorized to be a highly complexed country as compared with the world’s leading economies and other major economies in Europe. </w:t>
      </w:r>
    </w:p>
    <w:p w:rsidR="00000000" w:rsidDel="00000000" w:rsidP="00000000" w:rsidRDefault="00000000" w:rsidRPr="00000000" w14:paraId="000000DA">
      <w:pPr>
        <w:pageBreakBefore w:val="0"/>
        <w:jc w:val="both"/>
        <w:rPr/>
      </w:pPr>
      <w:r w:rsidDel="00000000" w:rsidR="00000000" w:rsidRPr="00000000">
        <w:rPr/>
        <w:drawing>
          <wp:inline distB="114300" distT="114300" distL="114300" distR="114300">
            <wp:extent cx="5734050" cy="2273300"/>
            <wp:effectExtent b="0" l="0" r="0" t="0"/>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1">
      <w:pPr>
        <w:pageBreakBefore w:val="0"/>
        <w:jc w:val="both"/>
        <w:rPr/>
      </w:pPr>
      <w:r w:rsidDel="00000000" w:rsidR="00000000" w:rsidRPr="00000000">
        <w:rPr>
          <w:rtl w:val="0"/>
        </w:rPr>
      </w:r>
    </w:p>
    <w:p w:rsidR="00000000" w:rsidDel="00000000" w:rsidP="00000000" w:rsidRDefault="00000000" w:rsidRPr="00000000" w14:paraId="000000E2">
      <w:pPr>
        <w:pageBreakBefore w:val="0"/>
        <w:jc w:val="center"/>
        <w:rPr/>
      </w:pPr>
      <w:r w:rsidDel="00000000" w:rsidR="00000000" w:rsidRPr="00000000">
        <w:rPr/>
        <w:drawing>
          <wp:inline distB="114300" distT="114300" distL="114300" distR="114300">
            <wp:extent cx="2528888" cy="1141284"/>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7">
      <w:pPr>
        <w:pageBreakBefore w:val="0"/>
        <w:jc w:val="both"/>
        <w:rPr/>
      </w:pPr>
      <w:r w:rsidDel="00000000" w:rsidR="00000000" w:rsidRPr="00000000">
        <w:rPr>
          <w:rtl w:val="0"/>
        </w:rPr>
        <w:t xml:space="preserve"> </w:t>
      </w:r>
    </w:p>
    <w:p w:rsidR="00000000" w:rsidDel="00000000" w:rsidP="00000000" w:rsidRDefault="00000000" w:rsidRPr="00000000" w14:paraId="000000E8">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center"/>
        <w:rPr/>
      </w:pPr>
      <w:r w:rsidDel="00000000" w:rsidR="00000000" w:rsidRPr="00000000">
        <w:rPr/>
        <w:drawing>
          <wp:inline distB="114300" distT="114300" distL="114300" distR="114300">
            <wp:extent cx="2138363" cy="71863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E">
      <w:pPr>
        <w:pageBreakBefore w:val="0"/>
        <w:rPr/>
      </w:pPr>
      <w:r w:rsidDel="00000000" w:rsidR="00000000" w:rsidRPr="00000000">
        <w:rPr>
          <w:rtl w:val="0"/>
        </w:rPr>
        <w:t xml:space="preserve"> </w:t>
      </w:r>
    </w:p>
    <w:p w:rsidR="00000000" w:rsidDel="00000000" w:rsidP="00000000" w:rsidRDefault="00000000" w:rsidRPr="00000000" w14:paraId="000000EF">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2">
      <w:pPr>
        <w:pageBreakBefore w:val="0"/>
        <w:jc w:val="both"/>
        <w:rPr>
          <w:b w:val="1"/>
          <w:bCs w:val="1"/>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4">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B">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C">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D">
      <w:pPr>
        <w:pageBreakBefore w:val="0"/>
        <w:jc w:val="center"/>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Below is the economic panel for Sweden in 2013. We can see that for different percentages of heuristic total export growth, the ECIs of Sweden actually have similar amounts of increments. Overall, 5, 10, 15, and 20 percent export growth result in a similar ECI improvement pattern, which starts from around 1.43 and ends at around 1.68. </w:t>
      </w:r>
    </w:p>
    <w:p w:rsidR="00000000" w:rsidDel="00000000" w:rsidP="00000000" w:rsidRDefault="00000000" w:rsidRPr="00000000" w14:paraId="0000011F">
      <w:pPr>
        <w:pageBreakBefore w:val="0"/>
        <w:jc w:val="both"/>
        <w:rPr/>
      </w:pPr>
      <w:r w:rsidDel="00000000" w:rsidR="00000000" w:rsidRPr="00000000">
        <w:rPr>
          <w:rtl w:val="0"/>
        </w:rPr>
        <w:t xml:space="preserve"> </w:t>
      </w:r>
    </w:p>
    <w:p w:rsidR="00000000" w:rsidDel="00000000" w:rsidP="00000000" w:rsidRDefault="00000000" w:rsidRPr="00000000" w14:paraId="00000120">
      <w:pPr>
        <w:pageBreakBefore w:val="0"/>
        <w:jc w:val="both"/>
        <w:rPr/>
      </w:pPr>
      <w:r w:rsidDel="00000000" w:rsidR="00000000" w:rsidRPr="00000000">
        <w:rPr>
          <w:rtl w:val="0"/>
        </w:rPr>
        <w:t xml:space="preserve">Among all four cases (5, 10, 15 and 20 percent export growth), machinery and construction and transportation account for the allocation portfolio. Compared with the solution of other countries, it is obvious that there is not so much room for ECI improvement, which can be reasoned by the pretty well-rounded economic structure of Sweden. Therefore, carrying on the current production pattern is sufficient for maintaining the ECI at an advanced level. Additionally, given that there is a pretty developed economic structure, Sweden should focus more on the development of machinery and construction and transportation, which can be beneficial for the production of other industries.</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5915861" cy="2014538"/>
            <wp:effectExtent b="0" l="0" r="0" t="0"/>
            <wp:docPr id="1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15861" cy="2014538"/>
                    </a:xfrm>
                    <a:prstGeom prst="rect"/>
                    <a:ln/>
                  </pic:spPr>
                </pic:pic>
              </a:graphicData>
            </a:graphic>
          </wp:inline>
        </w:drawing>
      </w:r>
      <w:r w:rsidDel="00000000" w:rsidR="00000000" w:rsidRPr="00000000">
        <w:rPr/>
        <w:drawing>
          <wp:inline distB="114300" distT="114300" distL="114300" distR="114300">
            <wp:extent cx="5865235" cy="1862138"/>
            <wp:effectExtent b="0" l="0" r="0" t="0"/>
            <wp:docPr id="25" name="image21.png"/>
            <a:graphic>
              <a:graphicData uri="http://schemas.openxmlformats.org/drawingml/2006/picture">
                <pic:pic>
                  <pic:nvPicPr>
                    <pic:cNvPr id="0" name="image21.png"/>
                    <pic:cNvPicPr preferRelativeResize="0"/>
                  </pic:nvPicPr>
                  <pic:blipFill>
                    <a:blip r:embed="rId18"/>
                    <a:srcRect b="8780" l="2159" r="0" t="0"/>
                    <a:stretch>
                      <a:fillRect/>
                    </a:stretch>
                  </pic:blipFill>
                  <pic:spPr>
                    <a:xfrm>
                      <a:off x="0" y="0"/>
                      <a:ext cx="5865235"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t xml:space="preserve">Figure 5: Greedy Based ECI Improvement Results of Sweden in 2013 with Different Budgets</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drawing>
          <wp:inline distB="114300" distT="114300" distL="114300" distR="114300">
            <wp:extent cx="5731200" cy="673100"/>
            <wp:effectExtent b="0" l="0" r="0" t="0"/>
            <wp:docPr id="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Table 8: Portfolio of Sweden in 2013</w:t>
      </w:r>
    </w:p>
    <w:p w:rsidR="00000000" w:rsidDel="00000000" w:rsidP="00000000" w:rsidRDefault="00000000" w:rsidRPr="00000000" w14:paraId="00000129">
      <w:pPr>
        <w:pageBreakBefore w:val="0"/>
        <w:jc w:val="center"/>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For further suggestions on Sweden’s development in the future. We also offer the optimization result of Sweden based on export data in 2018. Below is the economic panel for Sweden in 2018. We can see that there is a similar pattern for the ECI improvement trajectories, which is that the improvements in 5, 10, 15 and 20 percent export growth all result in the ECI growth from 0.94 to 1.35. Again, since Sweden is a pretty developed economic entity, the optimization result is sparse and there are not so many suggestions for future development in terms of ECI improvement. However, one difference between 2013 and 2018 is that machinery and construction, which accounts for most of the portfolio in 2013, is now replaced by high-complexity products. This can be resulted by the growing demand of technology innovation in nowadays society. A more detailed numerical representation of the portfolio is shown in Table 9. </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5943832" cy="2024063"/>
            <wp:effectExtent b="0" l="0" r="0" t="0"/>
            <wp:docPr id="1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832" cy="2024063"/>
                    </a:xfrm>
                    <a:prstGeom prst="rect"/>
                    <a:ln/>
                  </pic:spPr>
                </pic:pic>
              </a:graphicData>
            </a:graphic>
          </wp:inline>
        </w:drawing>
      </w:r>
      <w:r w:rsidDel="00000000" w:rsidR="00000000" w:rsidRPr="00000000">
        <w:rPr/>
        <w:drawing>
          <wp:inline distB="114300" distT="114300" distL="114300" distR="114300">
            <wp:extent cx="5753025" cy="1862138"/>
            <wp:effectExtent b="0" l="0" r="0" t="0"/>
            <wp:docPr id="18" name="image28.png"/>
            <a:graphic>
              <a:graphicData uri="http://schemas.openxmlformats.org/drawingml/2006/picture">
                <pic:pic>
                  <pic:nvPicPr>
                    <pic:cNvPr id="0" name="image28.png"/>
                    <pic:cNvPicPr preferRelativeResize="0"/>
                  </pic:nvPicPr>
                  <pic:blipFill>
                    <a:blip r:embed="rId21"/>
                    <a:srcRect b="7317" l="2492" r="0" t="0"/>
                    <a:stretch>
                      <a:fillRect/>
                    </a:stretch>
                  </pic:blipFill>
                  <pic:spPr>
                    <a:xfrm>
                      <a:off x="0" y="0"/>
                      <a:ext cx="5753025"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t xml:space="preserve">Figure 6: Greedy Based ECI Improvement Results of Sweden in 2018 with Different Budgets</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673100"/>
            <wp:effectExtent b="0" l="0" r="0" t="0"/>
            <wp:docPr id="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Table 9: Portfolio of Sweden in 2018</w:t>
      </w:r>
    </w:p>
    <w:p w:rsidR="00000000" w:rsidDel="00000000" w:rsidP="00000000" w:rsidRDefault="00000000" w:rsidRPr="00000000" w14:paraId="0000013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In the following section our broad aim is to understand how sensitive Sweden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7"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A">
      <w:pPr>
        <w:pageBreakBefore w:val="0"/>
        <w:jc w:val="both"/>
        <w:rPr>
          <w:b w:val="1"/>
          <w:bCs w:val="1"/>
        </w:rPr>
      </w:pPr>
      <w:r w:rsidDel="00000000" w:rsidR="00000000" w:rsidRPr="00000000">
        <w:rPr>
          <w:rtl w:val="0"/>
        </w:rPr>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739900"/>
            <wp:effectExtent b="0" l="0" r="0" t="0"/>
            <wp:docPr id="9"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5">
      <w:pPr>
        <w:pageBreakBefore w:val="0"/>
        <w:spacing w:line="276" w:lineRule="auto"/>
        <w:rPr/>
      </w:pP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6"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Below is Sweden's 2018 ECI Sensitivity Charts. Firstly in the positive chart, we notice immediately that an immediate increase in Transportation exports leads to a marginal increase in ECI. Larger increases in High complexity Products could lead to very large increases in ECI. A 50% increase in High Complexity Products would lead to almost a 1 unit increase in ECI.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Next we consider Sweden's 2018 Negative Shock chart. Interestingly we see that a decrease in export in the majority of industries actually leads to an increase in ECI. This would seem to suggest that Sweden currently operates with a suboptimal mix of industries and decreasing across the board combined with an increase in High Complexity Products could drastically increase the ECI score of the nation.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drawing>
          <wp:inline distB="114300" distT="114300" distL="114300" distR="114300">
            <wp:extent cx="5731200" cy="3009900"/>
            <wp:effectExtent b="0" l="0" r="0" t="0"/>
            <wp:docPr id="23"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rtl w:val="0"/>
        </w:rPr>
      </w:r>
    </w:p>
    <w:p w:rsidR="00000000" w:rsidDel="00000000" w:rsidP="00000000" w:rsidRDefault="00000000" w:rsidRPr="00000000" w14:paraId="00000153">
      <w:pPr>
        <w:pageBreakBefore w:val="0"/>
        <w:jc w:val="center"/>
        <w:rPr>
          <w:b w:val="1"/>
          <w:bCs w:val="1"/>
        </w:rPr>
      </w:pPr>
      <w:r w:rsidDel="00000000" w:rsidR="00000000" w:rsidRPr="00000000">
        <w:rPr>
          <w:rtl w:val="0"/>
        </w:rPr>
        <w:t xml:space="preserve">Sweden 2018 (Incremental ECI Sensitivity)</w:t>
      </w: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b w:val="1"/>
          <w:bCs w:val="1"/>
        </w:rPr>
        <w:drawing>
          <wp:inline distB="114300" distT="114300" distL="114300" distR="114300">
            <wp:extent cx="5731200" cy="3022600"/>
            <wp:effectExtent b="0" l="0" r="0" t="0"/>
            <wp:docPr id="17" name="image26.jpg"/>
            <a:graphic>
              <a:graphicData uri="http://schemas.openxmlformats.org/drawingml/2006/picture">
                <pic:pic>
                  <pic:nvPicPr>
                    <pic:cNvPr id="0" name="image26.jpg"/>
                    <pic:cNvPicPr preferRelativeResize="0"/>
                  </pic:nvPicPr>
                  <pic:blipFill>
                    <a:blip r:embed="rId2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rtl w:val="0"/>
        </w:rPr>
      </w:r>
    </w:p>
    <w:p w:rsidR="00000000" w:rsidDel="00000000" w:rsidP="00000000" w:rsidRDefault="00000000" w:rsidRPr="00000000" w14:paraId="00000157">
      <w:pPr>
        <w:pageBreakBefore w:val="0"/>
        <w:jc w:val="center"/>
        <w:rPr/>
      </w:pPr>
      <w:r w:rsidDel="00000000" w:rsidR="00000000" w:rsidRPr="00000000">
        <w:rPr>
          <w:rtl w:val="0"/>
        </w:rPr>
        <w:t xml:space="preserve">Sweden 2018 (Decremental  ECI Sensitivity)</w:t>
      </w:r>
    </w:p>
    <w:p w:rsidR="00000000" w:rsidDel="00000000" w:rsidP="00000000" w:rsidRDefault="00000000" w:rsidRPr="00000000" w14:paraId="00000158">
      <w:pPr>
        <w:pageBreakBefore w:val="0"/>
        <w:jc w:val="center"/>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Increases in Transportation seems to offer the most immediate increase in ECI score.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In the 2013 negative shocking case, we see that again that decreases in most industries lead to an increase in the ECI score. This suggests that Sweden is not drastically altered the composition of its industries over this five year period. </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drawing>
          <wp:inline distB="114300" distT="114300" distL="114300" distR="114300">
            <wp:extent cx="5731200" cy="2971800"/>
            <wp:effectExtent b="0" l="0" r="0" t="0"/>
            <wp:docPr id="20"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center"/>
        <w:rPr/>
      </w:pPr>
      <w:r w:rsidDel="00000000" w:rsidR="00000000" w:rsidRPr="00000000">
        <w:rPr>
          <w:rtl w:val="0"/>
        </w:rPr>
        <w:t xml:space="preserve">Sweden 2013 (Incremental ECI Sensitivity)</w:t>
      </w:r>
    </w:p>
    <w:p w:rsidR="00000000" w:rsidDel="00000000" w:rsidP="00000000" w:rsidRDefault="00000000" w:rsidRPr="00000000" w14:paraId="00000160">
      <w:pPr>
        <w:pageBreakBefore w:val="0"/>
        <w:jc w:val="both"/>
        <w:rPr>
          <w:b w:val="1"/>
          <w:bCs w:val="1"/>
        </w:rPr>
      </w:pPr>
      <w:r w:rsidDel="00000000" w:rsidR="00000000" w:rsidRPr="00000000">
        <w:rPr>
          <w:b w:val="1"/>
          <w:bCs w:val="1"/>
        </w:rPr>
        <w:drawing>
          <wp:inline distB="114300" distT="114300" distL="114300" distR="114300">
            <wp:extent cx="5731200" cy="2971800"/>
            <wp:effectExtent b="0" l="0" r="0" t="0"/>
            <wp:docPr id="29" name="image29.jpg"/>
            <a:graphic>
              <a:graphicData uri="http://schemas.openxmlformats.org/drawingml/2006/picture">
                <pic:pic>
                  <pic:nvPicPr>
                    <pic:cNvPr id="0" name="image29.jpg"/>
                    <pic:cNvPicPr preferRelativeResize="0"/>
                  </pic:nvPicPr>
                  <pic:blipFill>
                    <a:blip r:embed="rId2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center"/>
        <w:rPr/>
      </w:pPr>
      <w:r w:rsidDel="00000000" w:rsidR="00000000" w:rsidRPr="00000000">
        <w:rPr>
          <w:rtl w:val="0"/>
        </w:rPr>
        <w:t xml:space="preserve">Sweden 2013 (Decremental  ECI Sensitivity)</w:t>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Below we see the SDV sensitivity charts for High Complexity Products. Sweden's SDV is quite sensitive to changes in High Complexity products since the Swedish economy is highly dependent on the export of products that are produced from this industry. As exports in High Complexity Products are positively shocked, more industries become attractive, showing positive opportunity gains. Vegetables, Fruits, and Plants seem to be a very attractive industry for Sweden to expand in given an increase in High Complexity Product exports. In the Negative SDV sensitivity High Complexity chart we see that any level of downturn only exposes Vegetables, Fruits, and Plants as a worthwhile replacement.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Considering the Food and Preparation SDV sensitivity chart, we see that Sweden is quite insensitive to changes in this industry most likely due to this industry not being a major source of export for Sweden. </w:t>
      </w:r>
    </w:p>
    <w:p w:rsidR="00000000" w:rsidDel="00000000" w:rsidP="00000000" w:rsidRDefault="00000000" w:rsidRPr="00000000" w14:paraId="00000169">
      <w:pPr>
        <w:pageBreakBefore w:val="0"/>
        <w:rPr>
          <w:b w:val="1"/>
          <w:bCs w:val="1"/>
        </w:rPr>
      </w:pPr>
      <w:r w:rsidDel="00000000" w:rsidR="00000000" w:rsidRPr="00000000">
        <w:rPr>
          <w:rtl w:val="0"/>
        </w:rPr>
      </w:r>
    </w:p>
    <w:p w:rsidR="00000000" w:rsidDel="00000000" w:rsidP="00000000" w:rsidRDefault="00000000" w:rsidRPr="00000000" w14:paraId="0000016A">
      <w:pPr>
        <w:pageBreakBefore w:val="0"/>
        <w:jc w:val="both"/>
        <w:rPr>
          <w:b w:val="1"/>
          <w:bCs w:val="1"/>
        </w:rPr>
      </w:pPr>
      <w:r w:rsidDel="00000000" w:rsidR="00000000" w:rsidRPr="00000000">
        <w:rPr>
          <w:rtl w:val="0"/>
        </w:rPr>
      </w:r>
    </w:p>
    <w:p w:rsidR="00000000" w:rsidDel="00000000" w:rsidP="00000000" w:rsidRDefault="00000000" w:rsidRPr="00000000" w14:paraId="0000016B">
      <w:pPr>
        <w:pageBreakBefore w:val="0"/>
        <w:jc w:val="center"/>
        <w:rPr>
          <w:b w:val="1"/>
          <w:bCs w:val="1"/>
        </w:rPr>
      </w:pPr>
      <w:r w:rsidDel="00000000" w:rsidR="00000000" w:rsidRPr="00000000">
        <w:rPr>
          <w:b w:val="1"/>
          <w:bCs w:val="1"/>
        </w:rPr>
        <w:drawing>
          <wp:inline distB="114300" distT="114300" distL="114300" distR="114300">
            <wp:extent cx="5731200" cy="1739900"/>
            <wp:effectExtent b="0" l="0" r="0" t="0"/>
            <wp:docPr id="16" name="image16.jpg"/>
            <a:graphic>
              <a:graphicData uri="http://schemas.openxmlformats.org/drawingml/2006/picture">
                <pic:pic>
                  <pic:nvPicPr>
                    <pic:cNvPr id="0" name="image16.jpg"/>
                    <pic:cNvPicPr preferRelativeResize="0"/>
                  </pic:nvPicPr>
                  <pic:blipFill>
                    <a:blip r:embed="rId30"/>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ind w:left="720" w:firstLine="720"/>
        <w:jc w:val="center"/>
        <w:rPr/>
      </w:pPr>
      <w:r w:rsidDel="00000000" w:rsidR="00000000" w:rsidRPr="00000000">
        <w:rPr>
          <w:rtl w:val="0"/>
        </w:rPr>
        <w:t xml:space="preserve">Sweden High-complexity Products 2018 (Incremental SDV Sensitivity)</w:t>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b w:val="1"/>
          <w:bCs w:val="1"/>
        </w:rPr>
        <w:drawing>
          <wp:inline distB="114300" distT="114300" distL="114300" distR="114300">
            <wp:extent cx="5731200" cy="2019300"/>
            <wp:effectExtent b="0" l="0" r="0" t="0"/>
            <wp:docPr id="13"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jc w:val="center"/>
        <w:rPr>
          <w:b w:val="1"/>
          <w:bCs w:val="1"/>
        </w:rPr>
      </w:pP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rtl w:val="0"/>
        </w:rPr>
        <w:t xml:space="preserve">Sweden</w:t>
      </w:r>
      <w:r w:rsidDel="00000000" w:rsidR="00000000" w:rsidRPr="00000000">
        <w:rPr>
          <w:rtl w:val="0"/>
        </w:rPr>
        <w:t xml:space="preserve"> High-complexity Products 2018 (Decremental SDV Sensitivity)</w:t>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drawing>
          <wp:inline distB="114300" distT="114300" distL="114300" distR="114300">
            <wp:extent cx="2230275" cy="2240746"/>
            <wp:effectExtent b="0" l="0" r="0" t="0"/>
            <wp:docPr id="15"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2230275" cy="2240746"/>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t xml:space="preserve">Sweden Food &amp; Preparations 2018 (Incremental SDV Sensitivity)</w:t>
      </w:r>
    </w:p>
    <w:p w:rsidR="00000000" w:rsidDel="00000000" w:rsidP="00000000" w:rsidRDefault="00000000" w:rsidRPr="00000000" w14:paraId="00000176">
      <w:pPr>
        <w:pageBreakBefore w:val="0"/>
        <w:jc w:val="both"/>
        <w:rPr>
          <w:b w:val="1"/>
          <w:bCs w:val="1"/>
        </w:rPr>
      </w:pPr>
      <w:r w:rsidDel="00000000" w:rsidR="00000000" w:rsidRPr="00000000">
        <w:rPr>
          <w:rtl w:val="0"/>
        </w:rPr>
      </w:r>
    </w:p>
    <w:p w:rsidR="00000000" w:rsidDel="00000000" w:rsidP="00000000" w:rsidRDefault="00000000" w:rsidRPr="00000000" w14:paraId="00000177">
      <w:pPr>
        <w:pageBreakBefore w:val="0"/>
        <w:jc w:val="center"/>
        <w:rPr>
          <w:b w:val="1"/>
          <w:bCs w:val="1"/>
        </w:rPr>
      </w:pPr>
      <w:r w:rsidDel="00000000" w:rsidR="00000000" w:rsidRPr="00000000">
        <w:rPr>
          <w:b w:val="1"/>
          <w:bCs w:val="1"/>
        </w:rPr>
        <w:drawing>
          <wp:inline distB="114300" distT="114300" distL="114300" distR="114300">
            <wp:extent cx="1415887" cy="2643727"/>
            <wp:effectExtent b="0" l="0" r="0" t="0"/>
            <wp:docPr id="21" name="image18.jpg"/>
            <a:graphic>
              <a:graphicData uri="http://schemas.openxmlformats.org/drawingml/2006/picture">
                <pic:pic>
                  <pic:nvPicPr>
                    <pic:cNvPr id="0" name="image18.jpg"/>
                    <pic:cNvPicPr preferRelativeResize="0"/>
                  </pic:nvPicPr>
                  <pic:blipFill>
                    <a:blip r:embed="rId33"/>
                    <a:srcRect b="0" l="0" r="0" t="0"/>
                    <a:stretch>
                      <a:fillRect/>
                    </a:stretch>
                  </pic:blipFill>
                  <pic:spPr>
                    <a:xfrm>
                      <a:off x="0" y="0"/>
                      <a:ext cx="1415887" cy="264372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jc w:val="center"/>
        <w:rPr>
          <w:b w:val="1"/>
          <w:bCs w:val="1"/>
        </w:rPr>
      </w:pPr>
      <w:r w:rsidDel="00000000" w:rsidR="00000000" w:rsidRPr="00000000">
        <w:rPr>
          <w:rtl w:val="0"/>
        </w:rPr>
      </w:r>
    </w:p>
    <w:p w:rsidR="00000000" w:rsidDel="00000000" w:rsidP="00000000" w:rsidRDefault="00000000" w:rsidRPr="00000000" w14:paraId="00000179">
      <w:pPr>
        <w:pageBreakBefore w:val="0"/>
        <w:ind w:left="720" w:firstLine="720"/>
        <w:jc w:val="center"/>
        <w:rPr/>
      </w:pPr>
      <w:r w:rsidDel="00000000" w:rsidR="00000000" w:rsidRPr="00000000">
        <w:rPr>
          <w:rtl w:val="0"/>
        </w:rPr>
        <w:t xml:space="preserve">Sweden Food &amp; Preparations 2018 (Decremental SDV Sensitivity)</w:t>
      </w:r>
    </w:p>
    <w:p w:rsidR="00000000" w:rsidDel="00000000" w:rsidP="00000000" w:rsidRDefault="00000000" w:rsidRPr="00000000" w14:paraId="0000017A">
      <w:pPr>
        <w:pageBreakBefore w:val="0"/>
        <w:ind w:left="720" w:firstLine="720"/>
        <w:jc w:val="center"/>
        <w:rPr/>
      </w:pPr>
      <w:r w:rsidDel="00000000" w:rsidR="00000000" w:rsidRPr="00000000">
        <w:rPr>
          <w:rtl w:val="0"/>
        </w:rPr>
      </w:r>
    </w:p>
    <w:p w:rsidR="00000000" w:rsidDel="00000000" w:rsidP="00000000" w:rsidRDefault="00000000" w:rsidRPr="00000000" w14:paraId="0000017B">
      <w:pPr>
        <w:pageBreakBefore w:val="0"/>
        <w:jc w:val="both"/>
        <w:rPr>
          <w:b w:val="1"/>
          <w:bCs w:val="1"/>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E">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t xml:space="preserve">Decreasing export of each industry in Sweden’s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3">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808448" cy="2528888"/>
            <wp:effectExtent b="0" l="0" r="0" t="0"/>
            <wp:docPr id="28" name="image25.jpg"/>
            <a:graphic>
              <a:graphicData uri="http://schemas.openxmlformats.org/drawingml/2006/picture">
                <pic:pic>
                  <pic:nvPicPr>
                    <pic:cNvPr id="0" name="image25.jpg"/>
                    <pic:cNvPicPr preferRelativeResize="0"/>
                  </pic:nvPicPr>
                  <pic:blipFill>
                    <a:blip r:embed="rId34"/>
                    <a:srcRect b="0" l="0" r="0" t="0"/>
                    <a:stretch>
                      <a:fillRect/>
                    </a:stretch>
                  </pic:blipFill>
                  <pic:spPr>
                    <a:xfrm>
                      <a:off x="0" y="0"/>
                      <a:ext cx="4808448"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jc w:val="center"/>
        <w:rPr>
          <w:sz w:val="22"/>
          <w:szCs w:val="22"/>
        </w:rPr>
      </w:pPr>
      <w:r w:rsidDel="00000000" w:rsidR="00000000" w:rsidRPr="00000000">
        <w:rPr>
          <w:sz w:val="22"/>
          <w:szCs w:val="22"/>
          <w:rtl w:val="0"/>
        </w:rPr>
        <w:t xml:space="preserve">Sweden Contingency Strategy 2018</w:t>
      </w:r>
    </w:p>
    <w:p w:rsidR="00000000" w:rsidDel="00000000" w:rsidP="00000000" w:rsidRDefault="00000000" w:rsidRPr="00000000" w14:paraId="00000185">
      <w:pPr>
        <w:pageBreakBefore w:val="0"/>
        <w:jc w:val="center"/>
        <w:rPr>
          <w:sz w:val="22"/>
          <w:szCs w:val="22"/>
        </w:rPr>
      </w:pP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9">
      <w:pPr>
        <w:pageBreakBefore w:val="0"/>
        <w:jc w:val="both"/>
        <w:rPr>
          <w:b w:val="1"/>
          <w:bCs w:val="1"/>
        </w:rPr>
      </w:pPr>
      <w:r w:rsidDel="00000000" w:rsidR="00000000" w:rsidRPr="00000000">
        <w:rPr>
          <w:rtl w:val="0"/>
        </w:rPr>
      </w:r>
    </w:p>
    <w:p w:rsidR="00000000" w:rsidDel="00000000" w:rsidP="00000000" w:rsidRDefault="00000000" w:rsidRPr="00000000" w14:paraId="0000018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E">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8">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b w:val="1"/>
          <w:bCs w:val="1"/>
          <w:rtl w:val="0"/>
        </w:rPr>
        <w:t xml:space="preserve">5.2 SOI of Sweden and Its Implications</w:t>
      </w:r>
    </w:p>
    <w:p w:rsidR="00000000" w:rsidDel="00000000" w:rsidP="00000000" w:rsidRDefault="00000000" w:rsidRPr="00000000" w14:paraId="0000019B">
      <w:pPr>
        <w:pageBreakBefore w:val="0"/>
        <w:jc w:val="both"/>
        <w:rPr/>
      </w:pPr>
      <w:r w:rsidDel="00000000" w:rsidR="00000000" w:rsidRPr="00000000">
        <w:rPr>
          <w:rtl w:val="0"/>
        </w:rPr>
        <w:t xml:space="preserve">Sweden, for instance, has a lower level of structural optimality as compared with its developed peers. As the regression in Figure 7 suggests (the orange curve represents export increase and the blue curve stands for opportunity gain of the corresponding industry), Sweden demonstrates a low level of correlation with the suggested developmental path, having an adjusted R-square of around 0.516%. Sweden ranks in the third quartile among all countries in terms of SOI and has made an average rate of economic progress among its emerging peers from 2013 to 2018 with a 5-year GDP growth rate of 23.2%,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Sweden’s stable economic progress from 2013 to 2018 can be at least partially explained by a development strategy that demonstrates a considerable but not perfect level of matches with our suggested developmental path. In specific, Sweden invested heavily in the Services/Utilities and Machinery/Construction industries, while it should have focused more on moderately complex industry groups such as Energy Drilling/Mining. </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drawing>
          <wp:inline distB="114300" distT="114300" distL="114300" distR="114300">
            <wp:extent cx="5734050" cy="2298700"/>
            <wp:effectExtent b="0" l="0" r="0" t="0"/>
            <wp:docPr id="14" name="image31.png"/>
            <a:graphic>
              <a:graphicData uri="http://schemas.openxmlformats.org/drawingml/2006/picture">
                <pic:pic>
                  <pic:nvPicPr>
                    <pic:cNvPr id="0" name="image31.png"/>
                    <pic:cNvPicPr preferRelativeResize="0"/>
                  </pic:nvPicPr>
                  <pic:blipFill>
                    <a:blip r:embed="rId36"/>
                    <a:srcRect b="0" l="1663" r="1663"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ageBreakBefore w:val="0"/>
        <w:jc w:val="center"/>
        <w:rPr>
          <w:b w:val="1"/>
          <w:bCs w:val="1"/>
        </w:rPr>
      </w:pPr>
      <w:r w:rsidDel="00000000" w:rsidR="00000000" w:rsidRPr="00000000">
        <w:rPr>
          <w:rtl w:val="0"/>
        </w:rPr>
        <w:t xml:space="preserve">Figure 7: SOI of Sweden (2009-2014)</w:t>
      </w:r>
      <w:r w:rsidDel="00000000" w:rsidR="00000000" w:rsidRPr="00000000">
        <w:rPr>
          <w:rtl w:val="0"/>
        </w:rPr>
      </w:r>
    </w:p>
    <w:p w:rsidR="00000000" w:rsidDel="00000000" w:rsidP="00000000" w:rsidRDefault="00000000" w:rsidRPr="00000000" w14:paraId="0000019F">
      <w:pPr>
        <w:pageBreakBefore w:val="0"/>
        <w:jc w:val="both"/>
        <w:rPr>
          <w:b w:val="1"/>
          <w:bCs w:val="1"/>
        </w:rPr>
      </w:pPr>
      <w:r w:rsidDel="00000000" w:rsidR="00000000" w:rsidRPr="00000000">
        <w:rPr>
          <w:rtl w:val="0"/>
        </w:rPr>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In conclusion, Sweden has demonstrated a moderate level of economic growth in terms of annual GDP increase during the period from 2013 to 2018, concurrent with a decrease in economic complexity as compared with other developed economies. </w:t>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Sweden on the industry group level. The product classification system we adopt allows us to measure the realized industry development for various industry groups and to observe that S</w:t>
      </w:r>
      <w:r w:rsidDel="00000000" w:rsidR="00000000" w:rsidRPr="00000000">
        <w:rPr>
          <w:rtl w:val="0"/>
        </w:rPr>
        <w:t xml:space="preserve">weden consistently relied on developing the Services and Utilities and Machinery and Construction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t xml:space="preserve">Based on our analysis of the opportunity gain and a sensitivity analysis of major industry groups, Sweden can further its gains by prioritizing High-Complexity Products and Transportation. We further note that Sweden has a slightly mismatched development strategy that indicates a low level (compared to other developed countries) of structural optimality on the complexity level, having an adjusted R-square of around 0.516%. Since a significant positive correlation exists between five-year GDP growth and the structural optimality index of an economy as we define and calculate, Sweden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B">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0.png"/><Relationship Id="rId22" Type="http://schemas.openxmlformats.org/officeDocument/2006/relationships/image" Target="media/image9.png"/><Relationship Id="rId21" Type="http://schemas.openxmlformats.org/officeDocument/2006/relationships/image" Target="media/image28.png"/><Relationship Id="rId24" Type="http://schemas.openxmlformats.org/officeDocument/2006/relationships/image" Target="media/image13.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4.jpg"/><Relationship Id="rId25" Type="http://schemas.openxmlformats.org/officeDocument/2006/relationships/image" Target="media/image4.jpg"/><Relationship Id="rId28" Type="http://schemas.openxmlformats.org/officeDocument/2006/relationships/image" Target="media/image7.jpg"/><Relationship Id="rId27" Type="http://schemas.openxmlformats.org/officeDocument/2006/relationships/image" Target="media/image26.jp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9.jpg"/><Relationship Id="rId7" Type="http://schemas.openxmlformats.org/officeDocument/2006/relationships/image" Target="media/image30.png"/><Relationship Id="rId8" Type="http://schemas.openxmlformats.org/officeDocument/2006/relationships/image" Target="media/image22.png"/><Relationship Id="rId31" Type="http://schemas.openxmlformats.org/officeDocument/2006/relationships/image" Target="media/image27.jpg"/><Relationship Id="rId30" Type="http://schemas.openxmlformats.org/officeDocument/2006/relationships/image" Target="media/image16.jpg"/><Relationship Id="rId11" Type="http://schemas.openxmlformats.org/officeDocument/2006/relationships/image" Target="media/image10.jpg"/><Relationship Id="rId33" Type="http://schemas.openxmlformats.org/officeDocument/2006/relationships/image" Target="media/image18.jpg"/><Relationship Id="rId10" Type="http://schemas.openxmlformats.org/officeDocument/2006/relationships/image" Target="media/image11.png"/><Relationship Id="rId32" Type="http://schemas.openxmlformats.org/officeDocument/2006/relationships/image" Target="media/image6.jpg"/><Relationship Id="rId13" Type="http://schemas.openxmlformats.org/officeDocument/2006/relationships/image" Target="media/image8.png"/><Relationship Id="rId35" Type="http://schemas.openxmlformats.org/officeDocument/2006/relationships/image" Target="media/image15.png"/><Relationship Id="rId12" Type="http://schemas.openxmlformats.org/officeDocument/2006/relationships/image" Target="media/image12.png"/><Relationship Id="rId34" Type="http://schemas.openxmlformats.org/officeDocument/2006/relationships/image" Target="media/image25.jpg"/><Relationship Id="rId15" Type="http://schemas.openxmlformats.org/officeDocument/2006/relationships/image" Target="media/image5.png"/><Relationship Id="rId37" Type="http://schemas.openxmlformats.org/officeDocument/2006/relationships/header" Target="header1.xml"/><Relationship Id="rId14" Type="http://schemas.openxmlformats.org/officeDocument/2006/relationships/image" Target="media/image3.jpg"/><Relationship Id="rId36" Type="http://schemas.openxmlformats.org/officeDocument/2006/relationships/image" Target="media/image31.png"/><Relationship Id="rId17" Type="http://schemas.openxmlformats.org/officeDocument/2006/relationships/image" Target="media/image17.png"/><Relationship Id="rId39" Type="http://schemas.openxmlformats.org/officeDocument/2006/relationships/footer" Target="footer3.xml"/><Relationship Id="rId16" Type="http://schemas.openxmlformats.org/officeDocument/2006/relationships/image" Target="media/image2.png"/><Relationship Id="rId38" Type="http://schemas.openxmlformats.org/officeDocument/2006/relationships/footer" Target="footer2.xml"/><Relationship Id="rId19" Type="http://schemas.openxmlformats.org/officeDocument/2006/relationships/image" Target="media/image23.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