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6" name="image3.png"/>
            <a:graphic>
              <a:graphicData uri="http://schemas.openxmlformats.org/drawingml/2006/picture">
                <pic:pic>
                  <pic:nvPicPr>
                    <pic:cNvPr descr="horizontal line" id="0" name="image3.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6" name="image23.png"/>
            <a:graphic>
              <a:graphicData uri="http://schemas.openxmlformats.org/drawingml/2006/picture">
                <pic:pic>
                  <pic:nvPicPr>
                    <pic:cNvPr id="0" name="image23.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United Kingdom</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United Kingdom</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the UK went through during the period from 2013 to 2018. Specifically, we dive into the topic through a macroeconomic overview of the UK from the perspective of Gross Domestic Product (GDP) and Economic Complexity Index (ECI), which reflect countries’ production capability and production structure, respectively. We find that during the period of our interest, the UK demonstrated a low level of economic growth with an average annual GDP growth rate of 3.03%, concurrent with an increase in economic complexity as compared with other major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analysis of the economic and product complexity structure of the UK on the industry group level. The product classification system we adopt allows us to measure the realized industry development for various industry groups and to observe that the UK co</w:t>
      </w:r>
      <w:r w:rsidDel="00000000" w:rsidR="00000000" w:rsidRPr="00000000">
        <w:rPr>
          <w:rtl w:val="0"/>
        </w:rPr>
        <w:t xml:space="preserve">nsistently relied on developing the Chemicals, Machinery and Construction, and Daily Instruments industries during the period, while some of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the UK can further its gains by prioritizing High-Complexity Products and Transportation. We further note that the UK has a heavily mismatched development strategy that indicates a low level of structural optimality (compared to other developed countries) on the complexity level, having an adjusted R-square of around -5.12%. Since a significant positive correlation exists between five-year GDP growth and the structural optimality index of an economy as we define and calculate, the UK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the UK went through during the period from 2013 to 2018. Specifically, we dive into the topic through a macroeconomic overview of the UK from the perspective of Gross Domestic Product (GDP) and Economic Complexity Index (ECI), which reflect countries’ production capability and production structure, respectively. We then analyze the industrial framework and changes of the UK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the UK,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the UK and two of its peer countries (France and Italy) from 2013-2018. Similar to the other countries, the UK displayed upward growth over the period. Furthermore, the UK’s average annual growth rate of 3.03% over the five-year period is comparable to those of its peers, which are 2.59% and 2.46% for France and Italy,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924300" cy="2562225"/>
            <wp:effectExtent b="0" l="0" r="0" t="0"/>
            <wp:docPr id="1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9243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Leading Economies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 As shown, the UK exhibits a significant increase in production capability from 2013 to 2018. The UK (41.53% ECI change) is the only country in the peer group to see a positive ECI change, as France (-2.31%) and Italy (-25.54%) saw decreases in production capability over the period.</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4000500" cy="2428875"/>
            <wp:effectExtent b="0" l="0" r="0" t="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0005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8">
      <w:pPr>
        <w:pageBreakBefore w:val="0"/>
        <w:jc w:val="center"/>
        <w:rPr/>
      </w:pP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drawing>
          <wp:inline distB="114300" distT="114300" distL="114300" distR="114300">
            <wp:extent cx="4286250" cy="2524125"/>
            <wp:effectExtent b="0" l="0" r="0" t="0"/>
            <wp:docPr id="2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2862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(U.S.)</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the UK.. The steady increase in GDP growth during the period from 2013 to 2018 is accompanied by a volatile eventual increase in ECI. The results show that the economic growth experienced by the UK during the period from 2013 to 2018, though relatively stable, is only partially consistent with the predictions by ECI and that the UK made some progress in effectively developing a competitive product space that helps to accumulate complicated knowledge and technology. In order to provide a more concrete answer to why this has happened, we will dive into an analysis of the UK’s production structure and its product space designs in the next few chapters. </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b w:val="1"/>
          <w:bCs w:val="1"/>
        </w:rPr>
      </w:pPr>
      <w:r w:rsidDel="00000000" w:rsidR="00000000" w:rsidRPr="00000000">
        <w:rPr>
          <w:rtl w:val="0"/>
        </w:rPr>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1">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2">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3">
      <w:pPr>
        <w:pageBreakBefore w:val="0"/>
        <w:jc w:val="both"/>
        <w:rPr/>
      </w:pPr>
      <w:r w:rsidDel="00000000" w:rsidR="00000000" w:rsidRPr="00000000">
        <w:rPr>
          <w:rtl w:val="0"/>
        </w:rPr>
      </w:r>
    </w:p>
    <w:p w:rsidR="00000000" w:rsidDel="00000000" w:rsidP="00000000" w:rsidRDefault="00000000" w:rsidRPr="00000000" w14:paraId="00000034">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5">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6">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2">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2">
            <w:pPr>
              <w:pageBreakBefore w:val="0"/>
              <w:jc w:val="center"/>
              <w:rPr/>
            </w:pPr>
            <w:r w:rsidDel="00000000" w:rsidR="00000000" w:rsidRPr="00000000">
              <w:rPr>
                <w:rtl w:val="0"/>
              </w:rPr>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6">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9">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C">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1">
            <w:pPr>
              <w:pageBreakBefore w:val="0"/>
              <w:jc w:val="center"/>
              <w:rPr/>
            </w:pPr>
            <w:r w:rsidDel="00000000" w:rsidR="00000000" w:rsidRPr="00000000">
              <w:rPr>
                <w:rtl w:val="0"/>
              </w:rPr>
              <w:t xml:space="preserve">107</w:t>
            </w:r>
          </w:p>
        </w:tc>
      </w:tr>
    </w:tbl>
    <w:p w:rsidR="00000000" w:rsidDel="00000000" w:rsidP="00000000" w:rsidRDefault="00000000" w:rsidRPr="00000000" w14:paraId="00000072">
      <w:pPr>
        <w:pageBreakBefore w:val="0"/>
        <w:jc w:val="center"/>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4">
      <w:pPr>
        <w:pageBreakBefore w:val="0"/>
        <w:jc w:val="both"/>
        <w:rPr/>
      </w:pPr>
      <w:r w:rsidDel="00000000" w:rsidR="00000000" w:rsidRPr="00000000">
        <w:rPr>
          <w:rtl w:val="0"/>
        </w:rPr>
      </w:r>
    </w:p>
    <w:p w:rsidR="00000000" w:rsidDel="00000000" w:rsidP="00000000" w:rsidRDefault="00000000" w:rsidRPr="00000000" w14:paraId="00000075">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6">
            <w:pPr>
              <w:pageBreakBefore w:val="0"/>
              <w:jc w:val="center"/>
              <w:rPr/>
            </w:pPr>
            <w:r w:rsidDel="00000000" w:rsidR="00000000" w:rsidRPr="00000000">
              <w:rPr>
                <w:rtl w:val="0"/>
              </w:rPr>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A">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E">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0">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2">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21</w:t>
            </w:r>
          </w:p>
        </w:tc>
      </w:tr>
    </w:tbl>
    <w:p w:rsidR="00000000" w:rsidDel="00000000" w:rsidP="00000000" w:rsidRDefault="00000000" w:rsidRPr="00000000" w14:paraId="00000086">
      <w:pPr>
        <w:pageBreakBefore w:val="0"/>
        <w:jc w:val="center"/>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8">
      <w:pPr>
        <w:pageBreakBefore w:val="0"/>
        <w:jc w:val="center"/>
        <w:rPr>
          <w:sz w:val="20"/>
          <w:szCs w:val="20"/>
        </w:rPr>
      </w:pPr>
      <w:r w:rsidDel="00000000" w:rsidR="00000000" w:rsidRPr="00000000">
        <w:rPr>
          <w:rtl w:val="0"/>
        </w:rPr>
      </w:r>
    </w:p>
    <w:p w:rsidR="00000000" w:rsidDel="00000000" w:rsidP="00000000" w:rsidRDefault="00000000" w:rsidRPr="00000000" w14:paraId="00000089">
      <w:pPr>
        <w:pageBreakBefore w:val="0"/>
        <w:jc w:val="center"/>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pageBreakBefore w:val="0"/>
        <w:jc w:val="both"/>
        <w:rPr/>
      </w:pPr>
      <w:r w:rsidDel="00000000" w:rsidR="00000000" w:rsidRPr="00000000">
        <w:rPr>
          <w:rtl w:val="0"/>
        </w:rPr>
        <w:t xml:space="preserve">Based on the product categorization aforementioned, we aim to capture the UK’s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D">
      <w:pPr>
        <w:pageBreakBefore w:val="0"/>
        <w:jc w:val="both"/>
        <w:rPr/>
      </w:pP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drawing>
          <wp:inline distB="114300" distT="114300" distL="114300" distR="114300">
            <wp:extent cx="2001675" cy="4467015"/>
            <wp:effectExtent b="0" l="0" r="0" t="0"/>
            <wp:docPr id="10" name="image20.jpg"/>
            <a:graphic>
              <a:graphicData uri="http://schemas.openxmlformats.org/drawingml/2006/picture">
                <pic:pic>
                  <pic:nvPicPr>
                    <pic:cNvPr id="0" name="image20.jpg"/>
                    <pic:cNvPicPr preferRelativeResize="0"/>
                  </pic:nvPicPr>
                  <pic:blipFill>
                    <a:blip r:embed="rId11"/>
                    <a:srcRect b="0" l="0" r="0" t="0"/>
                    <a:stretch>
                      <a:fillRect/>
                    </a:stretch>
                  </pic:blipFill>
                  <pic:spPr>
                    <a:xfrm>
                      <a:off x="0" y="0"/>
                      <a:ext cx="2001675" cy="446701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jc w:val="center"/>
        <w:rPr/>
      </w:pPr>
      <w:r w:rsidDel="00000000" w:rsidR="00000000" w:rsidRPr="00000000">
        <w:rPr>
          <w:rtl w:val="0"/>
        </w:rPr>
        <w:t xml:space="preserve">Table 2: Realized Industry Development (RID) of UK</w:t>
      </w:r>
    </w:p>
    <w:p w:rsidR="00000000" w:rsidDel="00000000" w:rsidP="00000000" w:rsidRDefault="00000000" w:rsidRPr="00000000" w14:paraId="00000090">
      <w:pPr>
        <w:pageBreakBefore w:val="0"/>
        <w:jc w:val="both"/>
        <w:rPr>
          <w:b w:val="1"/>
          <w:bCs w:val="1"/>
        </w:rPr>
      </w:pP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pPr>
      <w:r w:rsidDel="00000000" w:rsidR="00000000" w:rsidRPr="00000000">
        <w:rPr>
          <w:rtl w:val="0"/>
        </w:rPr>
        <w:t xml:space="preserve">Table 3 and 4 below summarize how the production strategy adopted by the UK compares with leading economies and a selected group of emerging economies in the world, as measured in RID. </w:t>
      </w:r>
    </w:p>
    <w:p w:rsidR="00000000" w:rsidDel="00000000" w:rsidP="00000000" w:rsidRDefault="00000000" w:rsidRPr="00000000" w14:paraId="00000093">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4">
            <w:pPr>
              <w:pageBreakBefore w:val="0"/>
              <w:jc w:val="both"/>
              <w:rPr/>
            </w:pPr>
            <w:r w:rsidDel="00000000" w:rsidR="00000000" w:rsidRPr="00000000">
              <w:rPr>
                <w:rtl w:val="0"/>
              </w:rPr>
              <w:t xml:space="preserve">Ranking</w:t>
            </w:r>
          </w:p>
        </w:tc>
        <w:tc>
          <w:tcPr/>
          <w:p w:rsidR="00000000" w:rsidDel="00000000" w:rsidP="00000000" w:rsidRDefault="00000000" w:rsidRPr="00000000" w14:paraId="00000095">
            <w:pPr>
              <w:pageBreakBefore w:val="0"/>
              <w:jc w:val="both"/>
              <w:rPr/>
            </w:pPr>
            <w:r w:rsidDel="00000000" w:rsidR="00000000" w:rsidRPr="00000000">
              <w:rPr>
                <w:rtl w:val="0"/>
              </w:rPr>
              <w:t xml:space="preserve">France</w:t>
            </w:r>
          </w:p>
        </w:tc>
        <w:tc>
          <w:tcPr/>
          <w:p w:rsidR="00000000" w:rsidDel="00000000" w:rsidP="00000000" w:rsidRDefault="00000000" w:rsidRPr="00000000" w14:paraId="00000096">
            <w:pPr>
              <w:pageBreakBefore w:val="0"/>
              <w:jc w:val="both"/>
              <w:rPr/>
            </w:pPr>
            <w:r w:rsidDel="00000000" w:rsidR="00000000" w:rsidRPr="00000000">
              <w:rPr>
                <w:rtl w:val="0"/>
              </w:rPr>
              <w:t xml:space="preserve">the UK</w:t>
            </w:r>
          </w:p>
        </w:tc>
        <w:tc>
          <w:tcPr/>
          <w:p w:rsidR="00000000" w:rsidDel="00000000" w:rsidP="00000000" w:rsidRDefault="00000000" w:rsidRPr="00000000" w14:paraId="00000097">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8">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C">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A0">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4">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8">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B">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E">
      <w:pPr>
        <w:pageBreakBefore w:val="0"/>
        <w:jc w:val="center"/>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B0">
            <w:pPr>
              <w:pageBreakBefore w:val="0"/>
              <w:jc w:val="both"/>
              <w:rPr/>
            </w:pPr>
            <w:r w:rsidDel="00000000" w:rsidR="00000000" w:rsidRPr="00000000">
              <w:rPr>
                <w:rtl w:val="0"/>
              </w:rPr>
              <w:t xml:space="preserve">Ranking</w:t>
            </w:r>
          </w:p>
        </w:tc>
        <w:tc>
          <w:tcPr/>
          <w:p w:rsidR="00000000" w:rsidDel="00000000" w:rsidP="00000000" w:rsidRDefault="00000000" w:rsidRPr="00000000" w14:paraId="000000B1">
            <w:pPr>
              <w:pageBreakBefore w:val="0"/>
              <w:jc w:val="both"/>
              <w:rPr/>
            </w:pPr>
            <w:r w:rsidDel="00000000" w:rsidR="00000000" w:rsidRPr="00000000">
              <w:rPr>
                <w:rtl w:val="0"/>
              </w:rPr>
              <w:t xml:space="preserve">China</w:t>
            </w:r>
          </w:p>
        </w:tc>
        <w:tc>
          <w:tcPr/>
          <w:p w:rsidR="00000000" w:rsidDel="00000000" w:rsidP="00000000" w:rsidRDefault="00000000" w:rsidRPr="00000000" w14:paraId="000000B2">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3">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4">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8">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C">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C0">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4">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7">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A">
      <w:pPr>
        <w:pageBreakBefore w:val="0"/>
        <w:jc w:val="both"/>
        <w:rPr/>
      </w:pPr>
      <w:r w:rsidDel="00000000" w:rsidR="00000000" w:rsidRPr="00000000">
        <w:rPr>
          <w:rtl w:val="0"/>
        </w:rPr>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tl w:val="0"/>
        </w:rPr>
        <w:t xml:space="preserve">Table 4 further examines UK’s development strategy against those of emerging economies on a global scale. Reasonably, emerging economies such as China, South Korea, Singapore and India have devoted the majority of their efforts into intermediate industry groups while developed economies such as UK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UK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rtl w:val="0"/>
        </w:rPr>
      </w:r>
    </w:p>
    <w:p w:rsidR="00000000" w:rsidDel="00000000" w:rsidP="00000000" w:rsidRDefault="00000000" w:rsidRPr="00000000" w14:paraId="000000C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D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D1">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2">
      <w:pPr>
        <w:pageBreakBefore w:val="0"/>
        <w:jc w:val="both"/>
        <w:rPr/>
      </w:pP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drawing>
          <wp:inline distB="114300" distT="114300" distL="114300" distR="114300">
            <wp:extent cx="5731200" cy="1562100"/>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1562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5">
      <w:pPr>
        <w:pageBreakBefore w:val="0"/>
        <w:jc w:val="center"/>
        <w:rPr/>
      </w:pPr>
      <w:r w:rsidDel="00000000" w:rsidR="00000000" w:rsidRPr="00000000">
        <w:rPr>
          <w:rtl w:val="0"/>
        </w:rPr>
        <w:t xml:space="preserve">  </w:t>
      </w:r>
    </w:p>
    <w:p w:rsidR="00000000" w:rsidDel="00000000" w:rsidP="00000000" w:rsidRDefault="00000000" w:rsidRPr="00000000" w14:paraId="000000D6">
      <w:pPr>
        <w:pageBreakBefore w:val="0"/>
        <w:jc w:val="center"/>
        <w:rPr/>
      </w:pPr>
      <w:r w:rsidDel="00000000" w:rsidR="00000000" w:rsidRPr="00000000">
        <w:rPr/>
        <w:drawing>
          <wp:inline distB="114300" distT="114300" distL="114300" distR="114300">
            <wp:extent cx="5731200" cy="1600200"/>
            <wp:effectExtent b="0" l="0" r="0" t="0"/>
            <wp:docPr id="28"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9">
      <w:pPr>
        <w:pageBreakBefore w:val="0"/>
        <w:jc w:val="center"/>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South Africas and Colombia,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0DB">
      <w:pPr>
        <w:pageBreakBefore w:val="0"/>
        <w:jc w:val="both"/>
        <w:rPr/>
      </w:pP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t xml:space="preserve">It can be concluded that the United Kingdom is categorized to be a highly complexed country as compared with the world’s leading economies and other major economies in Europe. </w:t>
      </w:r>
    </w:p>
    <w:p w:rsidR="00000000" w:rsidDel="00000000" w:rsidP="00000000" w:rsidRDefault="00000000" w:rsidRPr="00000000" w14:paraId="000000DD">
      <w:pPr>
        <w:pageBreakBefore w:val="0"/>
        <w:jc w:val="both"/>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drawing>
          <wp:inline distB="114300" distT="114300" distL="114300" distR="114300">
            <wp:extent cx="5734050" cy="2273300"/>
            <wp:effectExtent b="0" l="0" r="0" t="0"/>
            <wp:docPr id="2"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ageBreakBefore w:val="0"/>
        <w:jc w:val="both"/>
        <w:rPr/>
      </w:pP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E1">
      <w:pPr>
        <w:pageBreakBefore w:val="0"/>
        <w:jc w:val="center"/>
        <w:rPr/>
      </w:pPr>
      <w:r w:rsidDel="00000000" w:rsidR="00000000" w:rsidRPr="00000000">
        <w:rPr>
          <w:rtl w:val="0"/>
        </w:rPr>
      </w:r>
    </w:p>
    <w:p w:rsidR="00000000" w:rsidDel="00000000" w:rsidP="00000000" w:rsidRDefault="00000000" w:rsidRPr="00000000" w14:paraId="000000E2">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5">
      <w:pPr>
        <w:pageBreakBefore w:val="0"/>
        <w:jc w:val="both"/>
        <w:rPr/>
      </w:pPr>
      <w:r w:rsidDel="00000000" w:rsidR="00000000" w:rsidRPr="00000000">
        <w:rPr>
          <w:rtl w:val="0"/>
        </w:rPr>
      </w:r>
    </w:p>
    <w:p w:rsidR="00000000" w:rsidDel="00000000" w:rsidP="00000000" w:rsidRDefault="00000000" w:rsidRPr="00000000" w14:paraId="000000E6">
      <w:pPr>
        <w:pageBreakBefore w:val="0"/>
        <w:jc w:val="center"/>
        <w:rPr/>
      </w:pPr>
      <w:r w:rsidDel="00000000" w:rsidR="00000000" w:rsidRPr="00000000">
        <w:rPr/>
        <w:drawing>
          <wp:inline distB="114300" distT="114300" distL="114300" distR="114300">
            <wp:extent cx="2528888" cy="1141284"/>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ageBreakBefore w:val="0"/>
        <w:jc w:val="center"/>
        <w:rPr/>
      </w:pP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9">
      <w:pPr>
        <w:pageBreakBefore w:val="0"/>
        <w:jc w:val="both"/>
        <w:rPr/>
      </w:pPr>
      <w:r w:rsidDel="00000000" w:rsidR="00000000" w:rsidRPr="00000000">
        <w:rPr>
          <w:rtl w:val="0"/>
        </w:rPr>
        <w:t xml:space="preserve"> </w:t>
      </w:r>
    </w:p>
    <w:p w:rsidR="00000000" w:rsidDel="00000000" w:rsidP="00000000" w:rsidRDefault="00000000" w:rsidRPr="00000000" w14:paraId="000000EA">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B">
      <w:pPr>
        <w:pageBreakBefore w:val="0"/>
        <w:jc w:val="both"/>
        <w:rPr/>
      </w:pPr>
      <w:r w:rsidDel="00000000" w:rsidR="00000000" w:rsidRPr="00000000">
        <w:rPr>
          <w:rtl w:val="0"/>
        </w:rPr>
        <w:t xml:space="preserve"> </w:t>
      </w:r>
    </w:p>
    <w:p w:rsidR="00000000" w:rsidDel="00000000" w:rsidP="00000000" w:rsidRDefault="00000000" w:rsidRPr="00000000" w14:paraId="000000EC">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jc w:val="center"/>
        <w:rPr/>
      </w:pPr>
      <w:r w:rsidDel="00000000" w:rsidR="00000000" w:rsidRPr="00000000">
        <w:rPr/>
        <w:drawing>
          <wp:inline distB="114300" distT="114300" distL="114300" distR="114300">
            <wp:extent cx="2138363" cy="71863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F2">
      <w:pPr>
        <w:pageBreakBefore w:val="0"/>
        <w:rPr/>
      </w:pPr>
      <w:r w:rsidDel="00000000" w:rsidR="00000000" w:rsidRPr="00000000">
        <w:rPr>
          <w:rtl w:val="0"/>
        </w:rPr>
        <w:t xml:space="preserve"> </w:t>
      </w:r>
    </w:p>
    <w:p w:rsidR="00000000" w:rsidDel="00000000" w:rsidP="00000000" w:rsidRDefault="00000000" w:rsidRPr="00000000" w14:paraId="000000F3">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4">
      <w:pPr>
        <w:pageBreakBefore w:val="0"/>
        <w:jc w:val="both"/>
        <w:rPr>
          <w:b w:val="1"/>
          <w:bCs w:val="1"/>
        </w:rPr>
      </w:pPr>
      <w:r w:rsidDel="00000000" w:rsidR="00000000" w:rsidRPr="00000000">
        <w:rPr>
          <w:rtl w:val="0"/>
        </w:rPr>
      </w:r>
    </w:p>
    <w:p w:rsidR="00000000" w:rsidDel="00000000" w:rsidP="00000000" w:rsidRDefault="00000000" w:rsidRPr="00000000" w14:paraId="000000F5">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6">
      <w:pPr>
        <w:pageBreakBefore w:val="0"/>
        <w:jc w:val="both"/>
        <w:rPr>
          <w:b w:val="1"/>
          <w:bCs w:val="1"/>
        </w:rPr>
      </w:pPr>
      <w:r w:rsidDel="00000000" w:rsidR="00000000" w:rsidRPr="00000000">
        <w:rPr>
          <w:rtl w:val="0"/>
        </w:rPr>
      </w:r>
    </w:p>
    <w:p w:rsidR="00000000" w:rsidDel="00000000" w:rsidP="00000000" w:rsidRDefault="00000000" w:rsidRPr="00000000" w14:paraId="000000F7">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8">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F">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20">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21">
      <w:pPr>
        <w:pageBreakBefore w:val="0"/>
        <w:jc w:val="both"/>
        <w:rPr>
          <w:b w:val="1"/>
          <w:bCs w:val="1"/>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t xml:space="preserve">Below is the economic panel for Sweden in 2013. We can see that for different percentages of heuristic total export growth, the ECIs of the United Kingdom actually have similar amounts of increments. Overall, 5, 10, 15, and 20 percent export growth result in a similar ECI improvement pattern, which starts from around 0.92 and ends at around 1.09. </w:t>
      </w:r>
    </w:p>
    <w:p w:rsidR="00000000" w:rsidDel="00000000" w:rsidP="00000000" w:rsidRDefault="00000000" w:rsidRPr="00000000" w14:paraId="00000123">
      <w:pPr>
        <w:pageBreakBefore w:val="0"/>
        <w:jc w:val="both"/>
        <w:rPr/>
      </w:pPr>
      <w:r w:rsidDel="00000000" w:rsidR="00000000" w:rsidRPr="00000000">
        <w:rPr>
          <w:rtl w:val="0"/>
        </w:rPr>
        <w:t xml:space="preserve"> </w:t>
      </w:r>
    </w:p>
    <w:p w:rsidR="00000000" w:rsidDel="00000000" w:rsidP="00000000" w:rsidRDefault="00000000" w:rsidRPr="00000000" w14:paraId="00000124">
      <w:pPr>
        <w:pageBreakBefore w:val="0"/>
        <w:jc w:val="both"/>
        <w:rPr/>
      </w:pPr>
      <w:r w:rsidDel="00000000" w:rsidR="00000000" w:rsidRPr="00000000">
        <w:rPr>
          <w:rtl w:val="0"/>
        </w:rPr>
        <w:t xml:space="preserve">Among all four cases (5, 10, 15 and 20 percent export growth), energy drilling and mining, vegetables, daily instruments and chemicals account for the allocation portfolio. Compared with the solution of other countries, it is obvious that there is not so much room for ECI improvement, which can be reasoned by the pretty well-rounded economic structure of the United Kingdom. Therefore, carrying on the current production pattern is sufficient for maintaining the ECI at an advanced level. Additionally, given that there is a pretty developed economic structure, the United Kingdom should focus more on the development of energy drilling and mining, which can be beneficial for the production of other industries.</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drawing>
          <wp:inline distB="114300" distT="114300" distL="114300" distR="114300">
            <wp:extent cx="5859919" cy="1995488"/>
            <wp:effectExtent b="0" l="0" r="0" t="0"/>
            <wp:docPr id="2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859919" cy="1995488"/>
                    </a:xfrm>
                    <a:prstGeom prst="rect"/>
                    <a:ln/>
                  </pic:spPr>
                </pic:pic>
              </a:graphicData>
            </a:graphic>
          </wp:inline>
        </w:drawing>
      </w:r>
      <w:r w:rsidDel="00000000" w:rsidR="00000000" w:rsidRPr="00000000">
        <w:rPr/>
        <w:drawing>
          <wp:inline distB="114300" distT="114300" distL="114300" distR="114300">
            <wp:extent cx="5657850" cy="1876425"/>
            <wp:effectExtent b="0" l="0" r="0" t="0"/>
            <wp:docPr id="17" name="image10.png"/>
            <a:graphic>
              <a:graphicData uri="http://schemas.openxmlformats.org/drawingml/2006/picture">
                <pic:pic>
                  <pic:nvPicPr>
                    <pic:cNvPr id="0" name="image10.png"/>
                    <pic:cNvPicPr preferRelativeResize="0"/>
                  </pic:nvPicPr>
                  <pic:blipFill>
                    <a:blip r:embed="rId18"/>
                    <a:srcRect b="3902" l="1329" r="0" t="0"/>
                    <a:stretch>
                      <a:fillRect/>
                    </a:stretch>
                  </pic:blipFill>
                  <pic:spPr>
                    <a:xfrm>
                      <a:off x="0" y="0"/>
                      <a:ext cx="565785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rtl w:val="0"/>
        </w:rPr>
        <w:t xml:space="preserve">Figure 5: Greedy Based ECI Improvement Results of the United Kingdom in 2013 with Different Budgets</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drawing>
          <wp:inline distB="114300" distT="114300" distL="114300" distR="114300">
            <wp:extent cx="5731200" cy="901700"/>
            <wp:effectExtent b="0" l="0" r="0" t="0"/>
            <wp:docPr id="31"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center"/>
        <w:rPr/>
      </w:pPr>
      <w:r w:rsidDel="00000000" w:rsidR="00000000" w:rsidRPr="00000000">
        <w:rPr>
          <w:rtl w:val="0"/>
        </w:rPr>
        <w:t xml:space="preserve">Table 8: Portfolio of the United Kingdom in 2013</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rtl w:val="0"/>
        </w:rPr>
        <w:t xml:space="preserve">For further suggestions on the United Kingdom’s development in the future. We also offer the optimization result based on export data in 2018. Below is the economic panel for the United Kingdom in 2018. We can see that there is a similar pattern for the ECI improvement trajectories, which is that the improvements in 5, 10, 15 and 20 percent export growth all result in the ECI growth from 1.31 to 1.86. Again, since the United Kingdom is a pretty developed economic entity, the optimization result is very sparse and there are not so many suggestions for future development in terms of ECI improvement. However, one difference between 2013 and 2018 is that energy drilling and mining, which accounts for most of the portfolio in 2013, is now replaced by services and utilities. Additionally, transportations and high-complexity products become more and more important and serve as the second and third largest component in all scenarios. This can be resulted by the growing demand of technology innovation in nowadays society. A more detailed numerical representation of the portfolio is shown in Table 9. </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drawing>
          <wp:inline distB="114300" distT="114300" distL="114300" distR="114300">
            <wp:extent cx="5767388" cy="1969814"/>
            <wp:effectExtent b="0" l="0" r="0" t="0"/>
            <wp:docPr id="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67388" cy="1969814"/>
                    </a:xfrm>
                    <a:prstGeom prst="rect"/>
                    <a:ln/>
                  </pic:spPr>
                </pic:pic>
              </a:graphicData>
            </a:graphic>
          </wp:inline>
        </w:drawing>
      </w:r>
      <w:r w:rsidDel="00000000" w:rsidR="00000000" w:rsidRPr="00000000">
        <w:rPr/>
        <w:drawing>
          <wp:inline distB="114300" distT="114300" distL="114300" distR="114300">
            <wp:extent cx="5600700" cy="1809750"/>
            <wp:effectExtent b="0" l="0" r="0" t="0"/>
            <wp:docPr id="13" name="image22.png"/>
            <a:graphic>
              <a:graphicData uri="http://schemas.openxmlformats.org/drawingml/2006/picture">
                <pic:pic>
                  <pic:nvPicPr>
                    <pic:cNvPr id="0" name="image22.png"/>
                    <pic:cNvPicPr preferRelativeResize="0"/>
                  </pic:nvPicPr>
                  <pic:blipFill>
                    <a:blip r:embed="rId21"/>
                    <a:srcRect b="7317" l="2326" r="0" t="0"/>
                    <a:stretch>
                      <a:fillRect/>
                    </a:stretch>
                  </pic:blipFill>
                  <pic:spPr>
                    <a:xfrm>
                      <a:off x="0" y="0"/>
                      <a:ext cx="56007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center"/>
        <w:rPr/>
      </w:pPr>
      <w:r w:rsidDel="00000000" w:rsidR="00000000" w:rsidRPr="00000000">
        <w:rPr>
          <w:rtl w:val="0"/>
        </w:rPr>
        <w:t xml:space="preserve">Figure 6: Greedy Based ECI Improvement Results of the United Kingdom in 2018 with Different Budgets</w:t>
      </w:r>
    </w:p>
    <w:p w:rsidR="00000000" w:rsidDel="00000000" w:rsidP="00000000" w:rsidRDefault="00000000" w:rsidRPr="00000000" w14:paraId="00000134">
      <w:pPr>
        <w:pageBreakBefore w:val="0"/>
        <w:jc w:val="both"/>
        <w:rPr/>
      </w:pP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drawing>
          <wp:inline distB="114300" distT="114300" distL="114300" distR="114300">
            <wp:extent cx="5731200" cy="889000"/>
            <wp:effectExtent b="0" l="0" r="0" t="0"/>
            <wp:docPr id="2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ageBreakBefore w:val="0"/>
        <w:jc w:val="both"/>
        <w:rPr/>
      </w:pPr>
      <w:r w:rsidDel="00000000" w:rsidR="00000000" w:rsidRPr="00000000">
        <w:rPr>
          <w:rtl w:val="0"/>
        </w:rPr>
      </w:r>
    </w:p>
    <w:p w:rsidR="00000000" w:rsidDel="00000000" w:rsidP="00000000" w:rsidRDefault="00000000" w:rsidRPr="00000000" w14:paraId="00000137">
      <w:pPr>
        <w:pageBreakBefore w:val="0"/>
        <w:jc w:val="center"/>
        <w:rPr/>
      </w:pPr>
      <w:r w:rsidDel="00000000" w:rsidR="00000000" w:rsidRPr="00000000">
        <w:rPr>
          <w:rtl w:val="0"/>
        </w:rPr>
        <w:t xml:space="preserve">Table 9: Portfolio of the United Kingdom in 2018</w:t>
      </w:r>
    </w:p>
    <w:p w:rsidR="00000000" w:rsidDel="00000000" w:rsidP="00000000" w:rsidRDefault="00000000" w:rsidRPr="00000000" w14:paraId="00000138">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9">
      <w:pPr>
        <w:pageBreakBefore w:val="0"/>
        <w:spacing w:after="240" w:before="240" w:line="276" w:lineRule="auto"/>
        <w:rPr/>
      </w:pPr>
      <w:r w:rsidDel="00000000" w:rsidR="00000000" w:rsidRPr="00000000">
        <w:rPr>
          <w:rtl w:val="0"/>
        </w:rPr>
        <w:t xml:space="preserve">In the following section our broad aim is to understand how sensitive the UK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A">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D">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5" name="image1.jpg"/>
            <a:graphic>
              <a:graphicData uri="http://schemas.openxmlformats.org/drawingml/2006/picture">
                <pic:pic>
                  <pic:nvPicPr>
                    <pic:cNvPr id="0" name="image1.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F">
      <w:pPr>
        <w:pageBreakBefore w:val="0"/>
        <w:jc w:val="both"/>
        <w:rPr>
          <w:b w:val="1"/>
          <w:bCs w:val="1"/>
        </w:rPr>
      </w:pPr>
      <w:r w:rsidDel="00000000" w:rsidR="00000000" w:rsidRPr="00000000">
        <w:rPr>
          <w:rtl w:val="0"/>
        </w:rPr>
      </w:r>
    </w:p>
    <w:p w:rsidR="00000000" w:rsidDel="00000000" w:rsidP="00000000" w:rsidRDefault="00000000" w:rsidRPr="00000000" w14:paraId="00000140">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41">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42">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43">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44">
      <w:pPr>
        <w:pageBreakBefore w:val="0"/>
        <w:spacing w:line="276" w:lineRule="auto"/>
        <w:rPr/>
      </w:pPr>
      <w:r w:rsidDel="00000000" w:rsidR="00000000" w:rsidRPr="00000000">
        <w:rPr>
          <w:rtl w:val="0"/>
        </w:rPr>
      </w:r>
    </w:p>
    <w:p w:rsidR="00000000" w:rsidDel="00000000" w:rsidP="00000000" w:rsidRDefault="00000000" w:rsidRPr="00000000" w14:paraId="00000145">
      <w:pPr>
        <w:pageBreakBefore w:val="0"/>
        <w:jc w:val="both"/>
        <w:rPr/>
      </w:pPr>
      <w:r w:rsidDel="00000000" w:rsidR="00000000" w:rsidRPr="00000000">
        <w:rPr/>
        <w:drawing>
          <wp:inline distB="114300" distT="114300" distL="114300" distR="114300">
            <wp:extent cx="5734050" cy="1739900"/>
            <wp:effectExtent b="0" l="0" r="0" t="0"/>
            <wp:docPr id="9" name="image17.jpg"/>
            <a:graphic>
              <a:graphicData uri="http://schemas.openxmlformats.org/drawingml/2006/picture">
                <pic:pic>
                  <pic:nvPicPr>
                    <pic:cNvPr id="0" name="image17.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7">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8">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9">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A">
      <w:pPr>
        <w:pageBreakBefore w:val="0"/>
        <w:spacing w:line="276" w:lineRule="auto"/>
        <w:rPr/>
      </w:pPr>
      <w:r w:rsidDel="00000000" w:rsidR="00000000" w:rsidRPr="00000000">
        <w:rPr>
          <w:rtl w:val="0"/>
        </w:rPr>
      </w:r>
    </w:p>
    <w:p w:rsidR="00000000" w:rsidDel="00000000" w:rsidP="00000000" w:rsidRDefault="00000000" w:rsidRPr="00000000" w14:paraId="0000014B">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4" name="image5.jpg"/>
            <a:graphic>
              <a:graphicData uri="http://schemas.openxmlformats.org/drawingml/2006/picture">
                <pic:pic>
                  <pic:nvPicPr>
                    <pic:cNvPr id="0" name="image5.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0">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5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2">
      <w:pPr>
        <w:pageBreakBefore w:val="0"/>
        <w:jc w:val="both"/>
        <w:rPr/>
      </w:pPr>
      <w:r w:rsidDel="00000000" w:rsidR="00000000" w:rsidRPr="00000000">
        <w:rPr>
          <w:rtl w:val="0"/>
        </w:rPr>
        <w:t xml:space="preserve">Below is the United Kingdom’s 2018 ECI Sensitivity Charts. Firstly in the positive chart, we notice immediately that an increase in export in the majority of industries actually causes decreases in ECI. Only Transportation seems to give an immediate increase in ECI level. A large increase in High Complexity Products would also lead to an increase in the ECI level.  </w:t>
      </w:r>
    </w:p>
    <w:p w:rsidR="00000000" w:rsidDel="00000000" w:rsidP="00000000" w:rsidRDefault="00000000" w:rsidRPr="00000000" w14:paraId="00000153">
      <w:pPr>
        <w:pageBreakBefore w:val="0"/>
        <w:jc w:val="both"/>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Next we consider the United Kingdom’s 2018 Negative Shock chart. We see that for the UK decreasing the export of Food and Preparation could drastically increase the overall ECI for the country. Similarly large decreases in Precious Stones could also increase ECI level. The Uk is most sensitive to decreases in export of High Complexity Products and Machinery and Construction.</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jc w:val="both"/>
        <w:rPr>
          <w:b w:val="1"/>
          <w:bCs w:val="1"/>
        </w:rPr>
      </w:pPr>
      <w:r w:rsidDel="00000000" w:rsidR="00000000" w:rsidRPr="00000000">
        <w:rPr>
          <w:b w:val="1"/>
          <w:bCs w:val="1"/>
        </w:rPr>
        <w:drawing>
          <wp:inline distB="114300" distT="114300" distL="114300" distR="114300">
            <wp:extent cx="5731200" cy="2870200"/>
            <wp:effectExtent b="0" l="0" r="0" t="0"/>
            <wp:docPr id="29" name="image28.jpg"/>
            <a:graphic>
              <a:graphicData uri="http://schemas.openxmlformats.org/drawingml/2006/picture">
                <pic:pic>
                  <pic:nvPicPr>
                    <pic:cNvPr id="0" name="image28.jpg"/>
                    <pic:cNvPicPr preferRelativeResize="0"/>
                  </pic:nvPicPr>
                  <pic:blipFill>
                    <a:blip r:embed="rId2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ageBreakBefore w:val="0"/>
        <w:jc w:val="center"/>
        <w:rPr>
          <w:b w:val="1"/>
          <w:bCs w:val="1"/>
        </w:rPr>
      </w:pPr>
      <w:r w:rsidDel="00000000" w:rsidR="00000000" w:rsidRPr="00000000">
        <w:rPr>
          <w:rtl w:val="0"/>
        </w:rPr>
        <w:t xml:space="preserve">United Kingdom 2018 (Incremental ECI Sensitivity)</w:t>
      </w: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rtl w:val="0"/>
        </w:rPr>
      </w:r>
    </w:p>
    <w:p w:rsidR="00000000" w:rsidDel="00000000" w:rsidP="00000000" w:rsidRDefault="00000000" w:rsidRPr="00000000" w14:paraId="00000159">
      <w:pPr>
        <w:pageBreakBefore w:val="0"/>
        <w:jc w:val="both"/>
        <w:rPr>
          <w:b w:val="1"/>
          <w:bCs w:val="1"/>
        </w:rPr>
      </w:pPr>
      <w:r w:rsidDel="00000000" w:rsidR="00000000" w:rsidRPr="00000000">
        <w:rPr>
          <w:b w:val="1"/>
          <w:bCs w:val="1"/>
        </w:rPr>
        <w:drawing>
          <wp:inline distB="114300" distT="114300" distL="114300" distR="114300">
            <wp:extent cx="5731200" cy="2997200"/>
            <wp:effectExtent b="0" l="0" r="0" t="0"/>
            <wp:docPr id="1"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jc w:val="both"/>
        <w:rPr>
          <w:b w:val="1"/>
          <w:bCs w:val="1"/>
        </w:rPr>
      </w:pPr>
      <w:r w:rsidDel="00000000" w:rsidR="00000000" w:rsidRPr="00000000">
        <w:rPr>
          <w:rtl w:val="0"/>
        </w:rPr>
      </w:r>
    </w:p>
    <w:p w:rsidR="00000000" w:rsidDel="00000000" w:rsidP="00000000" w:rsidRDefault="00000000" w:rsidRPr="00000000" w14:paraId="0000015B">
      <w:pPr>
        <w:pageBreakBefore w:val="0"/>
        <w:jc w:val="center"/>
        <w:rPr/>
      </w:pPr>
      <w:r w:rsidDel="00000000" w:rsidR="00000000" w:rsidRPr="00000000">
        <w:rPr>
          <w:rtl w:val="0"/>
        </w:rPr>
        <w:t xml:space="preserve">United Kingdom 2018 (Decremental  ECI Sensitivity)</w:t>
      </w:r>
    </w:p>
    <w:p w:rsidR="00000000" w:rsidDel="00000000" w:rsidP="00000000" w:rsidRDefault="00000000" w:rsidRPr="00000000" w14:paraId="0000015C">
      <w:pPr>
        <w:pageBreakBefore w:val="0"/>
        <w:jc w:val="center"/>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t xml:space="preserve">Next we consider the 2013 ECI Sensitivity graphs. We see that in the positive shocking case, even a small increase in High Complexity Products could drastically improve the ECI index. Similarly to 2018, an increase in Transportation would also increase ECI level. Increases in export of most other industries lead to decreasing ECI scores.  </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In the 2013 negative shocking case, we see that again the UK could benefit from a decrease in Transportation and Precious Stones. In addition, large decreases in Energy, Drilling, and Mining could increase the ECI score. In 2013, the UK was incredibly sensitive to reductions in Machinery and Construction. </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drawing>
          <wp:inline distB="114300" distT="114300" distL="114300" distR="114300">
            <wp:extent cx="5731200" cy="2857500"/>
            <wp:effectExtent b="0" l="0" r="0" t="0"/>
            <wp:docPr id="26" name="image25.jpg"/>
            <a:graphic>
              <a:graphicData uri="http://schemas.openxmlformats.org/drawingml/2006/picture">
                <pic:pic>
                  <pic:nvPicPr>
                    <pic:cNvPr id="0" name="image25.jpg"/>
                    <pic:cNvPicPr preferRelativeResize="0"/>
                  </pic:nvPicPr>
                  <pic:blipFill>
                    <a:blip r:embed="rId2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jc w:val="center"/>
        <w:rPr/>
      </w:pPr>
      <w:r w:rsidDel="00000000" w:rsidR="00000000" w:rsidRPr="00000000">
        <w:rPr>
          <w:rtl w:val="0"/>
        </w:rPr>
        <w:t xml:space="preserve">United Kingdom 2013 (Incremental ECI Sensitivity)</w:t>
      </w:r>
    </w:p>
    <w:p w:rsidR="00000000" w:rsidDel="00000000" w:rsidP="00000000" w:rsidRDefault="00000000" w:rsidRPr="00000000" w14:paraId="00000165">
      <w:pPr>
        <w:pageBreakBefore w:val="0"/>
        <w:jc w:val="center"/>
        <w:rPr/>
      </w:pPr>
      <w:r w:rsidDel="00000000" w:rsidR="00000000" w:rsidRPr="00000000">
        <w:rPr>
          <w:rtl w:val="0"/>
        </w:rPr>
      </w:r>
    </w:p>
    <w:p w:rsidR="00000000" w:rsidDel="00000000" w:rsidP="00000000" w:rsidRDefault="00000000" w:rsidRPr="00000000" w14:paraId="00000166">
      <w:pPr>
        <w:pageBreakBefore w:val="0"/>
        <w:jc w:val="both"/>
        <w:rPr>
          <w:b w:val="1"/>
          <w:bCs w:val="1"/>
        </w:rPr>
      </w:pPr>
      <w:r w:rsidDel="00000000" w:rsidR="00000000" w:rsidRPr="00000000">
        <w:rPr>
          <w:b w:val="1"/>
          <w:bCs w:val="1"/>
        </w:rPr>
        <w:drawing>
          <wp:inline distB="114300" distT="114300" distL="114300" distR="114300">
            <wp:extent cx="5731200" cy="2997200"/>
            <wp:effectExtent b="0" l="0" r="0" t="0"/>
            <wp:docPr id="24" name="image19.jpg"/>
            <a:graphic>
              <a:graphicData uri="http://schemas.openxmlformats.org/drawingml/2006/picture">
                <pic:pic>
                  <pic:nvPicPr>
                    <pic:cNvPr id="0" name="image19.jpg"/>
                    <pic:cNvPicPr preferRelativeResize="0"/>
                  </pic:nvPicPr>
                  <pic:blipFill>
                    <a:blip r:embed="rId2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ageBreakBefore w:val="0"/>
        <w:jc w:val="center"/>
        <w:rPr/>
      </w:pPr>
      <w:r w:rsidDel="00000000" w:rsidR="00000000" w:rsidRPr="00000000">
        <w:rPr>
          <w:rtl w:val="0"/>
        </w:rPr>
        <w:t xml:space="preserve">United Kingdom 2013 (Decremental  ECI Sensitivity)</w:t>
      </w:r>
    </w:p>
    <w:p w:rsidR="00000000" w:rsidDel="00000000" w:rsidP="00000000" w:rsidRDefault="00000000" w:rsidRPr="00000000" w14:paraId="00000168">
      <w:pPr>
        <w:pageBreakBefore w:val="0"/>
        <w:jc w:val="both"/>
        <w:rPr>
          <w:b w:val="1"/>
          <w:bCs w:val="1"/>
        </w:rPr>
      </w:pPr>
      <w:r w:rsidDel="00000000" w:rsidR="00000000" w:rsidRPr="00000000">
        <w:rPr>
          <w:rtl w:val="0"/>
        </w:rPr>
      </w:r>
    </w:p>
    <w:p w:rsidR="00000000" w:rsidDel="00000000" w:rsidP="00000000" w:rsidRDefault="00000000" w:rsidRPr="00000000" w14:paraId="00000169">
      <w:pPr>
        <w:pageBreakBefore w:val="0"/>
        <w:jc w:val="both"/>
        <w:rPr>
          <w:b w:val="1"/>
          <w:bCs w:val="1"/>
        </w:rPr>
      </w:pPr>
      <w:r w:rsidDel="00000000" w:rsidR="00000000" w:rsidRPr="00000000">
        <w:rPr>
          <w:rtl w:val="0"/>
        </w:rPr>
      </w:r>
    </w:p>
    <w:p w:rsidR="00000000" w:rsidDel="00000000" w:rsidP="00000000" w:rsidRDefault="00000000" w:rsidRPr="00000000" w14:paraId="0000016A">
      <w:pPr>
        <w:pageBreakBefore w:val="0"/>
        <w:jc w:val="both"/>
        <w:rPr>
          <w:b w:val="1"/>
          <w:bCs w:val="1"/>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Below we see the SDV sensitivity charts for High Complexity Products and Food and Preparations. The UK’s SDV is quite sensitive to decrements to export level in High Complexity Products. Vegetables, Fruits, and Plants seems to be the leading industry if a drawdown in High Complexity Products is experienced. In fact it becomes the only positive opportunity gain industry after major drawdowns in High Complexity products. </w:t>
      </w:r>
    </w:p>
    <w:p w:rsidR="00000000" w:rsidDel="00000000" w:rsidP="00000000" w:rsidRDefault="00000000" w:rsidRPr="00000000" w14:paraId="0000016C">
      <w:pPr>
        <w:pageBreakBefore w:val="0"/>
        <w:rPr/>
      </w:pPr>
      <w:r w:rsidDel="00000000" w:rsidR="00000000" w:rsidRPr="00000000">
        <w:rPr>
          <w:rtl w:val="0"/>
        </w:rPr>
        <w:t xml:space="preserve">The UK’s SDV is fairly insensitive to changes in health of the Food and Preparations industry since this is not a major industry for the UK. We need to see very large increases in export to cause any change in the SDV. On the decremental side, we see that the SDV again is fairly stable with respect to decreases in export. Vegetables, Fruits, and Plants again seem to be the highest opportunity gain industries. </w:t>
      </w:r>
    </w:p>
    <w:p w:rsidR="00000000" w:rsidDel="00000000" w:rsidP="00000000" w:rsidRDefault="00000000" w:rsidRPr="00000000" w14:paraId="0000016D">
      <w:pPr>
        <w:pageBreakBefore w:val="0"/>
        <w:jc w:val="both"/>
        <w:rPr>
          <w:b w:val="1"/>
          <w:bCs w:val="1"/>
        </w:rPr>
      </w:pPr>
      <w:r w:rsidDel="00000000" w:rsidR="00000000" w:rsidRPr="00000000">
        <w:rPr>
          <w:rtl w:val="0"/>
        </w:rPr>
      </w:r>
    </w:p>
    <w:p w:rsidR="00000000" w:rsidDel="00000000" w:rsidP="00000000" w:rsidRDefault="00000000" w:rsidRPr="00000000" w14:paraId="0000016E">
      <w:pPr>
        <w:pageBreakBefore w:val="0"/>
        <w:jc w:val="center"/>
        <w:rPr>
          <w:b w:val="1"/>
          <w:bCs w:val="1"/>
        </w:rPr>
      </w:pPr>
      <w:r w:rsidDel="00000000" w:rsidR="00000000" w:rsidRPr="00000000">
        <w:rPr>
          <w:b w:val="1"/>
          <w:bCs w:val="1"/>
        </w:rPr>
        <w:drawing>
          <wp:inline distB="114300" distT="114300" distL="114300" distR="114300">
            <wp:extent cx="4759163" cy="2499560"/>
            <wp:effectExtent b="0" l="0" r="0" t="0"/>
            <wp:docPr id="22" name="image18.jpg"/>
            <a:graphic>
              <a:graphicData uri="http://schemas.openxmlformats.org/drawingml/2006/picture">
                <pic:pic>
                  <pic:nvPicPr>
                    <pic:cNvPr id="0" name="image18.jpg"/>
                    <pic:cNvPicPr preferRelativeResize="0"/>
                  </pic:nvPicPr>
                  <pic:blipFill>
                    <a:blip r:embed="rId30"/>
                    <a:srcRect b="0" l="0" r="0" t="0"/>
                    <a:stretch>
                      <a:fillRect/>
                    </a:stretch>
                  </pic:blipFill>
                  <pic:spPr>
                    <a:xfrm>
                      <a:off x="0" y="0"/>
                      <a:ext cx="4759163" cy="249956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ageBreakBefore w:val="0"/>
        <w:ind w:left="720" w:firstLine="720"/>
        <w:jc w:val="center"/>
        <w:rPr/>
      </w:pPr>
      <w:r w:rsidDel="00000000" w:rsidR="00000000" w:rsidRPr="00000000">
        <w:rPr>
          <w:rtl w:val="0"/>
        </w:rPr>
        <w:t xml:space="preserve">United Kingdom High-complexity Products 2018 (Incremental SDV Sensitivity)</w:t>
      </w:r>
    </w:p>
    <w:p w:rsidR="00000000" w:rsidDel="00000000" w:rsidP="00000000" w:rsidRDefault="00000000" w:rsidRPr="00000000" w14:paraId="00000170">
      <w:pPr>
        <w:pageBreakBefore w:val="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228600</wp:posOffset>
            </wp:positionV>
            <wp:extent cx="7148513" cy="1554469"/>
            <wp:effectExtent b="0" l="0" r="0" t="0"/>
            <wp:wrapSquare wrapText="bothSides" distB="114300" distT="114300" distL="114300" distR="114300"/>
            <wp:docPr id="14" name="image12.jpg"/>
            <a:graphic>
              <a:graphicData uri="http://schemas.openxmlformats.org/drawingml/2006/picture">
                <pic:pic>
                  <pic:nvPicPr>
                    <pic:cNvPr id="0" name="image12.jpg"/>
                    <pic:cNvPicPr preferRelativeResize="0"/>
                  </pic:nvPicPr>
                  <pic:blipFill>
                    <a:blip r:embed="rId31"/>
                    <a:srcRect b="0" l="0" r="0" t="0"/>
                    <a:stretch>
                      <a:fillRect/>
                    </a:stretch>
                  </pic:blipFill>
                  <pic:spPr>
                    <a:xfrm>
                      <a:off x="0" y="0"/>
                      <a:ext cx="7148513" cy="1554469"/>
                    </a:xfrm>
                    <a:prstGeom prst="rect"/>
                    <a:ln/>
                  </pic:spPr>
                </pic:pic>
              </a:graphicData>
            </a:graphic>
          </wp:anchor>
        </w:drawing>
      </w:r>
    </w:p>
    <w:p w:rsidR="00000000" w:rsidDel="00000000" w:rsidP="00000000" w:rsidRDefault="00000000" w:rsidRPr="00000000" w14:paraId="00000171">
      <w:pPr>
        <w:pageBreakBefore w:val="0"/>
        <w:ind w:left="720" w:firstLine="720"/>
        <w:jc w:val="center"/>
        <w:rPr/>
      </w:pPr>
      <w:r w:rsidDel="00000000" w:rsidR="00000000" w:rsidRPr="00000000">
        <w:rPr>
          <w:rtl w:val="0"/>
        </w:rPr>
        <w:t xml:space="preserve">United Kingdom</w:t>
      </w:r>
      <w:r w:rsidDel="00000000" w:rsidR="00000000" w:rsidRPr="00000000">
        <w:rPr>
          <w:rtl w:val="0"/>
        </w:rPr>
        <w:t xml:space="preserve"> High-complexity Products 2018 (Decremental SDV Sensitivity)</w:t>
      </w:r>
    </w:p>
    <w:p w:rsidR="00000000" w:rsidDel="00000000" w:rsidP="00000000" w:rsidRDefault="00000000" w:rsidRPr="00000000" w14:paraId="00000172">
      <w:pPr>
        <w:pageBreakBefore w:val="0"/>
        <w:ind w:left="720" w:firstLine="720"/>
        <w:jc w:val="center"/>
        <w:rPr/>
      </w:pPr>
      <w:r w:rsidDel="00000000" w:rsidR="00000000" w:rsidRPr="00000000">
        <w:rPr>
          <w:rtl w:val="0"/>
        </w:rPr>
      </w:r>
    </w:p>
    <w:p w:rsidR="00000000" w:rsidDel="00000000" w:rsidP="00000000" w:rsidRDefault="00000000" w:rsidRPr="00000000" w14:paraId="00000173">
      <w:pPr>
        <w:pageBreakBefore w:val="0"/>
        <w:ind w:left="720" w:firstLine="720"/>
        <w:jc w:val="center"/>
        <w:rPr/>
      </w:pPr>
      <w:r w:rsidDel="00000000" w:rsidR="00000000" w:rsidRPr="00000000">
        <w:rPr/>
        <w:drawing>
          <wp:inline distB="114300" distT="114300" distL="114300" distR="114300">
            <wp:extent cx="2692238" cy="2726753"/>
            <wp:effectExtent b="0" l="0" r="0" t="0"/>
            <wp:docPr id="30" name="image26.jpg"/>
            <a:graphic>
              <a:graphicData uri="http://schemas.openxmlformats.org/drawingml/2006/picture">
                <pic:pic>
                  <pic:nvPicPr>
                    <pic:cNvPr id="0" name="image26.jpg"/>
                    <pic:cNvPicPr preferRelativeResize="0"/>
                  </pic:nvPicPr>
                  <pic:blipFill>
                    <a:blip r:embed="rId32"/>
                    <a:srcRect b="0" l="0" r="0" t="0"/>
                    <a:stretch>
                      <a:fillRect/>
                    </a:stretch>
                  </pic:blipFill>
                  <pic:spPr>
                    <a:xfrm>
                      <a:off x="0" y="0"/>
                      <a:ext cx="2692238" cy="272675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jc w:val="both"/>
        <w:rPr>
          <w:b w:val="1"/>
          <w:bCs w:val="1"/>
        </w:rPr>
      </w:pPr>
      <w:r w:rsidDel="00000000" w:rsidR="00000000" w:rsidRPr="00000000">
        <w:rPr>
          <w:rtl w:val="0"/>
        </w:rPr>
      </w:r>
    </w:p>
    <w:p w:rsidR="00000000" w:rsidDel="00000000" w:rsidP="00000000" w:rsidRDefault="00000000" w:rsidRPr="00000000" w14:paraId="00000175">
      <w:pPr>
        <w:pageBreakBefore w:val="0"/>
        <w:ind w:left="720" w:firstLine="720"/>
        <w:jc w:val="center"/>
        <w:rPr/>
      </w:pPr>
      <w:r w:rsidDel="00000000" w:rsidR="00000000" w:rsidRPr="00000000">
        <w:rPr>
          <w:rtl w:val="0"/>
        </w:rPr>
        <w:t xml:space="preserve">United Kingdom Food &amp; Preparations 2018 (Incremental SDV Sensitivity)</w:t>
      </w:r>
    </w:p>
    <w:p w:rsidR="00000000" w:rsidDel="00000000" w:rsidP="00000000" w:rsidRDefault="00000000" w:rsidRPr="00000000" w14:paraId="00000176">
      <w:pPr>
        <w:pageBreakBefore w:val="0"/>
        <w:ind w:left="720" w:firstLine="720"/>
        <w:jc w:val="center"/>
        <w:rPr/>
      </w:pPr>
      <w:r w:rsidDel="00000000" w:rsidR="00000000" w:rsidRPr="00000000">
        <w:rPr>
          <w:rtl w:val="0"/>
        </w:rPr>
      </w:r>
    </w:p>
    <w:p w:rsidR="00000000" w:rsidDel="00000000" w:rsidP="00000000" w:rsidRDefault="00000000" w:rsidRPr="00000000" w14:paraId="00000177">
      <w:pPr>
        <w:pageBreakBefore w:val="0"/>
        <w:ind w:left="720" w:firstLine="720"/>
        <w:jc w:val="center"/>
        <w:rPr/>
      </w:pPr>
      <w:r w:rsidDel="00000000" w:rsidR="00000000" w:rsidRPr="00000000">
        <w:rPr/>
        <w:drawing>
          <wp:inline distB="114300" distT="114300" distL="114300" distR="114300">
            <wp:extent cx="3816927" cy="2624138"/>
            <wp:effectExtent b="0" l="0" r="0" t="0"/>
            <wp:docPr id="27" name="image21.jpg"/>
            <a:graphic>
              <a:graphicData uri="http://schemas.openxmlformats.org/drawingml/2006/picture">
                <pic:pic>
                  <pic:nvPicPr>
                    <pic:cNvPr id="0" name="image21.jpg"/>
                    <pic:cNvPicPr preferRelativeResize="0"/>
                  </pic:nvPicPr>
                  <pic:blipFill>
                    <a:blip r:embed="rId33"/>
                    <a:srcRect b="0" l="0" r="0" t="0"/>
                    <a:stretch>
                      <a:fillRect/>
                    </a:stretch>
                  </pic:blipFill>
                  <pic:spPr>
                    <a:xfrm>
                      <a:off x="0" y="0"/>
                      <a:ext cx="3816927"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ageBreakBefore w:val="0"/>
        <w:ind w:left="720" w:firstLine="720"/>
        <w:jc w:val="center"/>
        <w:rPr/>
      </w:pPr>
      <w:r w:rsidDel="00000000" w:rsidR="00000000" w:rsidRPr="00000000">
        <w:rPr>
          <w:rtl w:val="0"/>
        </w:rPr>
      </w:r>
    </w:p>
    <w:p w:rsidR="00000000" w:rsidDel="00000000" w:rsidP="00000000" w:rsidRDefault="00000000" w:rsidRPr="00000000" w14:paraId="00000179">
      <w:pPr>
        <w:pageBreakBefore w:val="0"/>
        <w:ind w:left="720" w:firstLine="720"/>
        <w:jc w:val="center"/>
        <w:rPr/>
      </w:pPr>
      <w:r w:rsidDel="00000000" w:rsidR="00000000" w:rsidRPr="00000000">
        <w:rPr>
          <w:rtl w:val="0"/>
        </w:rPr>
        <w:t xml:space="preserve">United Kingdom Food &amp; Preparations 2018 (Decremental SDV Sensitivity)</w:t>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C">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E">
      <w:pPr>
        <w:pageBreakBefore w:val="0"/>
        <w:jc w:val="both"/>
        <w:rPr>
          <w:b w:val="1"/>
          <w:bCs w:val="1"/>
          <w:sz w:val="28"/>
          <w:szCs w:val="28"/>
        </w:rPr>
      </w:pPr>
      <w:r w:rsidDel="00000000" w:rsidR="00000000" w:rsidRPr="00000000">
        <w:rPr>
          <w:rtl w:val="0"/>
        </w:rPr>
        <w:t xml:space="preserve">Decreasing export of each industry in UK’s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0">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498755" cy="2852738"/>
            <wp:effectExtent b="0" l="0" r="0" t="0"/>
            <wp:docPr id="19" name="image16.jpg"/>
            <a:graphic>
              <a:graphicData uri="http://schemas.openxmlformats.org/drawingml/2006/picture">
                <pic:pic>
                  <pic:nvPicPr>
                    <pic:cNvPr id="0" name="image16.jpg"/>
                    <pic:cNvPicPr preferRelativeResize="0"/>
                  </pic:nvPicPr>
                  <pic:blipFill>
                    <a:blip r:embed="rId34"/>
                    <a:srcRect b="0" l="0" r="0" t="0"/>
                    <a:stretch>
                      <a:fillRect/>
                    </a:stretch>
                  </pic:blipFill>
                  <pic:spPr>
                    <a:xfrm>
                      <a:off x="0" y="0"/>
                      <a:ext cx="5498755"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82">
      <w:pPr>
        <w:pageBreakBefore w:val="0"/>
        <w:jc w:val="center"/>
        <w:rPr>
          <w:sz w:val="22"/>
          <w:szCs w:val="22"/>
        </w:rPr>
      </w:pPr>
      <w:r w:rsidDel="00000000" w:rsidR="00000000" w:rsidRPr="00000000">
        <w:rPr>
          <w:sz w:val="22"/>
          <w:szCs w:val="22"/>
          <w:rtl w:val="0"/>
        </w:rPr>
        <w:t xml:space="preserve">United Kingdom Contingency Strategy 2018</w:t>
      </w:r>
    </w:p>
    <w:p w:rsidR="00000000" w:rsidDel="00000000" w:rsidP="00000000" w:rsidRDefault="00000000" w:rsidRPr="00000000" w14:paraId="00000183">
      <w:pPr>
        <w:pageBreakBefore w:val="0"/>
        <w:jc w:val="center"/>
        <w:rPr>
          <w:sz w:val="22"/>
          <w:szCs w:val="22"/>
        </w:rPr>
      </w:pPr>
      <w:r w:rsidDel="00000000" w:rsidR="00000000" w:rsidRPr="00000000">
        <w:rPr>
          <w:rtl w:val="0"/>
        </w:rPr>
      </w:r>
    </w:p>
    <w:p w:rsidR="00000000" w:rsidDel="00000000" w:rsidP="00000000" w:rsidRDefault="00000000" w:rsidRPr="00000000" w14:paraId="00000184">
      <w:pPr>
        <w:pageBreakBefore w:val="0"/>
        <w:jc w:val="both"/>
        <w:rPr>
          <w:b w:val="1"/>
          <w:bCs w:val="1"/>
        </w:rPr>
      </w:pPr>
      <w:r w:rsidDel="00000000" w:rsidR="00000000" w:rsidRPr="00000000">
        <w:rPr>
          <w:rtl w:val="0"/>
        </w:rPr>
      </w:r>
    </w:p>
    <w:p w:rsidR="00000000" w:rsidDel="00000000" w:rsidP="00000000" w:rsidRDefault="00000000" w:rsidRPr="00000000" w14:paraId="00000185">
      <w:pPr>
        <w:pageBreakBefore w:val="0"/>
        <w:jc w:val="both"/>
        <w:rPr>
          <w:b w:val="1"/>
          <w:bCs w:val="1"/>
        </w:rPr>
      </w:pPr>
      <w:r w:rsidDel="00000000" w:rsidR="00000000" w:rsidRPr="00000000">
        <w:rPr>
          <w:rtl w:val="0"/>
        </w:rPr>
      </w:r>
    </w:p>
    <w:p w:rsidR="00000000" w:rsidDel="00000000" w:rsidP="00000000" w:rsidRDefault="00000000" w:rsidRPr="00000000" w14:paraId="0000018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7">
      <w:pPr>
        <w:pageBreakBefore w:val="0"/>
        <w:jc w:val="both"/>
        <w:rPr>
          <w:b w:val="1"/>
          <w:bCs w:val="1"/>
        </w:rPr>
      </w:pPr>
      <w:r w:rsidDel="00000000" w:rsidR="00000000" w:rsidRPr="00000000">
        <w:rPr>
          <w:rtl w:val="0"/>
        </w:rPr>
      </w:r>
    </w:p>
    <w:p w:rsidR="00000000" w:rsidDel="00000000" w:rsidP="00000000" w:rsidRDefault="00000000" w:rsidRPr="00000000" w14:paraId="00000188">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9">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A">
      <w:pPr>
        <w:pageBreakBefore w:val="0"/>
        <w:jc w:val="both"/>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C">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5">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5"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6">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7">
      <w:pPr>
        <w:pageBreakBefore w:val="0"/>
        <w:jc w:val="both"/>
        <w:rPr/>
      </w:pPr>
      <w:r w:rsidDel="00000000" w:rsidR="00000000" w:rsidRPr="00000000">
        <w:rPr>
          <w:rtl w:val="0"/>
        </w:rPr>
      </w:r>
    </w:p>
    <w:p w:rsidR="00000000" w:rsidDel="00000000" w:rsidP="00000000" w:rsidRDefault="00000000" w:rsidRPr="00000000" w14:paraId="00000198">
      <w:pPr>
        <w:pageBreakBefore w:val="0"/>
        <w:jc w:val="both"/>
        <w:rPr>
          <w:b w:val="1"/>
          <w:bCs w:val="1"/>
        </w:rPr>
      </w:pPr>
      <w:r w:rsidDel="00000000" w:rsidR="00000000" w:rsidRPr="00000000">
        <w:rPr>
          <w:b w:val="1"/>
          <w:bCs w:val="1"/>
          <w:rtl w:val="0"/>
        </w:rPr>
        <w:t xml:space="preserve">5.2 SOI of United Kingdom and Its Implications</w:t>
      </w:r>
    </w:p>
    <w:p w:rsidR="00000000" w:rsidDel="00000000" w:rsidP="00000000" w:rsidRDefault="00000000" w:rsidRPr="00000000" w14:paraId="00000199">
      <w:pPr>
        <w:pageBreakBefore w:val="0"/>
        <w:jc w:val="both"/>
        <w:rPr/>
      </w:pPr>
      <w:r w:rsidDel="00000000" w:rsidR="00000000" w:rsidRPr="00000000">
        <w:rPr>
          <w:rtl w:val="0"/>
        </w:rPr>
        <w:t xml:space="preserve">The United Kingdom, for instance, has a low level of structural optimality as compared with its developed peers. As the regression in Figure 7 suggests (the orange curve represents export increase and the blue curve stands for opportunity gain of the corresponding industry), U.K. demonstrates a low level of correlation with the suggested developmental path, having an adjusted R-square of around -5.12%. The U.K. ranks in the 4th quartile among all countries in terms of SOI and has made an average rate of economic progress lower than its  developed peers from 2013 to 2018 with a 5-year GDP growth rate of 19.5%, which is consistent with the regression result in Figure 6. This is in direct contrast to emerging economies such as Turkey, where there is high SOI of around 21.8% and a corresponding GDP growth of 36.7% from 2013 to 2018, making it one of the fastest developing economies during the period. In sum, the U.K.’s slow economic progress from 2013 to 2018 can be at least partially explained by a development strategy that demonstrates a low level of similarity with our suggested developmental path. In specific, the U.K. invested heavily in the Chemicals and Machinery industry, while it should have focused more on industry groups such as Energy &amp; Drilling, and Precious Stones. </w:t>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drawing>
          <wp:inline distB="114300" distT="114300" distL="114300" distR="114300">
            <wp:extent cx="6100033" cy="2295525"/>
            <wp:effectExtent b="0" l="0" r="0" t="0"/>
            <wp:docPr id="12"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6100033"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ageBreakBefore w:val="0"/>
        <w:jc w:val="center"/>
        <w:rPr>
          <w:b w:val="1"/>
          <w:bCs w:val="1"/>
        </w:rPr>
      </w:pPr>
      <w:r w:rsidDel="00000000" w:rsidR="00000000" w:rsidRPr="00000000">
        <w:rPr>
          <w:rtl w:val="0"/>
        </w:rPr>
        <w:t xml:space="preserve">Figure 7: SOI of U.K. (2013-2018)</w:t>
      </w:r>
      <w:r w:rsidDel="00000000" w:rsidR="00000000" w:rsidRPr="00000000">
        <w:rPr>
          <w:rtl w:val="0"/>
        </w:rPr>
      </w:r>
    </w:p>
    <w:p w:rsidR="00000000" w:rsidDel="00000000" w:rsidP="00000000" w:rsidRDefault="00000000" w:rsidRPr="00000000" w14:paraId="0000019D">
      <w:pPr>
        <w:pageBreakBefore w:val="0"/>
        <w:jc w:val="both"/>
        <w:rPr>
          <w:b w:val="1"/>
          <w:bCs w:val="1"/>
        </w:rPr>
      </w:pPr>
      <w:r w:rsidDel="00000000" w:rsidR="00000000" w:rsidRPr="00000000">
        <w:rPr>
          <w:rtl w:val="0"/>
        </w:rPr>
      </w:r>
    </w:p>
    <w:p w:rsidR="00000000" w:rsidDel="00000000" w:rsidP="00000000" w:rsidRDefault="00000000" w:rsidRPr="00000000" w14:paraId="0000019E">
      <w:pPr>
        <w:pageBreakBefore w:val="0"/>
        <w:jc w:val="both"/>
        <w:rPr>
          <w:b w:val="1"/>
          <w:bCs w:val="1"/>
        </w:rPr>
      </w:pPr>
      <w:r w:rsidDel="00000000" w:rsidR="00000000" w:rsidRPr="00000000">
        <w:rPr>
          <w:rtl w:val="0"/>
        </w:rPr>
      </w:r>
    </w:p>
    <w:p w:rsidR="00000000" w:rsidDel="00000000" w:rsidP="00000000" w:rsidRDefault="00000000" w:rsidRPr="00000000" w14:paraId="0000019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t xml:space="preserve">In conclusion, the UK has demonstrated a low level of economic growth in terms of annual GDP increase during the period from 2013 to 2018, concurrent with an increase in economic complexity as compared with other major developed economies. </w:t>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t xml:space="preserve">The mixed progress during the period, we believe, can be partially explained through analysis of the economic and product complexity structure of the UK on the industry group level. The product classification system we adopt allows us to measure the realized industry development for various industry groups and to observe that the UK co</w:t>
      </w:r>
      <w:r w:rsidDel="00000000" w:rsidR="00000000" w:rsidRPr="00000000">
        <w:rPr>
          <w:rtl w:val="0"/>
        </w:rPr>
        <w:t xml:space="preserve">nsistently relied on developing the Chemicals, Machinery and Construction, and Daily Instruments industries during the period, while some of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t xml:space="preserve">Based on our analysis of the opportunity gain and a sensitivity analysis of major industry groups, the UK can further its gains by prioritizing High-Complexity Products and Transportation. We further note that the UK has a heavily mismatched development strategy that indicates a low level of structural optimality (compared to other developed countries) on the complexity level, having an adjusted R-square of around -5.12%. Since a significant positive correlation exists between five-year GDP growth and the structural optimality index of an economy as we define and calculate, the UK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7">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9">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B">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1">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3">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5">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7">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8">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5.png"/><Relationship Id="rId22" Type="http://schemas.openxmlformats.org/officeDocument/2006/relationships/image" Target="media/image13.png"/><Relationship Id="rId21" Type="http://schemas.openxmlformats.org/officeDocument/2006/relationships/image" Target="media/image22.png"/><Relationship Id="rId24" Type="http://schemas.openxmlformats.org/officeDocument/2006/relationships/image" Target="media/image17.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8.jpg"/><Relationship Id="rId25" Type="http://schemas.openxmlformats.org/officeDocument/2006/relationships/image" Target="media/image5.jpg"/><Relationship Id="rId28" Type="http://schemas.openxmlformats.org/officeDocument/2006/relationships/image" Target="media/image25.jp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19.jpg"/><Relationship Id="rId7" Type="http://schemas.openxmlformats.org/officeDocument/2006/relationships/image" Target="media/image23.png"/><Relationship Id="rId8" Type="http://schemas.openxmlformats.org/officeDocument/2006/relationships/image" Target="media/image8.png"/><Relationship Id="rId31" Type="http://schemas.openxmlformats.org/officeDocument/2006/relationships/image" Target="media/image12.jpg"/><Relationship Id="rId30" Type="http://schemas.openxmlformats.org/officeDocument/2006/relationships/image" Target="media/image18.jpg"/><Relationship Id="rId11" Type="http://schemas.openxmlformats.org/officeDocument/2006/relationships/image" Target="media/image20.jpg"/><Relationship Id="rId33" Type="http://schemas.openxmlformats.org/officeDocument/2006/relationships/image" Target="media/image21.jpg"/><Relationship Id="rId10" Type="http://schemas.openxmlformats.org/officeDocument/2006/relationships/image" Target="media/image14.png"/><Relationship Id="rId32" Type="http://schemas.openxmlformats.org/officeDocument/2006/relationships/image" Target="media/image26.jpg"/><Relationship Id="rId13" Type="http://schemas.openxmlformats.org/officeDocument/2006/relationships/image" Target="media/image27.png"/><Relationship Id="rId35" Type="http://schemas.openxmlformats.org/officeDocument/2006/relationships/image" Target="media/image29.png"/><Relationship Id="rId12" Type="http://schemas.openxmlformats.org/officeDocument/2006/relationships/image" Target="media/image11.png"/><Relationship Id="rId34" Type="http://schemas.openxmlformats.org/officeDocument/2006/relationships/image" Target="media/image16.jpg"/><Relationship Id="rId15" Type="http://schemas.openxmlformats.org/officeDocument/2006/relationships/image" Target="media/image6.png"/><Relationship Id="rId37" Type="http://schemas.openxmlformats.org/officeDocument/2006/relationships/header" Target="header1.xml"/><Relationship Id="rId14" Type="http://schemas.openxmlformats.org/officeDocument/2006/relationships/image" Target="media/image4.jpg"/><Relationship Id="rId36" Type="http://schemas.openxmlformats.org/officeDocument/2006/relationships/image" Target="media/image31.png"/><Relationship Id="rId17" Type="http://schemas.openxmlformats.org/officeDocument/2006/relationships/image" Target="media/image24.png"/><Relationship Id="rId39" Type="http://schemas.openxmlformats.org/officeDocument/2006/relationships/footer" Target="footer3.xml"/><Relationship Id="rId16" Type="http://schemas.openxmlformats.org/officeDocument/2006/relationships/image" Target="media/image2.png"/><Relationship Id="rId38" Type="http://schemas.openxmlformats.org/officeDocument/2006/relationships/footer" Target="footer2.xml"/><Relationship Id="rId19" Type="http://schemas.openxmlformats.org/officeDocument/2006/relationships/image" Target="media/image30.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