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0" name="image6.png"/>
            <a:graphic>
              <a:graphicData uri="http://schemas.openxmlformats.org/drawingml/2006/picture">
                <pic:pic>
                  <pic:nvPicPr>
                    <pic:cNvPr descr="horizontal line" id="0" name="image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2" name="image22.png"/>
            <a:graphic>
              <a:graphicData uri="http://schemas.openxmlformats.org/drawingml/2006/picture">
                <pic:pic>
                  <pic:nvPicPr>
                    <pic:cNvPr id="0" name="image2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Finland</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Finland</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Finland went through during the period from 2013 to 2018. Specifically, we dive into the topic through a macroeconomic overview of Finland from the perspective of Gross Domestic Product (GDP) and Economic Complexity Index (ECI), which reflect countries’ production capability and production structure, respectively. We find that during the period of our interest, Finland demonstrated a moderate level of economic growth with an average annual GDP growth rate of 2.84%, concurrent with a decrease in economic complexity as compared with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can be partially explained through analysis of the economic and product complexity structure of Finland on the industry group level. The product classification system we adopt allows us to measure the realized development for various industry groups and to observe that </w:t>
      </w:r>
      <w:r w:rsidDel="00000000" w:rsidR="00000000" w:rsidRPr="00000000">
        <w:rPr>
          <w:rtl w:val="0"/>
        </w:rPr>
        <w:t xml:space="preserve">Finland consistently relied on developing the Vegetables, Fruits, and Plants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Finland can further its gains by prioritizing High Complexity Products and Transportation. We further note that Finland has a strongly mismatched development strategy that indicates a low (compared to other developed countries) level of structural optimality on the complexity level, having an adjusted R-square of around 0.64%. A significant positive correlation exists between five-year GDP growth and the structural optimality index of an economy as we define and calculate, but Finland has a suboptimal growth experience as compared with fast-growing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Finland went through during the period from 2013 to 2018. Specifically, we dive into the topic through a macroeconomic overview of Finland from the perspective of Gross Domestic Product (GDP) and Economic Complexity Index (ECI), which reflect countries’ production capability and production structure, respectively. We then analyze the industrial framework of Finland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Finland,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Finland and three of its peer countries (Sweden, Norway, Denmark) from 2013-2018. In contrast to the other countries, which generally displayed either constant or upwards growth over all years, Finland had a noticeable dip in GDP from 2014-2015. Additionally, Finland’s average annual growth rate of 2.84% over the five-year period is average relative to its peers, which are </w:t>
      </w:r>
      <w:r w:rsidDel="00000000" w:rsidR="00000000" w:rsidRPr="00000000">
        <w:rPr>
          <w:rtl w:val="0"/>
        </w:rPr>
        <w:t xml:space="preserve">3.44%, 0.54%, and 3.57% </w:t>
      </w:r>
      <w:r w:rsidDel="00000000" w:rsidR="00000000" w:rsidRPr="00000000">
        <w:rPr>
          <w:rtl w:val="0"/>
        </w:rPr>
        <w:t xml:space="preserve">for Sweden, Norway, and Denmark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4462463" cy="3051335"/>
            <wp:effectExtent b="0" l="0" r="0" t="0"/>
            <wp:docPr id="17"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a:off x="0" y="0"/>
                      <a:ext cx="4462463" cy="30513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Finland. As illustrated in Figure 2 below, Finland (-</w:t>
      </w:r>
      <w:r w:rsidDel="00000000" w:rsidR="00000000" w:rsidRPr="00000000">
        <w:rPr>
          <w:rtl w:val="0"/>
        </w:rPr>
        <w:t xml:space="preserve">30.73%</w:t>
      </w:r>
      <w:r w:rsidDel="00000000" w:rsidR="00000000" w:rsidRPr="00000000">
        <w:rPr>
          <w:rtl w:val="0"/>
        </w:rPr>
        <w:t xml:space="preserve"> ECI change) exhibited a decrease in terms of its production capability from 2013 to 2018, which is somewhat similar to Sweden</w:t>
      </w:r>
      <w:r w:rsidDel="00000000" w:rsidR="00000000" w:rsidRPr="00000000">
        <w:rPr>
          <w:rtl w:val="0"/>
        </w:rPr>
        <w:t xml:space="preserve"> (-23.78%), and Denmark (-40.2%) but different from Norway (-275.6%).</w:t>
      </w:r>
      <w:r w:rsidDel="00000000" w:rsidR="00000000" w:rsidRPr="00000000">
        <w:rPr>
          <w:rtl w:val="0"/>
        </w:rPr>
        <w:t xml:space="preserve"> Ultimately, Finland performs moderately amongst its peer country set, as it displays a median GDP growth rate and ECI change across the period.</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4431755" cy="2961983"/>
            <wp:effectExtent b="0" l="0" r="0" t="0"/>
            <wp:docPr id="8" name="image14.jpg"/>
            <a:graphic>
              <a:graphicData uri="http://schemas.openxmlformats.org/drawingml/2006/picture">
                <pic:pic>
                  <pic:nvPicPr>
                    <pic:cNvPr id="0" name="image14.jpg"/>
                    <pic:cNvPicPr preferRelativeResize="0"/>
                  </pic:nvPicPr>
                  <pic:blipFill>
                    <a:blip r:embed="rId9"/>
                    <a:srcRect b="0" l="1666" r="1666" t="0"/>
                    <a:stretch>
                      <a:fillRect/>
                    </a:stretch>
                  </pic:blipFill>
                  <pic:spPr>
                    <a:xfrm>
                      <a:off x="0" y="0"/>
                      <a:ext cx="4431755" cy="29619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828675</wp:posOffset>
            </wp:positionH>
            <wp:positionV relativeFrom="paragraph">
              <wp:posOffset>28575</wp:posOffset>
            </wp:positionV>
            <wp:extent cx="4227675" cy="2656176"/>
            <wp:effectExtent b="0" l="0" r="0" t="0"/>
            <wp:wrapTopAndBottom distB="0" distT="0"/>
            <wp:docPr id="1" name="image13.jpg"/>
            <a:graphic>
              <a:graphicData uri="http://schemas.openxmlformats.org/drawingml/2006/picture">
                <pic:pic>
                  <pic:nvPicPr>
                    <pic:cNvPr id="0" name="image13.jpg"/>
                    <pic:cNvPicPr preferRelativeResize="0"/>
                  </pic:nvPicPr>
                  <pic:blipFill>
                    <a:blip r:embed="rId10"/>
                    <a:srcRect b="0" l="1521" r="0" t="0"/>
                    <a:stretch>
                      <a:fillRect/>
                    </a:stretch>
                  </pic:blipFill>
                  <pic:spPr>
                    <a:xfrm>
                      <a:off x="0" y="0"/>
                      <a:ext cx="4227675" cy="2656176"/>
                    </a:xfrm>
                    <a:prstGeom prst="rect"/>
                    <a:ln/>
                  </pic:spPr>
                </pic:pic>
              </a:graphicData>
            </a:graphic>
          </wp:anchor>
        </w:drawing>
      </w:r>
    </w:p>
    <w:p w:rsidR="00000000" w:rsidDel="00000000" w:rsidP="00000000" w:rsidRDefault="00000000" w:rsidRPr="00000000" w14:paraId="00000026">
      <w:pPr>
        <w:pageBreakBefore w:val="0"/>
        <w:jc w:val="center"/>
        <w:rPr/>
      </w:pPr>
      <w:r w:rsidDel="00000000" w:rsidR="00000000" w:rsidRPr="00000000">
        <w:rPr>
          <w:rtl w:val="0"/>
        </w:rPr>
        <w:t xml:space="preserve"> Figure 3: GDP Growth and ECI (Finland)</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Growth and ECI over the time span from 2013 to 2018 for Finland. The increase in GDP during the period from 2013 to 2018 is accompanied by a sharp decline in ECI. The results show that the economic growth experienced by Finland during the period from 2013 to 2018 is not very consistent with the predictions by ECI and Finland did not effectively make strides to develop a competitive product space that helps to accumulate complicated knowledge and technology. In order to provide a more concrete answer to why this has happened, we will dive into an analysis of Finland’s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r>
    </w:tbl>
    <w:p w:rsidR="00000000" w:rsidDel="00000000" w:rsidP="00000000" w:rsidRDefault="00000000" w:rsidRPr="00000000" w14:paraId="00000081">
      <w:pPr>
        <w:pageBreakBefore w:val="0"/>
        <w:jc w:val="center"/>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3">
      <w:pPr>
        <w:pageBreakBefore w:val="0"/>
        <w:jc w:val="center"/>
        <w:rPr>
          <w:sz w:val="20"/>
          <w:szCs w:val="20"/>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product categorization aforementioned, we aim to capture Finland’s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3107838" cy="6765438"/>
            <wp:effectExtent b="0" l="0" r="0" t="0"/>
            <wp:docPr id="24"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3107838" cy="67654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Finland</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 3 and 4 below summarize how the production strategy adopted by Finland compares with leading economies and a selected group of emerging economies in the world, as measured in RID. </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US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Finland’s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B">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drawing>
          <wp:inline distB="114300" distT="114300" distL="114300" distR="114300">
            <wp:extent cx="5731200" cy="2311400"/>
            <wp:effectExtent b="0" l="0" r="0" t="0"/>
            <wp:docPr id="22"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rtl w:val="0"/>
        </w:rPr>
        <w:t xml:space="preserve">   </w:t>
      </w:r>
    </w:p>
    <w:p w:rsidR="00000000" w:rsidDel="00000000" w:rsidP="00000000" w:rsidRDefault="00000000" w:rsidRPr="00000000" w14:paraId="000000CF">
      <w:pPr>
        <w:pageBreakBefore w:val="0"/>
        <w:jc w:val="center"/>
        <w:rPr/>
      </w:pPr>
      <w:r w:rsidDel="00000000" w:rsidR="00000000" w:rsidRPr="00000000">
        <w:rPr/>
        <w:drawing>
          <wp:inline distB="114300" distT="114300" distL="114300" distR="114300">
            <wp:extent cx="5731200" cy="2273300"/>
            <wp:effectExtent b="0" l="0" r="0" t="0"/>
            <wp:docPr id="19"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Finland shares the characters of developing countries, with a balanced economics structure that leans towards intermediate-level industries.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1200" cy="2387600"/>
            <wp:effectExtent b="0" l="0" r="0" t="0"/>
            <wp:docPr id="2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drawing>
          <wp:inline distB="114300" distT="114300" distL="114300" distR="114300">
            <wp:extent cx="2528888" cy="1141284"/>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DF">
      <w:pPr>
        <w:pageBreakBefore w:val="0"/>
        <w:jc w:val="both"/>
        <w:rPr/>
      </w:pPr>
      <w:r w:rsidDel="00000000" w:rsidR="00000000" w:rsidRPr="00000000">
        <w:rPr>
          <w:rtl w:val="0"/>
        </w:rPr>
        <w:t xml:space="preserve"> </w:t>
      </w:r>
    </w:p>
    <w:p w:rsidR="00000000" w:rsidDel="00000000" w:rsidP="00000000" w:rsidRDefault="00000000" w:rsidRPr="00000000" w14:paraId="000000E0">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138363" cy="71863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8">
      <w:pPr>
        <w:pageBreakBefore w:val="0"/>
        <w:rPr/>
      </w:pPr>
      <w:r w:rsidDel="00000000" w:rsidR="00000000" w:rsidRPr="00000000">
        <w:rPr>
          <w:rtl w:val="0"/>
        </w:rPr>
        <w:t xml:space="preserve"> </w:t>
      </w:r>
    </w:p>
    <w:p w:rsidR="00000000" w:rsidDel="00000000" w:rsidP="00000000" w:rsidRDefault="00000000" w:rsidRPr="00000000" w14:paraId="000000E9">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ED">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E">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5">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6">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Below is the economic panel for Finland in 2013. We can see that for different percentages of heuristic total export growth, the ECIs of Finland have different amounts of increments. A 5% export growth results in an ECI improvement pattern of around 1.159 </w:t>
      </w:r>
      <w:r w:rsidDel="00000000" w:rsidR="00000000" w:rsidRPr="00000000">
        <w:rPr>
          <w:rtl w:val="0"/>
        </w:rPr>
        <w:t xml:space="preserve">and ends at around 1.417. However, 10, 15, and 20 percent export growth are unable to result in significant ECI improvement trajectories. For 10, 15, and 20 percent growth budgets, ECI of Finland ends at around 1.89</w:t>
      </w:r>
      <w:r w:rsidDel="00000000" w:rsidR="00000000" w:rsidRPr="00000000">
        <w:rPr>
          <w:rtl w:val="0"/>
        </w:rPr>
        <w:t xml:space="preserve">.</w:t>
      </w:r>
    </w:p>
    <w:p w:rsidR="00000000" w:rsidDel="00000000" w:rsidP="00000000" w:rsidRDefault="00000000" w:rsidRPr="00000000" w14:paraId="00000119">
      <w:pPr>
        <w:pageBreakBefore w:val="0"/>
        <w:jc w:val="both"/>
        <w:rPr/>
      </w:pPr>
      <w:r w:rsidDel="00000000" w:rsidR="00000000" w:rsidRPr="00000000">
        <w:rPr>
          <w:rtl w:val="0"/>
        </w:rPr>
        <w:t xml:space="preserve"> </w:t>
      </w:r>
    </w:p>
    <w:p w:rsidR="00000000" w:rsidDel="00000000" w:rsidP="00000000" w:rsidRDefault="00000000" w:rsidRPr="00000000" w14:paraId="0000011A">
      <w:pPr>
        <w:pageBreakBefore w:val="0"/>
        <w:jc w:val="both"/>
        <w:rPr/>
      </w:pPr>
      <w:r w:rsidDel="00000000" w:rsidR="00000000" w:rsidRPr="00000000">
        <w:rPr>
          <w:rtl w:val="0"/>
        </w:rPr>
        <w:t xml:space="preserve">For the case of 5 percent export growth, Machinery and Construction and Daily Instruments account for most of the portfolio. For 10 percent export growth, more weight is awarded to high-complexity products, suggesting that with a low economic improvement anticipation, Finland should focus more on developing this industry. For the case of 15 and 20 percent increment budgets, we realize that the development trajectories are in a similar pattern to a 5% increment budget except that there are a few additional steps when there are more budgets. Similar to the first case, the solutions suggest that Finland should invest more on Machinery and Construction and Daily Instruments.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drawing>
          <wp:inline distB="114300" distT="114300" distL="114300" distR="114300">
            <wp:extent cx="5731200" cy="2133600"/>
            <wp:effectExtent b="0" l="0" r="0" t="0"/>
            <wp:docPr id="30" name="image31.jpg"/>
            <a:graphic>
              <a:graphicData uri="http://schemas.openxmlformats.org/drawingml/2006/picture">
                <pic:pic>
                  <pic:nvPicPr>
                    <pic:cNvPr id="0" name="image31.jpg"/>
                    <pic:cNvPicPr preferRelativeResize="0"/>
                  </pic:nvPicPr>
                  <pic:blipFill>
                    <a:blip r:embed="rId17"/>
                    <a:srcRect b="0" l="0" r="0" t="0"/>
                    <a:stretch>
                      <a:fillRect/>
                    </a:stretch>
                  </pic:blipFill>
                  <pic:spPr>
                    <a:xfrm>
                      <a:off x="0" y="0"/>
                      <a:ext cx="5731200" cy="2133600"/>
                    </a:xfrm>
                    <a:prstGeom prst="rect"/>
                    <a:ln/>
                  </pic:spPr>
                </pic:pic>
              </a:graphicData>
            </a:graphic>
          </wp:inline>
        </w:drawing>
      </w:r>
      <w:r w:rsidDel="00000000" w:rsidR="00000000" w:rsidRPr="00000000">
        <w:rPr/>
        <w:drawing>
          <wp:inline distB="114300" distT="114300" distL="114300" distR="114300">
            <wp:extent cx="5731200" cy="1993900"/>
            <wp:effectExtent b="0" l="0" r="0" t="0"/>
            <wp:docPr id="16"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center"/>
        <w:rPr/>
      </w:pPr>
      <w:r w:rsidDel="00000000" w:rsidR="00000000" w:rsidRPr="00000000">
        <w:rPr>
          <w:rtl w:val="0"/>
        </w:rPr>
        <w:t xml:space="preserve">Figure 5: Greedy Based ECI Improvement Results of Finland in 2013 with Different Budgets</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559328" cy="1464162"/>
            <wp:effectExtent b="0" l="0" r="0" t="0"/>
            <wp:docPr id="29"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5559328" cy="146416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Table 8: Portfolio of Finland in 2013</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t xml:space="preserve">For further suggestions on Finland’s development in the future. We also offer the optimization result of Finland based on export data in 2018. Below is the economic panel for Finland in 2018. We can see that there is a similar pattern for the ECI improvement trajectories, which is that the improvements in 10, 15, and 20 are similar. But one difference is that the main components that result in ECI improvements are not quite similar. For a 5 percent export growth, the improvement is concentrated in machinery and construction, while for 10, 15, and 20 percent growth, it is limited to transportation and high-complexity products. A more detailed numerical representation of the portfolio is shown in Table 9. </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2628900"/>
            <wp:effectExtent b="0" l="0" r="0" t="0"/>
            <wp:docPr id="20" name="image20.jpg"/>
            <a:graphic>
              <a:graphicData uri="http://schemas.openxmlformats.org/drawingml/2006/picture">
                <pic:pic>
                  <pic:nvPicPr>
                    <pic:cNvPr id="0" name="image20.jpg"/>
                    <pic:cNvPicPr preferRelativeResize="0"/>
                  </pic:nvPicPr>
                  <pic:blipFill>
                    <a:blip r:embed="rId20"/>
                    <a:srcRect b="0" l="0" r="0" t="0"/>
                    <a:stretch>
                      <a:fillRect/>
                    </a:stretch>
                  </pic:blipFill>
                  <pic:spPr>
                    <a:xfrm>
                      <a:off x="0" y="0"/>
                      <a:ext cx="5731200" cy="2628900"/>
                    </a:xfrm>
                    <a:prstGeom prst="rect"/>
                    <a:ln/>
                  </pic:spPr>
                </pic:pic>
              </a:graphicData>
            </a:graphic>
          </wp:inline>
        </w:drawing>
      </w:r>
      <w:r w:rsidDel="00000000" w:rsidR="00000000" w:rsidRPr="00000000">
        <w:rPr/>
        <w:drawing>
          <wp:inline distB="114300" distT="114300" distL="114300" distR="114300">
            <wp:extent cx="5731200" cy="2222500"/>
            <wp:effectExtent b="0" l="0" r="0" t="0"/>
            <wp:docPr id="21" name="image24.jpg"/>
            <a:graphic>
              <a:graphicData uri="http://schemas.openxmlformats.org/drawingml/2006/picture">
                <pic:pic>
                  <pic:nvPicPr>
                    <pic:cNvPr id="0" name="image24.jpg"/>
                    <pic:cNvPicPr preferRelativeResize="0"/>
                  </pic:nvPicPr>
                  <pic:blipFill>
                    <a:blip r:embed="rId2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Figure 6: Greedy Based ECI Improvement Results of Finland in 2018 with Different Budgets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465300</wp:posOffset>
            </wp:positionH>
            <wp:positionV relativeFrom="paragraph">
              <wp:posOffset>19050</wp:posOffset>
            </wp:positionV>
            <wp:extent cx="4796393" cy="1138793"/>
            <wp:effectExtent b="0" l="0" r="0" t="0"/>
            <wp:wrapTopAndBottom distB="0" distT="0"/>
            <wp:docPr id="1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4796393" cy="1138793"/>
                    </a:xfrm>
                    <a:prstGeom prst="rect"/>
                    <a:ln/>
                  </pic:spPr>
                </pic:pic>
              </a:graphicData>
            </a:graphic>
          </wp:anchor>
        </w:drawing>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Table 9: Portfolio of Finland in 2018</w:t>
      </w:r>
    </w:p>
    <w:p w:rsidR="00000000" w:rsidDel="00000000" w:rsidP="00000000" w:rsidRDefault="00000000" w:rsidRPr="00000000" w14:paraId="0000012D">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E">
      <w:pPr>
        <w:pageBreakBefore w:val="0"/>
        <w:spacing w:after="240" w:before="240" w:line="276" w:lineRule="auto"/>
        <w:rPr/>
      </w:pPr>
      <w:r w:rsidDel="00000000" w:rsidR="00000000" w:rsidRPr="00000000">
        <w:rPr>
          <w:rtl w:val="0"/>
        </w:rPr>
        <w:t xml:space="preserve">In the following section our broad aim is to understand how sensitive Finland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F">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0">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1">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2">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2.jpg"/>
            <a:graphic>
              <a:graphicData uri="http://schemas.openxmlformats.org/drawingml/2006/picture">
                <pic:pic>
                  <pic:nvPicPr>
                    <pic:cNvPr id="0" name="image2.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4">
      <w:pPr>
        <w:pageBreakBefore w:val="0"/>
        <w:jc w:val="both"/>
        <w:rPr>
          <w:b w:val="1"/>
          <w:bCs w:val="1"/>
        </w:rPr>
      </w:pPr>
      <w:r w:rsidDel="00000000" w:rsidR="00000000" w:rsidRPr="00000000">
        <w:rPr>
          <w:rtl w:val="0"/>
        </w:rPr>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8">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9">
      <w:pPr>
        <w:pageBreakBefore w:val="0"/>
        <w:spacing w:line="276" w:lineRule="auto"/>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drawing>
          <wp:inline distB="114300" distT="114300" distL="114300" distR="114300">
            <wp:extent cx="5734050" cy="1739900"/>
            <wp:effectExtent b="0" l="0" r="0" t="0"/>
            <wp:docPr id="7"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C">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D">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E">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5">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Below is Finland’s 2018 ECI Sensitivity Charts. Firstly in the positive chart, we notice immediately that increases in High Complexity Products and Transportation lead to an uptrend in ECI.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48">
      <w:pPr>
        <w:pageBreakBefore w:val="0"/>
        <w:jc w:val="both"/>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Next we consider Finland’s 2018 Negative Shock chart. We see that Finland’s ECI is highly sensitive to drawdowns in Vegetables, Fruits, and Plants and High-Complexity Products. More interestingly we see that large decreases in Wood Products and Animals and By-products, and Services and Utilities seem to greatly increase the ECI score. These industries are very important industries for Finland’s economy and thus the results that are reflected in the chart may be suggesting that there is another industry that could be very beneficial for Finland that is far in proximity from </w:t>
      </w:r>
      <w:r w:rsidDel="00000000" w:rsidR="00000000" w:rsidRPr="00000000">
        <w:rPr>
          <w:rtl w:val="0"/>
        </w:rPr>
        <w:t xml:space="preserve">the Wood Products and Animals and By-products </w:t>
      </w:r>
      <w:r w:rsidDel="00000000" w:rsidR="00000000" w:rsidRPr="00000000">
        <w:rPr>
          <w:rtl w:val="0"/>
        </w:rPr>
        <w:t xml:space="preserve">industries.  </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jc w:val="both"/>
        <w:rPr>
          <w:b w:val="1"/>
          <w:bCs w:val="1"/>
        </w:rPr>
      </w:pPr>
      <w:r w:rsidDel="00000000" w:rsidR="00000000" w:rsidRPr="00000000">
        <w:rPr>
          <w:b w:val="1"/>
          <w:bCs w:val="1"/>
        </w:rPr>
        <w:drawing>
          <wp:inline distB="114300" distT="114300" distL="114300" distR="114300">
            <wp:extent cx="5731200" cy="2171700"/>
            <wp:effectExtent b="0" l="0" r="0" t="0"/>
            <wp:docPr id="11" name="image26.jpg"/>
            <a:graphic>
              <a:graphicData uri="http://schemas.openxmlformats.org/drawingml/2006/picture">
                <pic:pic>
                  <pic:nvPicPr>
                    <pic:cNvPr id="0" name="image26.jpg"/>
                    <pic:cNvPicPr preferRelativeResize="0"/>
                  </pic:nvPicPr>
                  <pic:blipFill>
                    <a:blip r:embed="rId2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b w:val="1"/>
          <w:bCs w:val="1"/>
        </w:rPr>
      </w:pPr>
      <w:r w:rsidDel="00000000" w:rsidR="00000000" w:rsidRPr="00000000">
        <w:rPr>
          <w:rtl w:val="0"/>
        </w:rPr>
        <w:t xml:space="preserve">Finland 2018 (Incremental ECI Sensitivity)</w:t>
      </w:r>
      <w:r w:rsidDel="00000000" w:rsidR="00000000" w:rsidRPr="00000000">
        <w:rPr>
          <w:rtl w:val="0"/>
        </w:rPr>
      </w:r>
    </w:p>
    <w:p w:rsidR="00000000" w:rsidDel="00000000" w:rsidP="00000000" w:rsidRDefault="00000000" w:rsidRPr="00000000" w14:paraId="0000014D">
      <w:pPr>
        <w:pageBreakBefore w:val="0"/>
        <w:jc w:val="both"/>
        <w:rPr>
          <w:b w:val="1"/>
          <w:bCs w:val="1"/>
        </w:rPr>
      </w:pPr>
      <w:r w:rsidDel="00000000" w:rsidR="00000000" w:rsidRPr="00000000">
        <w:rPr>
          <w:b w:val="1"/>
          <w:bCs w:val="1"/>
        </w:rPr>
        <w:drawing>
          <wp:inline distB="114300" distT="114300" distL="114300" distR="114300">
            <wp:extent cx="5731200" cy="2120900"/>
            <wp:effectExtent b="0" l="0" r="0" t="0"/>
            <wp:docPr id="2"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jc w:val="both"/>
        <w:rPr>
          <w:b w:val="1"/>
          <w:bCs w:val="1"/>
        </w:rPr>
      </w:pPr>
      <w:r w:rsidDel="00000000" w:rsidR="00000000" w:rsidRPr="00000000">
        <w:rPr>
          <w:rtl w:val="0"/>
        </w:rPr>
      </w:r>
    </w:p>
    <w:p w:rsidR="00000000" w:rsidDel="00000000" w:rsidP="00000000" w:rsidRDefault="00000000" w:rsidRPr="00000000" w14:paraId="0000014F">
      <w:pPr>
        <w:pageBreakBefore w:val="0"/>
        <w:jc w:val="center"/>
        <w:rPr/>
      </w:pPr>
      <w:r w:rsidDel="00000000" w:rsidR="00000000" w:rsidRPr="00000000">
        <w:rPr>
          <w:rtl w:val="0"/>
        </w:rPr>
        <w:t xml:space="preserve">Finland 2018 (Decremental  ECI Sensitivity)</w:t>
      </w: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and Transportation  seem to offer the best ECI growth prospects.</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In the 2013 negative shocking case, we see that again Finland is very sensitive to drawdowns in Vegetables, Fruits, and Plants and High-Complexity Products.</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b w:val="1"/>
          <w:bCs w:val="1"/>
        </w:rPr>
        <w:drawing>
          <wp:inline distB="114300" distT="114300" distL="114300" distR="114300">
            <wp:extent cx="5731200" cy="2159000"/>
            <wp:effectExtent b="0" l="0" r="0" t="0"/>
            <wp:docPr id="28" name="image29.jpg"/>
            <a:graphic>
              <a:graphicData uri="http://schemas.openxmlformats.org/drawingml/2006/picture">
                <pic:pic>
                  <pic:nvPicPr>
                    <pic:cNvPr id="0" name="image29.jpg"/>
                    <pic:cNvPicPr preferRelativeResize="0"/>
                  </pic:nvPicPr>
                  <pic:blipFill>
                    <a:blip r:embed="rId2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Finland 2013 (Incremental ECI Sensitivity)</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Pr>
        <w:drawing>
          <wp:inline distB="114300" distT="114300" distL="114300" distR="114300">
            <wp:extent cx="5731200" cy="2146300"/>
            <wp:effectExtent b="0" l="0" r="0" t="0"/>
            <wp:docPr id="3"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Finland 2013 (Decremental  ECI Sensitivity)</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Below we see the SDV sensitivity charts for High Complexity Products. We see that increasing the export of High Complexity Products opens up many positive opportunity gain industries for Finland to move into.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In the negative High Complexity Product SDV chart, we see that as we decrease the export of High Complexity Products, the exact opposite happens. The number of industries with positive opportunity gain shrink suggesting that the opportunities available to Finland are highly dependent on its High Complexity Product footprint.</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Concerning Food and Preparations, Finland seems to be mostly insensitive to this industry suggesting that this is not an important industry in terms of the stability of its SDV. </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jc w:val="center"/>
        <w:rPr>
          <w:b w:val="1"/>
          <w:bCs w:val="1"/>
        </w:rPr>
      </w:pPr>
      <w:r w:rsidDel="00000000" w:rsidR="00000000" w:rsidRPr="00000000">
        <w:rPr>
          <w:b w:val="1"/>
          <w:bCs w:val="1"/>
        </w:rPr>
        <w:drawing>
          <wp:inline distB="114300" distT="114300" distL="114300" distR="114300">
            <wp:extent cx="4851925" cy="2479689"/>
            <wp:effectExtent b="0" l="0" r="0" t="0"/>
            <wp:docPr id="31" name="image28.jpg"/>
            <a:graphic>
              <a:graphicData uri="http://schemas.openxmlformats.org/drawingml/2006/picture">
                <pic:pic>
                  <pic:nvPicPr>
                    <pic:cNvPr id="0" name="image28.jpg"/>
                    <pic:cNvPicPr preferRelativeResize="0"/>
                  </pic:nvPicPr>
                  <pic:blipFill>
                    <a:blip r:embed="rId30"/>
                    <a:srcRect b="0" l="0" r="0" t="0"/>
                    <a:stretch>
                      <a:fillRect/>
                    </a:stretch>
                  </pic:blipFill>
                  <pic:spPr>
                    <a:xfrm>
                      <a:off x="0" y="0"/>
                      <a:ext cx="4851925" cy="2479689"/>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ind w:left="0" w:firstLine="0"/>
        <w:jc w:val="center"/>
        <w:rPr/>
      </w:pPr>
      <w:r w:rsidDel="00000000" w:rsidR="00000000" w:rsidRPr="00000000">
        <w:rPr>
          <w:rtl w:val="0"/>
        </w:rPr>
        <w:t xml:space="preserve">Finland High-complexity Products 2018 (Incremental SDV Sensitivity)</w:t>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center"/>
        <w:rPr>
          <w:b w:val="1"/>
          <w:bCs w:val="1"/>
        </w:rPr>
      </w:pPr>
      <w:r w:rsidDel="00000000" w:rsidR="00000000" w:rsidRPr="00000000">
        <w:rPr>
          <w:rtl w:val="0"/>
        </w:rPr>
      </w:r>
    </w:p>
    <w:p w:rsidR="00000000" w:rsidDel="00000000" w:rsidP="00000000" w:rsidRDefault="00000000" w:rsidRPr="00000000" w14:paraId="00000169">
      <w:pPr>
        <w:pageBreakBefore w:val="0"/>
        <w:ind w:left="720" w:firstLine="72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1260638</wp:posOffset>
            </wp:positionH>
            <wp:positionV relativeFrom="paragraph">
              <wp:posOffset>9525</wp:posOffset>
            </wp:positionV>
            <wp:extent cx="3212264" cy="2944575"/>
            <wp:effectExtent b="0" l="0" r="0" t="0"/>
            <wp:wrapTopAndBottom distB="0" distT="0"/>
            <wp:docPr id="25" name="image30.jpg"/>
            <a:graphic>
              <a:graphicData uri="http://schemas.openxmlformats.org/drawingml/2006/picture">
                <pic:pic>
                  <pic:nvPicPr>
                    <pic:cNvPr id="0" name="image30.jpg"/>
                    <pic:cNvPicPr preferRelativeResize="0"/>
                  </pic:nvPicPr>
                  <pic:blipFill>
                    <a:blip r:embed="rId31"/>
                    <a:srcRect b="0" l="0" r="0" t="0"/>
                    <a:stretch>
                      <a:fillRect/>
                    </a:stretch>
                  </pic:blipFill>
                  <pic:spPr>
                    <a:xfrm>
                      <a:off x="0" y="0"/>
                      <a:ext cx="3212264" cy="2944575"/>
                    </a:xfrm>
                    <a:prstGeom prst="rect"/>
                    <a:ln/>
                  </pic:spPr>
                </pic:pic>
              </a:graphicData>
            </a:graphic>
          </wp:anchor>
        </w:drawing>
      </w:r>
    </w:p>
    <w:p w:rsidR="00000000" w:rsidDel="00000000" w:rsidP="00000000" w:rsidRDefault="00000000" w:rsidRPr="00000000" w14:paraId="0000016A">
      <w:pPr>
        <w:pageBreakBefore w:val="0"/>
        <w:ind w:left="0" w:firstLine="0"/>
        <w:jc w:val="center"/>
        <w:rPr/>
      </w:pPr>
      <w:r w:rsidDel="00000000" w:rsidR="00000000" w:rsidRPr="00000000">
        <w:rPr>
          <w:rtl w:val="0"/>
        </w:rPr>
        <w:t xml:space="preserve">Finland</w:t>
      </w:r>
      <w:r w:rsidDel="00000000" w:rsidR="00000000" w:rsidRPr="00000000">
        <w:rPr>
          <w:rtl w:val="0"/>
        </w:rPr>
        <w:t xml:space="preserve"> High-complexity Products 2018 (Decremental SDV Sensitivity)</w:t>
      </w: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r>
    </w:p>
    <w:p w:rsidR="00000000" w:rsidDel="00000000" w:rsidP="00000000" w:rsidRDefault="00000000" w:rsidRPr="00000000" w14:paraId="0000016C">
      <w:pPr>
        <w:pageBreakBefore w:val="0"/>
        <w:ind w:left="720" w:firstLine="720"/>
        <w:jc w:val="center"/>
        <w:rPr/>
      </w:pPr>
      <w:r w:rsidDel="00000000" w:rsidR="00000000" w:rsidRPr="00000000">
        <w:rPr>
          <w:rtl w:val="0"/>
        </w:rPr>
      </w:r>
    </w:p>
    <w:p w:rsidR="00000000" w:rsidDel="00000000" w:rsidP="00000000" w:rsidRDefault="00000000" w:rsidRPr="00000000" w14:paraId="0000016D">
      <w:pPr>
        <w:pageBreakBefore w:val="0"/>
        <w:ind w:left="720" w:firstLine="720"/>
        <w:jc w:val="center"/>
        <w:rPr/>
      </w:pP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r>
    </w:p>
    <w:p w:rsidR="00000000" w:rsidDel="00000000" w:rsidP="00000000" w:rsidRDefault="00000000" w:rsidRPr="00000000" w14:paraId="00000176">
      <w:pPr>
        <w:pageBreakBefore w:val="0"/>
        <w:ind w:left="720" w:firstLine="720"/>
        <w:jc w:val="center"/>
        <w:rPr/>
      </w:pPr>
      <w:r w:rsidDel="00000000" w:rsidR="00000000" w:rsidRPr="00000000">
        <w:rPr>
          <w:rtl w:val="0"/>
        </w:rPr>
      </w:r>
    </w:p>
    <w:p w:rsidR="00000000" w:rsidDel="00000000" w:rsidP="00000000" w:rsidRDefault="00000000" w:rsidRPr="00000000" w14:paraId="00000177">
      <w:pPr>
        <w:pageBreakBefore w:val="0"/>
        <w:ind w:left="0" w:firstLine="0"/>
        <w:jc w:val="center"/>
        <w:rPr>
          <w:b w:val="1"/>
          <w:bCs w:val="1"/>
        </w:rPr>
      </w:pPr>
      <w:r w:rsidDel="00000000" w:rsidR="00000000" w:rsidRPr="00000000">
        <w:rPr>
          <w:rtl w:val="0"/>
        </w:rPr>
        <w:t xml:space="preserve">Finland Clothing and Accessories 2018 (Incremental SDV Sensitivity)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2027400</wp:posOffset>
            </wp:positionH>
            <wp:positionV relativeFrom="paragraph">
              <wp:posOffset>114300</wp:posOffset>
            </wp:positionV>
            <wp:extent cx="1675249" cy="2936613"/>
            <wp:effectExtent b="0" l="0" r="0" t="0"/>
            <wp:wrapTopAndBottom distB="114300" distT="114300"/>
            <wp:docPr id="18" name="image25.jpg"/>
            <a:graphic>
              <a:graphicData uri="http://schemas.openxmlformats.org/drawingml/2006/picture">
                <pic:pic>
                  <pic:nvPicPr>
                    <pic:cNvPr id="0" name="image25.jpg"/>
                    <pic:cNvPicPr preferRelativeResize="0"/>
                  </pic:nvPicPr>
                  <pic:blipFill>
                    <a:blip r:embed="rId32"/>
                    <a:srcRect b="0" l="0" r="0" t="0"/>
                    <a:stretch>
                      <a:fillRect/>
                    </a:stretch>
                  </pic:blipFill>
                  <pic:spPr>
                    <a:xfrm>
                      <a:off x="0" y="0"/>
                      <a:ext cx="1675249" cy="2936613"/>
                    </a:xfrm>
                    <a:prstGeom prst="rect"/>
                    <a:ln/>
                  </pic:spPr>
                </pic:pic>
              </a:graphicData>
            </a:graphic>
          </wp:anchor>
        </w:drawing>
      </w:r>
    </w:p>
    <w:p w:rsidR="00000000" w:rsidDel="00000000" w:rsidP="00000000" w:rsidRDefault="00000000" w:rsidRPr="00000000" w14:paraId="00000178">
      <w:pPr>
        <w:pageBreakBefore w:val="0"/>
        <w:jc w:val="center"/>
        <w:rPr>
          <w:b w:val="1"/>
          <w:bCs w:val="1"/>
        </w:rPr>
      </w:pPr>
      <w:r w:rsidDel="00000000" w:rsidR="00000000" w:rsidRPr="00000000">
        <w:rPr>
          <w:rtl w:val="0"/>
        </w:rPr>
      </w:r>
    </w:p>
    <w:p w:rsidR="00000000" w:rsidDel="00000000" w:rsidP="00000000" w:rsidRDefault="00000000" w:rsidRPr="00000000" w14:paraId="00000179">
      <w:pPr>
        <w:pageBreakBefore w:val="0"/>
        <w:ind w:left="720" w:firstLine="0"/>
        <w:jc w:val="center"/>
        <w:rPr/>
      </w:pPr>
      <w:r w:rsidDel="00000000" w:rsidR="00000000" w:rsidRPr="00000000">
        <w:rPr>
          <w:rtl w:val="0"/>
        </w:rPr>
        <w:t xml:space="preserve">Finland Clothing and Accessories 2018 (Decremental SDV Sensitivity)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1994063</wp:posOffset>
            </wp:positionH>
            <wp:positionV relativeFrom="paragraph">
              <wp:posOffset>152400</wp:posOffset>
            </wp:positionV>
            <wp:extent cx="1745820" cy="2828381"/>
            <wp:effectExtent b="0" l="0" r="0" t="0"/>
            <wp:wrapTopAndBottom distB="114300" distT="114300"/>
            <wp:docPr id="15" name="image27.jpg"/>
            <a:graphic>
              <a:graphicData uri="http://schemas.openxmlformats.org/drawingml/2006/picture">
                <pic:pic>
                  <pic:nvPicPr>
                    <pic:cNvPr id="0" name="image27.jpg"/>
                    <pic:cNvPicPr preferRelativeResize="0"/>
                  </pic:nvPicPr>
                  <pic:blipFill>
                    <a:blip r:embed="rId33"/>
                    <a:srcRect b="0" l="0" r="0" t="0"/>
                    <a:stretch>
                      <a:fillRect/>
                    </a:stretch>
                  </pic:blipFill>
                  <pic:spPr>
                    <a:xfrm>
                      <a:off x="0" y="0"/>
                      <a:ext cx="1745820" cy="2828381"/>
                    </a:xfrm>
                    <a:prstGeom prst="rect"/>
                    <a:ln/>
                  </pic:spPr>
                </pic:pic>
              </a:graphicData>
            </a:graphic>
          </wp:anchor>
        </w:drawing>
      </w:r>
    </w:p>
    <w:p w:rsidR="00000000" w:rsidDel="00000000" w:rsidP="00000000" w:rsidRDefault="00000000" w:rsidRPr="00000000" w14:paraId="0000017A">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B">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t xml:space="preserve">Decreasing export of each industry in Finland’s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0">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407863" cy="2855396"/>
            <wp:effectExtent b="0" l="0" r="0" t="0"/>
            <wp:docPr id="23"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5407863" cy="2855396"/>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jc w:val="center"/>
        <w:rPr>
          <w:sz w:val="22"/>
          <w:szCs w:val="22"/>
        </w:rPr>
      </w:pPr>
      <w:r w:rsidDel="00000000" w:rsidR="00000000" w:rsidRPr="00000000">
        <w:rPr>
          <w:sz w:val="22"/>
          <w:szCs w:val="22"/>
          <w:rtl w:val="0"/>
        </w:rPr>
        <w:t xml:space="preserve">Finland Contingency Strategy 2018</w:t>
      </w:r>
    </w:p>
    <w:p w:rsidR="00000000" w:rsidDel="00000000" w:rsidP="00000000" w:rsidRDefault="00000000" w:rsidRPr="00000000" w14:paraId="00000182">
      <w:pPr>
        <w:pageBreakBefore w:val="0"/>
        <w:jc w:val="center"/>
        <w:rPr>
          <w:sz w:val="22"/>
          <w:szCs w:val="22"/>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5">
      <w:pPr>
        <w:pageBreakBefore w:val="0"/>
        <w:jc w:val="both"/>
        <w:rPr>
          <w:b w:val="1"/>
          <w:bCs w:val="1"/>
        </w:rPr>
      </w:pP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7">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A">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3">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4">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b w:val="1"/>
          <w:bCs w:val="1"/>
          <w:rtl w:val="0"/>
        </w:rPr>
        <w:t xml:space="preserve">5.2 SOI of Finland and Its Implications</w:t>
      </w:r>
    </w:p>
    <w:p w:rsidR="00000000" w:rsidDel="00000000" w:rsidP="00000000" w:rsidRDefault="00000000" w:rsidRPr="00000000" w14:paraId="00000197">
      <w:pPr>
        <w:pageBreakBefore w:val="0"/>
        <w:jc w:val="both"/>
        <w:rPr/>
      </w:pPr>
      <w:r w:rsidDel="00000000" w:rsidR="00000000" w:rsidRPr="00000000">
        <w:rPr>
          <w:rtl w:val="0"/>
        </w:rPr>
        <w:t xml:space="preserve">Finland for instance, has a low level of structural optimality as compared with its developed peers. As the regression in Figure 7 suggests (the orange curve represents export increase and the blue curve stands for opportunity gain of the corresponding industry), Finland demonstrates a low level of correlation with the suggested developmental path, having an adjusted R-square of around 0.64%. Finland ranks in the lower quartile among all countries in terms of SOI and has made a low rate of economic progress below its developed peers from 2013 to 2018 with a 5-year GDP growth rate of 2.84%, which is consistent with the regression result in Figure 6. This is in direct contrast to other developed economies such as Japan, where there is low SOI of around -5.7% and a corresponding GDP growth of 9.05% from 2013 to 2018, making Finland a much slower developing economy during the period. In sum, Finland’s mixed economic progress from 2013 to 2018 can be at least partially explained by a development strategy that demonstrates a suboptimal level of matches with our suggested developmental path. In specific, Finland invested heavily in the Wood Products industry, while it should have focused more on more complex industry groups such as Energy Drilling and Mining. That being said, it stayed fairly in line with our expectations in the Precious Stones industry.</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drawing>
          <wp:inline distB="114300" distT="114300" distL="114300" distR="114300">
            <wp:extent cx="5734050" cy="2298700"/>
            <wp:effectExtent b="0" l="0" r="0" t="0"/>
            <wp:docPr id="13" name="image9.jpg"/>
            <a:graphic>
              <a:graphicData uri="http://schemas.openxmlformats.org/drawingml/2006/picture">
                <pic:pic>
                  <pic:nvPicPr>
                    <pic:cNvPr id="0" name="image9.jpg"/>
                    <pic:cNvPicPr preferRelativeResize="0"/>
                  </pic:nvPicPr>
                  <pic:blipFill>
                    <a:blip r:embed="rId36"/>
                    <a:srcRect b="0" l="110" r="11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jc w:val="center"/>
        <w:rPr>
          <w:b w:val="1"/>
          <w:bCs w:val="1"/>
        </w:rPr>
      </w:pPr>
      <w:r w:rsidDel="00000000" w:rsidR="00000000" w:rsidRPr="00000000">
        <w:rPr>
          <w:rtl w:val="0"/>
        </w:rPr>
        <w:t xml:space="preserve">Figure 7: SOI of Finland (2009-2014)</w:t>
      </w: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rtl w:val="0"/>
        </w:rPr>
      </w:r>
    </w:p>
    <w:p w:rsidR="00000000" w:rsidDel="00000000" w:rsidP="00000000" w:rsidRDefault="00000000" w:rsidRPr="00000000" w14:paraId="0000019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In conclusion, Finland.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Finland on the industry group level. The product classification system we adopt allows us to measure the realized industry development for various industry groups and to observe that </w:t>
      </w:r>
      <w:r w:rsidDel="00000000" w:rsidR="00000000" w:rsidRPr="00000000">
        <w:rPr>
          <w:rtl w:val="0"/>
        </w:rPr>
        <w:t xml:space="preserve">Finland consistently relied on developing the Vegetables, Fruits, and Plants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Based on our analysis of the opportunity gain and a sensitivity analysis of major industry groups, Finland can further its gains by prioritizing High Complexity Products, Transportation, and Machinery and Construction. We further note that Finland has a slightly mismatched development strategy that indicates a moderately high (compared to other developed countries) level of structural optimality on the complexity level, having an adjusted R-square of around 0.64</w:t>
      </w:r>
      <w:r w:rsidDel="00000000" w:rsidR="00000000" w:rsidRPr="00000000">
        <w:rPr>
          <w:rtl w:val="0"/>
        </w:rPr>
        <w:t xml:space="preserve">%</w:t>
      </w:r>
      <w:r w:rsidDel="00000000" w:rsidR="00000000" w:rsidRPr="00000000">
        <w:rPr>
          <w:rtl w:val="0"/>
        </w:rPr>
        <w:t xml:space="preserve">. Since a significant positive correlation exists between five-year GDP growth and the structural optimality index of an economy as we define and calculate, Finland,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6">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0.jpg"/><Relationship Id="rId22" Type="http://schemas.openxmlformats.org/officeDocument/2006/relationships/image" Target="media/image7.jpg"/><Relationship Id="rId21" Type="http://schemas.openxmlformats.org/officeDocument/2006/relationships/image" Target="media/image24.jpg"/><Relationship Id="rId24" Type="http://schemas.openxmlformats.org/officeDocument/2006/relationships/image" Target="media/image5.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26.jpg"/><Relationship Id="rId25" Type="http://schemas.openxmlformats.org/officeDocument/2006/relationships/image" Target="media/image1.jpg"/><Relationship Id="rId28" Type="http://schemas.openxmlformats.org/officeDocument/2006/relationships/image" Target="media/image29.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0.jpg"/><Relationship Id="rId7" Type="http://schemas.openxmlformats.org/officeDocument/2006/relationships/image" Target="media/image22.png"/><Relationship Id="rId8" Type="http://schemas.openxmlformats.org/officeDocument/2006/relationships/image" Target="media/image19.jpg"/><Relationship Id="rId31" Type="http://schemas.openxmlformats.org/officeDocument/2006/relationships/image" Target="media/image30.jpg"/><Relationship Id="rId30" Type="http://schemas.openxmlformats.org/officeDocument/2006/relationships/image" Target="media/image28.jpg"/><Relationship Id="rId11" Type="http://schemas.openxmlformats.org/officeDocument/2006/relationships/image" Target="media/image17.jpg"/><Relationship Id="rId33" Type="http://schemas.openxmlformats.org/officeDocument/2006/relationships/image" Target="media/image27.jpg"/><Relationship Id="rId10" Type="http://schemas.openxmlformats.org/officeDocument/2006/relationships/image" Target="media/image13.jpg"/><Relationship Id="rId32" Type="http://schemas.openxmlformats.org/officeDocument/2006/relationships/image" Target="media/image25.jpg"/><Relationship Id="rId13" Type="http://schemas.openxmlformats.org/officeDocument/2006/relationships/image" Target="media/image18.jpg"/><Relationship Id="rId35" Type="http://schemas.openxmlformats.org/officeDocument/2006/relationships/image" Target="media/image11.png"/><Relationship Id="rId12" Type="http://schemas.openxmlformats.org/officeDocument/2006/relationships/image" Target="media/image16.jpg"/><Relationship Id="rId34" Type="http://schemas.openxmlformats.org/officeDocument/2006/relationships/image" Target="media/image21.jpg"/><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image" Target="media/image8.png"/><Relationship Id="rId36" Type="http://schemas.openxmlformats.org/officeDocument/2006/relationships/image" Target="media/image9.jpg"/><Relationship Id="rId17" Type="http://schemas.openxmlformats.org/officeDocument/2006/relationships/image" Target="media/image31.jpg"/><Relationship Id="rId39" Type="http://schemas.openxmlformats.org/officeDocument/2006/relationships/footer" Target="footer3.xml"/><Relationship Id="rId16" Type="http://schemas.openxmlformats.org/officeDocument/2006/relationships/image" Target="media/image3.png"/><Relationship Id="rId38" Type="http://schemas.openxmlformats.org/officeDocument/2006/relationships/footer" Target="footer2.xml"/><Relationship Id="rId19" Type="http://schemas.openxmlformats.org/officeDocument/2006/relationships/image" Target="media/image23.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