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3" name="image14.png"/>
            <a:graphic>
              <a:graphicData uri="http://schemas.openxmlformats.org/drawingml/2006/picture">
                <pic:pic>
                  <pic:nvPicPr>
                    <pic:cNvPr id="0" name="image14.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Iceland</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Iceland</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Iceland went through during the period from 2013 to 2018. Specifically, we dive into the topic through a macroeconomic overview of Iceland from the perspective of Gross Domestic Product (GDP) and Economic Complexity Index (ECI), which reflect countries’ production capability and production structure, respectively. We find that during the period of our interest, Iceland d</w:t>
      </w:r>
      <w:r w:rsidDel="00000000" w:rsidR="00000000" w:rsidRPr="00000000">
        <w:rPr>
          <w:rtl w:val="0"/>
        </w:rPr>
        <w:t xml:space="preserve">emonstrated a moderate level of economic growth with an average annual GDP growth rate of 6.03%, concurrent with a decrease in economic complexity as compared with other major developed economies.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w:t>
      </w:r>
      <w:r w:rsidDel="00000000" w:rsidR="00000000" w:rsidRPr="00000000">
        <w:rPr>
          <w:rtl w:val="0"/>
        </w:rPr>
        <w:t xml:space="preserve">he lack of progress during the period, we believe, can be partially explained through analysis of the economic and product complexity structure of Iceland on the industry group level. The product classification system we adopt allows us to measure the realized industry development for various industry groups and to observe that </w:t>
      </w:r>
      <w:r w:rsidDel="00000000" w:rsidR="00000000" w:rsidRPr="00000000">
        <w:rPr>
          <w:rtl w:val="0"/>
        </w:rPr>
        <w:t xml:space="preserve">Iceland relied on developing the Vegetables, Fruits and Plants industry during the period, while its developed counterparts and emerging economies around the globe adopted much more complex and progressive paths.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Iceland can further its gains by </w:t>
      </w:r>
      <w:r w:rsidDel="00000000" w:rsidR="00000000" w:rsidRPr="00000000">
        <w:rPr>
          <w:rtl w:val="0"/>
        </w:rPr>
        <w:t xml:space="preserve">prioritizing </w:t>
      </w:r>
      <w:r w:rsidDel="00000000" w:rsidR="00000000" w:rsidRPr="00000000">
        <w:rPr>
          <w:rtl w:val="0"/>
        </w:rPr>
        <w:t xml:space="preserve">Energy Drilling and Mining</w:t>
      </w:r>
      <w:r w:rsidDel="00000000" w:rsidR="00000000" w:rsidRPr="00000000">
        <w:rPr>
          <w:rtl w:val="0"/>
        </w:rPr>
        <w:t xml:space="preserve">, and Precious Stones. We further note that Iceland has a </w:t>
      </w:r>
      <w:r w:rsidDel="00000000" w:rsidR="00000000" w:rsidRPr="00000000">
        <w:rPr>
          <w:rtl w:val="0"/>
        </w:rPr>
        <w:t xml:space="preserve">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1.9%</w:t>
      </w:r>
      <w:r w:rsidDel="00000000" w:rsidR="00000000" w:rsidRPr="00000000">
        <w:rPr>
          <w:rtl w:val="0"/>
        </w:rPr>
        <w:t xml:space="preserve">. Since a significant positive correlation exists between five-year GDP growth and the structural optimality index of an economy as we define and calculate, Iceland,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Iceland went through during the period from 2013 to 2018. Specifically, we dive into the topic through a macroeconomic overview of Iceland from the perspective of Gross Domestic Product (GDP) and Economic Complexity Index (ECI), which reflect countries’ production capability and production structure, respectively. We then analyze the industrial framework and changes of Iceland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Iceland,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Iceland and three of its peer countries (Norway, Sweden, and Ireland) from 2013-2018. In contrast to other Nordic countries, Iceland</w:t>
      </w:r>
      <w:r w:rsidDel="00000000" w:rsidR="00000000" w:rsidRPr="00000000">
        <w:rPr>
          <w:rtl w:val="0"/>
        </w:rPr>
        <w:t xml:space="preserve"> has seen moderate growth in GDP. In fact, Iceland’s average annual growth rate of 6.03% over the five-year period is clearly higher than Norway and Sweden’s, which are 0.54% and 3.44% respectively, but much lower than Ireland’s growth rate of 11.16%. </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114300" distT="114300" distL="114300" distR="114300">
            <wp:extent cx="3768563" cy="2589679"/>
            <wp:effectExtent b="0" l="0" r="0" t="0"/>
            <wp:docPr id="17" name="image29.png"/>
            <a:graphic>
              <a:graphicData uri="http://schemas.openxmlformats.org/drawingml/2006/picture">
                <pic:pic>
                  <pic:nvPicPr>
                    <pic:cNvPr id="0" name="image29.png"/>
                    <pic:cNvPicPr preferRelativeResize="0"/>
                  </pic:nvPicPr>
                  <pic:blipFill>
                    <a:blip r:embed="rId7"/>
                    <a:srcRect b="0" l="1163" r="0" t="0"/>
                    <a:stretch>
                      <a:fillRect/>
                    </a:stretch>
                  </pic:blipFill>
                  <pic:spPr>
                    <a:xfrm>
                      <a:off x="0" y="0"/>
                      <a:ext cx="3768563" cy="258967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Iceland. As illustrated in Figure 2 below, Iceland (-32.81% ECI change) exhibited a decrease in terms of its production capability from 2013 to 2018, which is similar to Sweden (-23.88%), similar but significantly better than Norway (-273.95%), and different than Ireland (27.53%).</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114300" distT="114300" distL="114300" distR="114300">
            <wp:extent cx="3880013" cy="2502608"/>
            <wp:effectExtent b="0" l="0" r="0" t="0"/>
            <wp:docPr id="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880013" cy="250260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       Figure 2: ECI Comparison                </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114300" distT="114300" distL="114300" distR="114300">
            <wp:extent cx="4106700" cy="2495087"/>
            <wp:effectExtent b="0" l="0" r="0" t="0"/>
            <wp:docPr id="18"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106700" cy="249508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 Figure 3: GDP Growth and ECI (Iceland)</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pageBreakBefore w:val="0"/>
        <w:jc w:val="left"/>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Figure 3 offers a further comparison of GDP Growth and ECI over the time span from 2013 to 2018 for Iceland. The increase in GDP during the period from 2013 to 2018 is accompanied by a decline in ECI. The results show that the economic growth experienced by Iceland during the period from 2013 to 2018 is not very consistent with the predictions by ECI and Iceland did not effectively make strides to develop a competitive product space that helps to accumulate complicated knowledge and technology. In order to provide a more concrete answer to why this has happened, we will dive into an analysis of Iceland’s production structure and its product space designs in the next few chapters. </w:t>
      </w:r>
    </w:p>
    <w:p w:rsidR="00000000" w:rsidDel="00000000" w:rsidP="00000000" w:rsidRDefault="00000000" w:rsidRPr="00000000" w14:paraId="0000002A">
      <w:pPr>
        <w:pageBreakBefore w:val="0"/>
        <w:jc w:val="both"/>
        <w:rPr>
          <w:b w:val="1"/>
          <w:bCs w:val="1"/>
        </w:rPr>
      </w:pPr>
      <w:r w:rsidDel="00000000" w:rsidR="00000000" w:rsidRPr="00000000">
        <w:rPr>
          <w:rtl w:val="0"/>
        </w:rPr>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Iceland’s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Iceland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B">
      <w:pPr>
        <w:jc w:val="center"/>
        <w:rPr/>
      </w:pPr>
      <w:r w:rsidDel="00000000" w:rsidR="00000000" w:rsidRPr="00000000">
        <w:rPr/>
        <w:drawing>
          <wp:inline distB="114300" distT="114300" distL="114300" distR="114300">
            <wp:extent cx="2325525" cy="4403654"/>
            <wp:effectExtent b="0" l="0" r="0" t="0"/>
            <wp:docPr id="2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325525" cy="440365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Table 2: Realized Industry Development (RID) of Iceland</w:t>
      </w:r>
    </w:p>
    <w:p w:rsidR="00000000" w:rsidDel="00000000" w:rsidP="00000000" w:rsidRDefault="00000000" w:rsidRPr="00000000" w14:paraId="0000008D">
      <w:pPr>
        <w:pageBreakBefore w:val="0"/>
        <w:jc w:val="left"/>
        <w:rPr/>
      </w:pPr>
      <w:r w:rsidDel="00000000" w:rsidR="00000000" w:rsidRPr="00000000">
        <w:rPr>
          <w:rtl w:val="0"/>
        </w:rPr>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 3 and 4 below summarize how the production strategy adopted by Iceland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US</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t xml:space="preserve">Table 4 further examines Iceland’s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w:t>
      </w:r>
      <w:r w:rsidDel="00000000" w:rsidR="00000000" w:rsidRPr="00000000">
        <w:rPr>
          <w:highlight w:val="white"/>
          <w:rtl w:val="0"/>
        </w:rPr>
        <w:t xml:space="preserve">hape.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drawing>
          <wp:inline distB="114300" distT="114300" distL="114300" distR="114300">
            <wp:extent cx="6340765" cy="2538413"/>
            <wp:effectExtent b="0" l="0" r="0" t="0"/>
            <wp:docPr id="9"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340765"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114300" distT="114300" distL="114300" distR="114300">
            <wp:extent cx="6153870" cy="2500313"/>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6153870"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Iceland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Iceland shares the characters of developing countries, with a balanced economics structure that leans towards intermediate-level industries. </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center"/>
        <w:rPr/>
      </w:pPr>
      <w:r w:rsidDel="00000000" w:rsidR="00000000" w:rsidRPr="00000000">
        <w:rPr/>
        <w:drawing>
          <wp:inline distB="114300" distT="114300" distL="114300" distR="114300">
            <wp:extent cx="5731200" cy="2387600"/>
            <wp:effectExtent b="0" l="0" r="0" t="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528888" cy="1141284"/>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drawing>
          <wp:inline distB="114300" distT="114300" distL="114300" distR="114300">
            <wp:extent cx="2138363" cy="71863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F">
      <w:pPr>
        <w:pageBreakBefore w:val="0"/>
        <w:rPr/>
      </w:pPr>
      <w:r w:rsidDel="00000000" w:rsidR="00000000" w:rsidRPr="00000000">
        <w:rPr>
          <w:rtl w:val="0"/>
        </w:rPr>
        <w:t xml:space="preserve"> </w:t>
      </w:r>
    </w:p>
    <w:p w:rsidR="00000000" w:rsidDel="00000000" w:rsidP="00000000" w:rsidRDefault="00000000" w:rsidRPr="00000000" w14:paraId="000000F0">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4">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C">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D">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Below is the economic panel for Iceland in 2013. We can see that for different percentages of heuristic total export growth, the ECIs of Iceland have different amounts of increments. In fact, all levels of percent growth have a slightly different ECI improvement pattern. For the 5 percent export growth, ECI starts at -0.57 and improves up to 0.13. As we go to 10 percent, 15 percent and 20 percent, this improvement also increases, hitting 0.29, 0.38 and 0.68, respectively.</w:t>
      </w:r>
    </w:p>
    <w:p w:rsidR="00000000" w:rsidDel="00000000" w:rsidP="00000000" w:rsidRDefault="00000000" w:rsidRPr="00000000" w14:paraId="00000120">
      <w:pPr>
        <w:jc w:val="both"/>
        <w:rPr/>
      </w:pPr>
      <w:r w:rsidDel="00000000" w:rsidR="00000000" w:rsidRPr="00000000">
        <w:rPr>
          <w:rtl w:val="0"/>
        </w:rPr>
        <w:t xml:space="preserve"> </w:t>
      </w:r>
    </w:p>
    <w:p w:rsidR="00000000" w:rsidDel="00000000" w:rsidP="00000000" w:rsidRDefault="00000000" w:rsidRPr="00000000" w14:paraId="00000121">
      <w:pPr>
        <w:jc w:val="both"/>
        <w:rPr/>
      </w:pPr>
      <w:r w:rsidDel="00000000" w:rsidR="00000000" w:rsidRPr="00000000">
        <w:rPr>
          <w:rtl w:val="0"/>
        </w:rPr>
        <w:t xml:space="preserve">For the case of 5 percent export growth, Chemicals and Daily Instruments account for most of the portfolio. For 10 percent export growth, in addition to the industries that we mentioned before, more weights are put on other industries, such as Energy/Drilling, and Daily Instruments. In these two ECI improvement trajectories, we also notice that the largest improvement comes from services and utilities, suggesting that with a low economic improvement anticipation, Iceland should focus more on developing the industry of services and utilities. For the case of 15 and 20 percent increment budgets, we realize that the development strategies change even more significantly and are more diverse. In fact, at 15 percent growth, Chemical Manufacturing takes the largest share of the allocation budget, splitting it with the aforementioned industries at lower growth increments, as well as Wood Products. Finally, at a 20 percent growth, the addition of Machinery and Construction takes the largest share of the allocation (~40%).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Style w:val="Heading2"/>
        <w:keepNext w:val="0"/>
        <w:keepLines w:val="0"/>
        <w:tabs>
          <w:tab w:val="center" w:leader="none" w:pos="4680"/>
          <w:tab w:val="right" w:leader="none" w:pos="9360"/>
        </w:tabs>
        <w:spacing w:after="0" w:before="0" w:line="288" w:lineRule="auto"/>
        <w:rPr/>
      </w:pPr>
      <w:bookmarkStart w:colFirst="0" w:colLast="0" w:name="_wpbzgi4b3xpu" w:id="3"/>
      <w:bookmarkEnd w:id="3"/>
      <w:r w:rsidDel="00000000" w:rsidR="00000000" w:rsidRPr="00000000">
        <w:rPr>
          <w:rtl w:val="0"/>
        </w:rPr>
      </w:r>
    </w:p>
    <w:p w:rsidR="00000000" w:rsidDel="00000000" w:rsidP="00000000" w:rsidRDefault="00000000" w:rsidRPr="00000000" w14:paraId="00000124">
      <w:pPr>
        <w:pageBreakBefore w:val="0"/>
        <w:jc w:val="both"/>
        <w:rPr>
          <w:highlight w:val="re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1762125</wp:posOffset>
            </wp:positionV>
            <wp:extent cx="5734050" cy="1552575"/>
            <wp:effectExtent b="0" l="0" r="0" t="0"/>
            <wp:wrapTopAndBottom distB="0" distT="0"/>
            <wp:docPr id="14" name="image10.png"/>
            <a:graphic>
              <a:graphicData uri="http://schemas.openxmlformats.org/drawingml/2006/picture">
                <pic:pic>
                  <pic:nvPicPr>
                    <pic:cNvPr id="0" name="image10.png"/>
                    <pic:cNvPicPr preferRelativeResize="0"/>
                  </pic:nvPicPr>
                  <pic:blipFill>
                    <a:blip r:embed="rId16"/>
                    <a:srcRect b="18062" l="0" r="0" t="10132"/>
                    <a:stretch>
                      <a:fillRect/>
                    </a:stretch>
                  </pic:blipFill>
                  <pic:spPr>
                    <a:xfrm>
                      <a:off x="0" y="0"/>
                      <a:ext cx="5734050" cy="1552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65250</wp:posOffset>
            </wp:positionH>
            <wp:positionV relativeFrom="paragraph">
              <wp:posOffset>9525</wp:posOffset>
            </wp:positionV>
            <wp:extent cx="5595938" cy="1756864"/>
            <wp:effectExtent b="0" l="0" r="0" t="0"/>
            <wp:wrapTopAndBottom distB="0" distT="0"/>
            <wp:docPr id="16" name="image11.png"/>
            <a:graphic>
              <a:graphicData uri="http://schemas.openxmlformats.org/drawingml/2006/picture">
                <pic:pic>
                  <pic:nvPicPr>
                    <pic:cNvPr id="0" name="image11.png"/>
                    <pic:cNvPicPr preferRelativeResize="0"/>
                  </pic:nvPicPr>
                  <pic:blipFill>
                    <a:blip r:embed="rId17"/>
                    <a:srcRect b="31229" l="0" r="0" t="5980"/>
                    <a:stretch>
                      <a:fillRect/>
                    </a:stretch>
                  </pic:blipFill>
                  <pic:spPr>
                    <a:xfrm>
                      <a:off x="0" y="0"/>
                      <a:ext cx="5595938" cy="1756864"/>
                    </a:xfrm>
                    <a:prstGeom prst="rect"/>
                    <a:ln/>
                  </pic:spPr>
                </pic:pic>
              </a:graphicData>
            </a:graphic>
          </wp:anchor>
        </w:drawing>
      </w:r>
    </w:p>
    <w:p w:rsidR="00000000" w:rsidDel="00000000" w:rsidP="00000000" w:rsidRDefault="00000000" w:rsidRPr="00000000" w14:paraId="00000125">
      <w:pPr>
        <w:pageBreakBefore w:val="0"/>
        <w:jc w:val="center"/>
        <w:rPr/>
      </w:pPr>
      <w:r w:rsidDel="00000000" w:rsidR="00000000" w:rsidRPr="00000000">
        <w:rPr>
          <w:rtl w:val="0"/>
        </w:rPr>
        <w:t xml:space="preserve">Figure 5: Greedy Based ECI Improvement Results of Iceland in 2013 with Different Budgets</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15621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rtl w:val="0"/>
        </w:rPr>
        <w:t xml:space="preserve">Table 8: Portfolio of Iceland in 2013</w:t>
      </w:r>
    </w:p>
    <w:p w:rsidR="00000000" w:rsidDel="00000000" w:rsidP="00000000" w:rsidRDefault="00000000" w:rsidRPr="00000000" w14:paraId="0000012A">
      <w:pPr>
        <w:pageBreakBefore w:val="0"/>
        <w:jc w:val="both"/>
        <w:rPr>
          <w:highlight w:val="red"/>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For further suggestions on Iceland’s development in the future, we also offer the optimization result of Iceland based on export data in 2018. Below is the economic panel for Iceland in 2018. We can see that there is a similar pattern for the ECI improvement trajectories, which is that the improvements across all four percent export growths are different. But one difference is that the main components that result in ECI improvements are not quite similar for most of the growth increments. For a 5 percent export growth, the main components stay the same, while for a 10 percent growth, the main components consist of Chemical Manufacturing and Daily instruments. For situations with higher budgets of investment, like 15 or 20 percent of growth, the portfolios are much more diverse than the previous two cases. In detail, industries like machinery and construction take on a lot more of the budget for these ECI increments. A more detailed numerical representation of the portfolio is shown in Table 9. </w:t>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both"/>
        <w:rPr>
          <w:highlight w:val="re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111451</wp:posOffset>
            </wp:positionH>
            <wp:positionV relativeFrom="paragraph">
              <wp:posOffset>114300</wp:posOffset>
            </wp:positionV>
            <wp:extent cx="5734050" cy="1847850"/>
            <wp:effectExtent b="0" l="0" r="0" t="0"/>
            <wp:wrapTopAndBottom distB="114300" distT="114300"/>
            <wp:docPr id="22" name="image15.png"/>
            <a:graphic>
              <a:graphicData uri="http://schemas.openxmlformats.org/drawingml/2006/picture">
                <pic:pic>
                  <pic:nvPicPr>
                    <pic:cNvPr id="0" name="image15.png"/>
                    <pic:cNvPicPr preferRelativeResize="0"/>
                  </pic:nvPicPr>
                  <pic:blipFill>
                    <a:blip r:embed="rId19"/>
                    <a:srcRect b="30565" l="0" r="0" t="4983"/>
                    <a:stretch>
                      <a:fillRect/>
                    </a:stretch>
                  </pic:blipFill>
                  <pic:spPr>
                    <a:xfrm>
                      <a:off x="0" y="0"/>
                      <a:ext cx="5734050" cy="1847850"/>
                    </a:xfrm>
                    <a:prstGeom prst="rect"/>
                    <a:ln/>
                  </pic:spPr>
                </pic:pic>
              </a:graphicData>
            </a:graphic>
          </wp:anchor>
        </w:drawing>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1200" cy="2159000"/>
            <wp:effectExtent b="0" l="0" r="0" t="0"/>
            <wp:docPr id="2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center"/>
        <w:rPr/>
      </w:pPr>
      <w:r w:rsidDel="00000000" w:rsidR="00000000" w:rsidRPr="00000000">
        <w:rPr>
          <w:rtl w:val="0"/>
        </w:rPr>
        <w:t xml:space="preserve">Figure 6: Greedy Based ECI Improvement Results of Iceland in 2018 with Different Budgets</w:t>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drawing>
          <wp:inline distB="114300" distT="114300" distL="114300" distR="114300">
            <wp:extent cx="5731200" cy="1409700"/>
            <wp:effectExtent b="0" l="0" r="0" t="0"/>
            <wp:docPr id="2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center"/>
        <w:rPr/>
      </w:pPr>
      <w:r w:rsidDel="00000000" w:rsidR="00000000" w:rsidRPr="00000000">
        <w:rPr>
          <w:rtl w:val="0"/>
        </w:rPr>
        <w:t xml:space="preserve">Table 9: Portfolio of Iceland in 2018</w:t>
      </w:r>
      <w:r w:rsidDel="00000000" w:rsidR="00000000" w:rsidRPr="00000000">
        <w:rPr>
          <w:rtl w:val="0"/>
        </w:rPr>
      </w:r>
    </w:p>
    <w:p w:rsidR="00000000" w:rsidDel="00000000" w:rsidP="00000000" w:rsidRDefault="00000000" w:rsidRPr="00000000" w14:paraId="00000134">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In the following section our broad aim is to understand how sensitive Iceland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6">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9">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4" name="image4.jpg"/>
            <a:graphic>
              <a:graphicData uri="http://schemas.openxmlformats.org/drawingml/2006/picture">
                <pic:pic>
                  <pic:nvPicPr>
                    <pic:cNvPr id="0" name="image4.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B">
      <w:pPr>
        <w:pageBreakBefore w:val="0"/>
        <w:jc w:val="both"/>
        <w:rPr>
          <w:b w:val="1"/>
          <w:bCs w:val="1"/>
        </w:rPr>
      </w:pPr>
      <w:r w:rsidDel="00000000" w:rsidR="00000000" w:rsidRPr="00000000">
        <w:rPr>
          <w:rtl w:val="0"/>
        </w:rPr>
      </w:r>
    </w:p>
    <w:p w:rsidR="00000000" w:rsidDel="00000000" w:rsidP="00000000" w:rsidRDefault="00000000" w:rsidRPr="00000000" w14:paraId="0000013C">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E">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F">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0">
      <w:pPr>
        <w:pageBreakBefore w:val="0"/>
        <w:spacing w:line="276" w:lineRule="auto"/>
        <w:rPr/>
      </w:pPr>
      <w:r w:rsidDel="00000000" w:rsidR="00000000" w:rsidRPr="00000000">
        <w:rPr>
          <w:rtl w:val="0"/>
        </w:rPr>
      </w:r>
    </w:p>
    <w:p w:rsidR="00000000" w:rsidDel="00000000" w:rsidP="00000000" w:rsidRDefault="00000000" w:rsidRPr="00000000" w14:paraId="00000141">
      <w:pPr>
        <w:pageBreakBefore w:val="0"/>
        <w:jc w:val="both"/>
        <w:rPr/>
      </w:pPr>
      <w:r w:rsidDel="00000000" w:rsidR="00000000" w:rsidRPr="00000000">
        <w:rPr/>
        <w:drawing>
          <wp:inline distB="114300" distT="114300" distL="114300" distR="114300">
            <wp:extent cx="5734050" cy="1739900"/>
            <wp:effectExtent b="0" l="0" r="0" t="0"/>
            <wp:docPr id="8"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3">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4">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5">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6">
      <w:pPr>
        <w:pageBreakBefore w:val="0"/>
        <w:spacing w:line="276" w:lineRule="auto"/>
        <w:rPr/>
      </w:pP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rtl w:val="0"/>
        </w:rPr>
        <w:t xml:space="preserve">Below is Iceland’s 2018 ECI Sensitivity Charts. Firstly in the positive chart, we notice immediately that increases in Daily Instruments, Metals, and Animals and By-products lead to an uptrend in ECI. Daily Instruments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4F">
      <w:pPr>
        <w:pageBreakBefore w:val="0"/>
        <w:jc w:val="both"/>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Next we consider Iceland’s 2018 Negative Shock chart. We see that Iceland’s ECI is slightly sensitive to drawdowns in Vegetables, Fruits and Plants. More interestingly, we see that large decreases in Metals seem to greatly increase the ECI score. These industries are two very important industries for Iceland’s economy and thus the results that are reflected in the chart may be suggesting that there is another industry that could be very beneficial for Iceland that is far in proximity from the Metal industry.  </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b w:val="1"/>
          <w:bCs w:val="1"/>
        </w:rPr>
        <w:drawing>
          <wp:inline distB="114300" distT="114300" distL="114300" distR="114300">
            <wp:extent cx="4235288" cy="1940353"/>
            <wp:effectExtent b="0" l="0" r="0" t="0"/>
            <wp:docPr id="2"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235288" cy="194035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jc w:val="center"/>
        <w:rPr/>
      </w:pPr>
      <w:r w:rsidDel="00000000" w:rsidR="00000000" w:rsidRPr="00000000">
        <w:rPr>
          <w:rtl w:val="0"/>
        </w:rPr>
        <w:t xml:space="preserve">Iceland 2018 (Incremental ECI Sensitivity)</w:t>
      </w:r>
    </w:p>
    <w:p w:rsidR="00000000" w:rsidDel="00000000" w:rsidP="00000000" w:rsidRDefault="00000000" w:rsidRPr="00000000" w14:paraId="00000154">
      <w:pPr>
        <w:pageBreakBefore w:val="0"/>
        <w:jc w:val="center"/>
        <w:rPr/>
      </w:pPr>
      <w:r w:rsidDel="00000000" w:rsidR="00000000" w:rsidRPr="00000000">
        <w:rPr>
          <w:rtl w:val="0"/>
        </w:rPr>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drawing>
          <wp:inline distB="114300" distT="114300" distL="114300" distR="114300">
            <wp:extent cx="4397213" cy="1983233"/>
            <wp:effectExtent b="0" l="0" r="0" t="0"/>
            <wp:docPr id="30"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4397213" cy="198323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jc w:val="center"/>
        <w:rPr/>
      </w:pPr>
      <w:r w:rsidDel="00000000" w:rsidR="00000000" w:rsidRPr="00000000">
        <w:rPr>
          <w:rtl w:val="0"/>
        </w:rPr>
        <w:t xml:space="preserve">Iceland 2018 (Decremental  ECI Sensitivity)</w:t>
      </w:r>
    </w:p>
    <w:p w:rsidR="00000000" w:rsidDel="00000000" w:rsidP="00000000" w:rsidRDefault="00000000" w:rsidRPr="00000000" w14:paraId="00000159">
      <w:pPr>
        <w:pageBreakBefore w:val="0"/>
        <w:jc w:val="center"/>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Next we consider the 2013 ECI Sensitivity graphs. We see that in the positive shocking case,  the landscape of ECI sensitivity changes a bit over the five year period, Metals and Animals and By-products still affect ECI levels positively, but not as much as Daily Instruments and Chemical Manufacturing. </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In the 2013 negative shocking case, we see that again Iceland is very sensitive to drawdowns in Vegetables, Fruits and Plants, but also to Food and Preparations, and Services and Utilities. </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jc w:val="center"/>
        <w:rPr>
          <w:b w:val="1"/>
          <w:bCs w:val="1"/>
        </w:rPr>
      </w:pPr>
      <w:r w:rsidDel="00000000" w:rsidR="00000000" w:rsidRPr="00000000">
        <w:rPr>
          <w:b w:val="1"/>
          <w:bCs w:val="1"/>
        </w:rPr>
        <w:drawing>
          <wp:inline distB="114300" distT="114300" distL="114300" distR="114300">
            <wp:extent cx="6467475" cy="1457325"/>
            <wp:effectExtent b="0" l="0" r="0" t="0"/>
            <wp:docPr id="24" name="image22.png"/>
            <a:graphic>
              <a:graphicData uri="http://schemas.openxmlformats.org/drawingml/2006/picture">
                <pic:pic>
                  <pic:nvPicPr>
                    <pic:cNvPr id="0" name="image22.png"/>
                    <pic:cNvPicPr preferRelativeResize="0"/>
                  </pic:nvPicPr>
                  <pic:blipFill>
                    <a:blip r:embed="rId27"/>
                    <a:srcRect b="0" l="731" r="0" t="0"/>
                    <a:stretch>
                      <a:fillRect/>
                    </a:stretch>
                  </pic:blipFill>
                  <pic:spPr>
                    <a:xfrm>
                      <a:off x="0" y="0"/>
                      <a:ext cx="64674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ageBreakBefore w:val="0"/>
        <w:jc w:val="center"/>
        <w:rPr/>
      </w:pPr>
      <w:r w:rsidDel="00000000" w:rsidR="00000000" w:rsidRPr="00000000">
        <w:rPr>
          <w:rtl w:val="0"/>
        </w:rPr>
        <w:t xml:space="preserve">Iceland 2013 (Incremental ECI Sensitivity)</w:t>
      </w:r>
    </w:p>
    <w:p w:rsidR="00000000" w:rsidDel="00000000" w:rsidP="00000000" w:rsidRDefault="00000000" w:rsidRPr="00000000" w14:paraId="00000160">
      <w:pPr>
        <w:pageBreakBefore w:val="0"/>
        <w:jc w:val="center"/>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r>
    </w:p>
    <w:p w:rsidR="00000000" w:rsidDel="00000000" w:rsidP="00000000" w:rsidRDefault="00000000" w:rsidRPr="00000000" w14:paraId="00000162">
      <w:pPr>
        <w:pageBreakBefore w:val="0"/>
        <w:jc w:val="center"/>
        <w:rPr/>
      </w:pPr>
      <w:r w:rsidDel="00000000" w:rsidR="00000000" w:rsidRPr="00000000">
        <w:rPr/>
        <w:drawing>
          <wp:inline distB="114300" distT="114300" distL="114300" distR="114300">
            <wp:extent cx="6529388" cy="1459290"/>
            <wp:effectExtent b="0" l="0" r="0" t="0"/>
            <wp:docPr id="2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529388" cy="145929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jc w:val="center"/>
        <w:rPr/>
      </w:pPr>
      <w:r w:rsidDel="00000000" w:rsidR="00000000" w:rsidRPr="00000000">
        <w:rPr>
          <w:rtl w:val="0"/>
        </w:rPr>
        <w:t xml:space="preserve">Iceland 2013 (Decremental  ECI Sensitivity)</w:t>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Below we see the SDV sensitivity charts for High Complexity Products. Iceland seems to be mostly insensitive to this industry suggesting that this is not an important industry in terms of the stability of its SDV.</w:t>
      </w: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Concerning Food and Preparations, Iceland seems to be mostly insensitive to increases in the export of Food and Preparations.</w:t>
      </w:r>
    </w:p>
    <w:p w:rsidR="00000000" w:rsidDel="00000000" w:rsidP="00000000" w:rsidRDefault="00000000" w:rsidRPr="00000000" w14:paraId="0000016A">
      <w:pPr>
        <w:rPr/>
      </w:pPr>
      <w:r w:rsidDel="00000000" w:rsidR="00000000" w:rsidRPr="00000000">
        <w:rPr>
          <w:rtl w:val="0"/>
        </w:rPr>
        <w:t xml:space="preserve">In the negative Food and Preparations SDV chart, we see that decreasing the export of Food and Preparations has a minimal impact. After about a 46% decrease, the number of industries with positive opportunity gain shrinks by one industry suggesting that the opportunities available to Iceland are not very dependent on its Food and Products footprint.</w:t>
      </w:r>
    </w:p>
    <w:p w:rsidR="00000000" w:rsidDel="00000000" w:rsidP="00000000" w:rsidRDefault="00000000" w:rsidRPr="00000000" w14:paraId="0000016B">
      <w:pPr>
        <w:rPr>
          <w:highlight w:val="green"/>
        </w:rPr>
      </w:pPr>
      <w:r w:rsidDel="00000000" w:rsidR="00000000" w:rsidRPr="00000000">
        <w:rPr>
          <w:rtl w:val="0"/>
        </w:rPr>
      </w:r>
    </w:p>
    <w:p w:rsidR="00000000" w:rsidDel="00000000" w:rsidP="00000000" w:rsidRDefault="00000000" w:rsidRPr="00000000" w14:paraId="0000016C">
      <w:pPr>
        <w:rPr>
          <w:highlight w:val="green"/>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jc w:val="center"/>
        <w:rPr/>
      </w:pPr>
      <w:r w:rsidDel="00000000" w:rsidR="00000000" w:rsidRPr="00000000">
        <w:rPr/>
        <w:drawing>
          <wp:inline distB="114300" distT="114300" distL="114300" distR="114300">
            <wp:extent cx="1368262" cy="2456653"/>
            <wp:effectExtent b="0" l="0" r="0" t="0"/>
            <wp:docPr id="2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368262" cy="245665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t xml:space="preserve">Iceland High-complexity Products 2018 (Incremental SDV Sensitivity)</w:t>
      </w:r>
    </w:p>
    <w:p w:rsidR="00000000" w:rsidDel="00000000" w:rsidP="00000000" w:rsidRDefault="00000000" w:rsidRPr="00000000" w14:paraId="00000172">
      <w:pPr>
        <w:pageBreakBefore w:val="0"/>
        <w:jc w:val="both"/>
        <w:rPr>
          <w:b w:val="1"/>
          <w:bCs w:val="1"/>
        </w:rPr>
      </w:pPr>
      <w:r w:rsidDel="00000000" w:rsidR="00000000" w:rsidRPr="00000000">
        <w:rPr>
          <w:rtl w:val="0"/>
        </w:rPr>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center"/>
        <w:rPr>
          <w:b w:val="1"/>
          <w:bCs w:val="1"/>
        </w:rPr>
      </w:pP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r>
    </w:p>
    <w:p w:rsidR="00000000" w:rsidDel="00000000" w:rsidP="00000000" w:rsidRDefault="00000000" w:rsidRPr="00000000" w14:paraId="00000176">
      <w:pPr>
        <w:pageBreakBefore w:val="0"/>
        <w:ind w:left="720" w:firstLine="720"/>
        <w:jc w:val="center"/>
        <w:rPr/>
      </w:pPr>
      <w:r w:rsidDel="00000000" w:rsidR="00000000" w:rsidRPr="00000000">
        <w:rPr>
          <w:rtl w:val="0"/>
        </w:rPr>
      </w:r>
    </w:p>
    <w:p w:rsidR="00000000" w:rsidDel="00000000" w:rsidP="00000000" w:rsidRDefault="00000000" w:rsidRPr="00000000" w14:paraId="00000177">
      <w:pPr>
        <w:pageBreakBefore w:val="0"/>
        <w:ind w:left="720" w:firstLine="720"/>
        <w:jc w:val="center"/>
        <w:rPr/>
      </w:pPr>
      <w:r w:rsidDel="00000000" w:rsidR="00000000" w:rsidRPr="00000000">
        <w:rPr>
          <w:rtl w:val="0"/>
        </w:rPr>
      </w:r>
    </w:p>
    <w:p w:rsidR="00000000" w:rsidDel="00000000" w:rsidP="00000000" w:rsidRDefault="00000000" w:rsidRPr="00000000" w14:paraId="00000178">
      <w:pPr>
        <w:pageBreakBefore w:val="0"/>
        <w:ind w:left="0" w:firstLine="0"/>
        <w:jc w:val="left"/>
        <w:rPr/>
      </w:pPr>
      <w:r w:rsidDel="00000000" w:rsidR="00000000" w:rsidRPr="00000000">
        <w:rPr>
          <w:rtl w:val="0"/>
        </w:rPr>
      </w:r>
    </w:p>
    <w:p w:rsidR="00000000" w:rsidDel="00000000" w:rsidP="00000000" w:rsidRDefault="00000000" w:rsidRPr="00000000" w14:paraId="00000179">
      <w:pPr>
        <w:pageBreakBefore w:val="0"/>
        <w:ind w:left="720" w:firstLine="720"/>
        <w:jc w:val="center"/>
        <w:rPr/>
      </w:pPr>
      <w:r w:rsidDel="00000000" w:rsidR="00000000" w:rsidRPr="00000000">
        <w:rPr>
          <w:rtl w:val="0"/>
        </w:rPr>
      </w:r>
    </w:p>
    <w:p w:rsidR="00000000" w:rsidDel="00000000" w:rsidP="00000000" w:rsidRDefault="00000000" w:rsidRPr="00000000" w14:paraId="0000017A">
      <w:pPr>
        <w:pageBreakBefore w:val="0"/>
        <w:ind w:left="720" w:firstLine="720"/>
        <w:jc w:val="center"/>
        <w:rPr/>
      </w:pPr>
      <w:r w:rsidDel="00000000" w:rsidR="00000000" w:rsidRPr="00000000">
        <w:rPr>
          <w:rtl w:val="0"/>
        </w:rPr>
      </w:r>
    </w:p>
    <w:p w:rsidR="00000000" w:rsidDel="00000000" w:rsidP="00000000" w:rsidRDefault="00000000" w:rsidRPr="00000000" w14:paraId="0000017B">
      <w:pPr>
        <w:ind w:left="720" w:firstLine="720"/>
        <w:jc w:val="center"/>
        <w:rPr/>
      </w:pPr>
      <w:r w:rsidDel="00000000" w:rsidR="00000000" w:rsidRPr="00000000">
        <w:rPr/>
        <w:drawing>
          <wp:inline distB="114300" distT="114300" distL="114300" distR="114300">
            <wp:extent cx="1373025" cy="2495624"/>
            <wp:effectExtent b="0" l="0" r="0" t="0"/>
            <wp:docPr id="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1373025" cy="249562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ind w:left="720" w:firstLine="720"/>
        <w:jc w:val="center"/>
        <w:rPr/>
      </w:pPr>
      <w:r w:rsidDel="00000000" w:rsidR="00000000" w:rsidRPr="00000000">
        <w:rPr>
          <w:rtl w:val="0"/>
        </w:rPr>
        <w:t xml:space="preserve">Iceland</w:t>
      </w:r>
      <w:r w:rsidDel="00000000" w:rsidR="00000000" w:rsidRPr="00000000">
        <w:rPr>
          <w:rtl w:val="0"/>
        </w:rPr>
        <w:t xml:space="preserve"> High-complexity Products 2018 (Decremental SDV Sensitivity)</w:t>
      </w:r>
    </w:p>
    <w:p w:rsidR="00000000" w:rsidDel="00000000" w:rsidP="00000000" w:rsidRDefault="00000000" w:rsidRPr="00000000" w14:paraId="0000017D">
      <w:pPr>
        <w:pageBreakBefore w:val="0"/>
        <w:ind w:left="720" w:firstLine="720"/>
        <w:jc w:val="center"/>
        <w:rPr/>
      </w:pPr>
      <w:r w:rsidDel="00000000" w:rsidR="00000000" w:rsidRPr="00000000">
        <w:rPr>
          <w:rtl w:val="0"/>
        </w:rPr>
      </w:r>
    </w:p>
    <w:p w:rsidR="00000000" w:rsidDel="00000000" w:rsidP="00000000" w:rsidRDefault="00000000" w:rsidRPr="00000000" w14:paraId="0000017E">
      <w:pPr>
        <w:pageBreakBefore w:val="0"/>
        <w:ind w:left="720" w:firstLine="720"/>
        <w:jc w:val="center"/>
        <w:rPr/>
      </w:pPr>
      <w:r w:rsidDel="00000000" w:rsidR="00000000" w:rsidRPr="00000000">
        <w:rPr>
          <w:rtl w:val="0"/>
        </w:rPr>
      </w:r>
    </w:p>
    <w:p w:rsidR="00000000" w:rsidDel="00000000" w:rsidP="00000000" w:rsidRDefault="00000000" w:rsidRPr="00000000" w14:paraId="0000017F">
      <w:pPr>
        <w:pageBreakBefore w:val="0"/>
        <w:ind w:left="720" w:firstLine="720"/>
        <w:jc w:val="center"/>
        <w:rPr/>
      </w:pPr>
      <w:r w:rsidDel="00000000" w:rsidR="00000000" w:rsidRPr="00000000">
        <w:rPr>
          <w:rtl w:val="0"/>
        </w:rPr>
      </w:r>
    </w:p>
    <w:p w:rsidR="00000000" w:rsidDel="00000000" w:rsidP="00000000" w:rsidRDefault="00000000" w:rsidRPr="00000000" w14:paraId="00000180">
      <w:pPr>
        <w:pageBreakBefore w:val="0"/>
        <w:ind w:left="720" w:firstLine="720"/>
        <w:jc w:val="center"/>
        <w:rPr/>
      </w:pPr>
      <w:r w:rsidDel="00000000" w:rsidR="00000000" w:rsidRPr="00000000">
        <w:rPr/>
        <w:drawing>
          <wp:inline distB="114300" distT="114300" distL="114300" distR="114300">
            <wp:extent cx="1363500" cy="2543266"/>
            <wp:effectExtent b="0" l="0" r="0" t="0"/>
            <wp:docPr id="26"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1363500" cy="2543266"/>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ind w:left="720" w:firstLine="720"/>
        <w:jc w:val="center"/>
        <w:rPr/>
      </w:pPr>
      <w:r w:rsidDel="00000000" w:rsidR="00000000" w:rsidRPr="00000000">
        <w:rPr>
          <w:rtl w:val="0"/>
        </w:rPr>
        <w:t xml:space="preserve">Iceland Food and Preparations 2018 (Incremental SDV Sensitivity)</w:t>
      </w:r>
    </w:p>
    <w:p w:rsidR="00000000" w:rsidDel="00000000" w:rsidP="00000000" w:rsidRDefault="00000000" w:rsidRPr="00000000" w14:paraId="00000182">
      <w:pPr>
        <w:pageBreakBefore w:val="0"/>
        <w:ind w:left="720" w:firstLine="720"/>
        <w:jc w:val="center"/>
        <w:rPr/>
      </w:pPr>
      <w:r w:rsidDel="00000000" w:rsidR="00000000" w:rsidRPr="00000000">
        <w:rPr>
          <w:rtl w:val="0"/>
        </w:rPr>
      </w:r>
    </w:p>
    <w:p w:rsidR="00000000" w:rsidDel="00000000" w:rsidP="00000000" w:rsidRDefault="00000000" w:rsidRPr="00000000" w14:paraId="00000183">
      <w:pPr>
        <w:pageBreakBefore w:val="0"/>
        <w:ind w:left="720" w:firstLine="720"/>
        <w:jc w:val="center"/>
        <w:rPr>
          <w:b w:val="1"/>
          <w:bCs w:val="1"/>
        </w:rPr>
      </w:pPr>
      <w:r w:rsidDel="00000000" w:rsidR="00000000" w:rsidRPr="00000000">
        <w:rPr/>
        <w:drawing>
          <wp:inline distB="114300" distT="114300" distL="114300" distR="114300">
            <wp:extent cx="2363625" cy="2342615"/>
            <wp:effectExtent b="0" l="0" r="0" t="0"/>
            <wp:docPr id="1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363625" cy="234261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ind w:left="720" w:firstLine="720"/>
        <w:jc w:val="center"/>
        <w:rPr/>
      </w:pPr>
      <w:r w:rsidDel="00000000" w:rsidR="00000000" w:rsidRPr="00000000">
        <w:rPr>
          <w:rtl w:val="0"/>
        </w:rPr>
        <w:t xml:space="preserve">Iceland Food and Preparations 2018 (Decremental SDV Sensitivity)</w:t>
      </w:r>
    </w:p>
    <w:p w:rsidR="00000000" w:rsidDel="00000000" w:rsidP="00000000" w:rsidRDefault="00000000" w:rsidRPr="00000000" w14:paraId="00000185">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86">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87">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88">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89">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8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Decreasing export of each industry in Iceland’s current production space by 60% respectively, we derive the contingency strategy shown below.  </w:t>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center"/>
        <w:rPr>
          <w:b w:val="1"/>
          <w:bCs w:val="1"/>
          <w:sz w:val="28"/>
          <w:szCs w:val="28"/>
        </w:rPr>
      </w:pPr>
      <w:r w:rsidDel="00000000" w:rsidR="00000000" w:rsidRPr="00000000">
        <w:rPr/>
        <w:drawing>
          <wp:inline distB="114300" distT="114300" distL="114300" distR="114300">
            <wp:extent cx="5478300" cy="2947616"/>
            <wp:effectExtent b="0" l="0" r="0" t="0"/>
            <wp:docPr id="19"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478300" cy="294761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ageBreakBefore w:val="0"/>
        <w:jc w:val="center"/>
        <w:rPr>
          <w:sz w:val="22"/>
          <w:szCs w:val="22"/>
        </w:rPr>
      </w:pPr>
      <w:r w:rsidDel="00000000" w:rsidR="00000000" w:rsidRPr="00000000">
        <w:rPr>
          <w:sz w:val="22"/>
          <w:szCs w:val="22"/>
          <w:rtl w:val="0"/>
        </w:rPr>
        <w:t xml:space="preserve">Iceland Contingency Strategy 2018</w:t>
      </w:r>
    </w:p>
    <w:p w:rsidR="00000000" w:rsidDel="00000000" w:rsidP="00000000" w:rsidRDefault="00000000" w:rsidRPr="00000000" w14:paraId="0000018F">
      <w:pPr>
        <w:pageBreakBefore w:val="0"/>
        <w:jc w:val="center"/>
        <w:rPr>
          <w:sz w:val="22"/>
          <w:szCs w:val="22"/>
        </w:rPr>
      </w:pPr>
      <w:r w:rsidDel="00000000" w:rsidR="00000000" w:rsidRPr="00000000">
        <w:rPr>
          <w:rtl w:val="0"/>
        </w:rPr>
      </w:r>
    </w:p>
    <w:p w:rsidR="00000000" w:rsidDel="00000000" w:rsidP="00000000" w:rsidRDefault="00000000" w:rsidRPr="00000000" w14:paraId="00000190">
      <w:pPr>
        <w:pageBreakBefore w:val="0"/>
        <w:jc w:val="both"/>
        <w:rPr>
          <w:b w:val="1"/>
          <w:bCs w:val="1"/>
        </w:rPr>
      </w:pPr>
      <w:r w:rsidDel="00000000" w:rsidR="00000000" w:rsidRPr="00000000">
        <w:rPr>
          <w:rtl w:val="0"/>
        </w:rPr>
      </w:r>
    </w:p>
    <w:p w:rsidR="00000000" w:rsidDel="00000000" w:rsidP="00000000" w:rsidRDefault="00000000" w:rsidRPr="00000000" w14:paraId="00000191">
      <w:pPr>
        <w:pageBreakBefore w:val="0"/>
        <w:jc w:val="both"/>
        <w:rPr>
          <w:b w:val="1"/>
          <w:bCs w:val="1"/>
        </w:rPr>
      </w:pPr>
      <w:r w:rsidDel="00000000" w:rsidR="00000000" w:rsidRPr="00000000">
        <w:rPr>
          <w:rtl w:val="0"/>
        </w:rPr>
      </w:r>
    </w:p>
    <w:p w:rsidR="00000000" w:rsidDel="00000000" w:rsidP="00000000" w:rsidRDefault="00000000" w:rsidRPr="00000000" w14:paraId="00000192">
      <w:pPr>
        <w:pageBreakBefore w:val="0"/>
        <w:jc w:val="both"/>
        <w:rPr>
          <w:b w:val="1"/>
          <w:bCs w:val="1"/>
        </w:rPr>
      </w:pPr>
      <w:r w:rsidDel="00000000" w:rsidR="00000000" w:rsidRPr="00000000">
        <w:rPr>
          <w:rtl w:val="0"/>
        </w:rPr>
      </w:r>
    </w:p>
    <w:p w:rsidR="00000000" w:rsidDel="00000000" w:rsidP="00000000" w:rsidRDefault="00000000" w:rsidRPr="00000000" w14:paraId="00000193">
      <w:pPr>
        <w:pageBreakBefore w:val="0"/>
        <w:jc w:val="both"/>
        <w:rPr>
          <w:b w:val="1"/>
          <w:bCs w:val="1"/>
        </w:rPr>
      </w:pPr>
      <w:r w:rsidDel="00000000" w:rsidR="00000000" w:rsidRPr="00000000">
        <w:rPr>
          <w:rtl w:val="0"/>
        </w:rPr>
      </w:r>
    </w:p>
    <w:p w:rsidR="00000000" w:rsidDel="00000000" w:rsidP="00000000" w:rsidRDefault="00000000" w:rsidRPr="00000000" w14:paraId="00000194">
      <w:pPr>
        <w:pageBreakBefore w:val="0"/>
        <w:jc w:val="both"/>
        <w:rPr>
          <w:b w:val="1"/>
          <w:bCs w:val="1"/>
        </w:rPr>
      </w:pPr>
      <w:r w:rsidDel="00000000" w:rsidR="00000000" w:rsidRPr="00000000">
        <w:rPr>
          <w:rtl w:val="0"/>
        </w:rPr>
      </w:r>
    </w:p>
    <w:p w:rsidR="00000000" w:rsidDel="00000000" w:rsidP="00000000" w:rsidRDefault="00000000" w:rsidRPr="00000000" w14:paraId="0000019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96">
      <w:pPr>
        <w:pageBreakBefore w:val="0"/>
        <w:jc w:val="both"/>
        <w:rPr>
          <w:b w:val="1"/>
          <w:bCs w:val="1"/>
        </w:rPr>
      </w:pP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98">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9B">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A4">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center"/>
        <w:rPr/>
      </w:pPr>
      <w:r w:rsidDel="00000000" w:rsidR="00000000" w:rsidRPr="00000000">
        <w:rPr>
          <w:rtl w:val="0"/>
        </w:rPr>
        <w:t xml:space="preserve">Figure 2: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b w:val="1"/>
          <w:bCs w:val="1"/>
        </w:rPr>
      </w:pPr>
      <w:r w:rsidDel="00000000" w:rsidR="00000000" w:rsidRPr="00000000">
        <w:rPr>
          <w:b w:val="1"/>
          <w:bCs w:val="1"/>
          <w:rtl w:val="0"/>
        </w:rPr>
        <w:t xml:space="preserve">5.2 SOI of Iceland and Its Implications</w:t>
      </w:r>
    </w:p>
    <w:p w:rsidR="00000000" w:rsidDel="00000000" w:rsidP="00000000" w:rsidRDefault="00000000" w:rsidRPr="00000000" w14:paraId="000001A9">
      <w:pPr>
        <w:pageBreakBefore w:val="0"/>
        <w:jc w:val="both"/>
        <w:rPr/>
      </w:pPr>
      <w:r w:rsidDel="00000000" w:rsidR="00000000" w:rsidRPr="00000000">
        <w:rPr>
          <w:rtl w:val="0"/>
        </w:rPr>
        <w:t xml:space="preserve">Iceland for instance, has a low level of structural optimality as compared with its developed peers. As the regression in Figure 7 suggests (the orange curve represents export increase and the blue curve stands for opportunity gain of the corresponding industry), Iceland demonstrates a low level of correlation with the suggested developmental path, having an adjusted R-square of around </w:t>
      </w:r>
      <w:r w:rsidDel="00000000" w:rsidR="00000000" w:rsidRPr="00000000">
        <w:rPr>
          <w:rtl w:val="0"/>
        </w:rPr>
        <w:t xml:space="preserve">1.9%</w:t>
      </w:r>
      <w:r w:rsidDel="00000000" w:rsidR="00000000" w:rsidRPr="00000000">
        <w:rPr>
          <w:rtl w:val="0"/>
        </w:rPr>
        <w:t xml:space="preserve">.</w:t>
      </w:r>
      <w:r w:rsidDel="00000000" w:rsidR="00000000" w:rsidRPr="00000000">
        <w:rPr>
          <w:rtl w:val="0"/>
        </w:rPr>
        <w:t xml:space="preserve"> Iceland ranks in top quartile among all countries in terms of SOI and has made a low rate of economic progress below its developed peers from 2013 to 2018 with a 5-year GDP growth rate of 6.03%, which is consistent with the regression result in Figure 6. This is in contrast to other developed economies such as Japan, where there is low SOI of around -5.7% and a corresponding GDP growth of 9.05% from 2013 to 2018, making it a much slower developing economy during the period. In sum, Iceland’s mixed economic progress from 2013 to 2018 can be at least partially explained by a development strategy that demonstrates a decent, but not perfect, level of matches with our suggested developmental path. In specific, Iceland invested heavily in the Transportation and Chemicals industries, while it should have focused more on </w:t>
      </w:r>
      <w:r w:rsidDel="00000000" w:rsidR="00000000" w:rsidRPr="00000000">
        <w:rPr>
          <w:rtl w:val="0"/>
        </w:rPr>
        <w:t xml:space="preserve">industry groups such as Energy Drilling and Mining</w:t>
      </w:r>
      <w:r w:rsidDel="00000000" w:rsidR="00000000" w:rsidRPr="00000000">
        <w:rPr>
          <w:rtl w:val="0"/>
        </w:rPr>
        <w:t xml:space="preserve">, and Precious Stones</w:t>
      </w:r>
      <w:r w:rsidDel="00000000" w:rsidR="00000000" w:rsidRPr="00000000">
        <w:rPr>
          <w:rtl w:val="0"/>
        </w:rPr>
        <w:t xml:space="preserve">. That being said, it stayed fairly in line with our expectations in the chemicals and textiles industry.</w:t>
      </w:r>
      <w:r w:rsidDel="00000000" w:rsidR="00000000" w:rsidRPr="00000000">
        <w:rPr>
          <w:rtl w:val="0"/>
        </w:rPr>
      </w:r>
    </w:p>
    <w:p w:rsidR="00000000" w:rsidDel="00000000" w:rsidP="00000000" w:rsidRDefault="00000000" w:rsidRPr="00000000" w14:paraId="000001AA">
      <w:pPr>
        <w:pageBreakBefore w:val="0"/>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drawing>
          <wp:inline distB="114300" distT="114300" distL="114300" distR="114300">
            <wp:extent cx="5968849" cy="2300288"/>
            <wp:effectExtent b="0" l="0" r="0" t="0"/>
            <wp:docPr id="1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68849"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t xml:space="preserve">Figure 7: SOI of Iceland (2009-2014)</w:t>
      </w:r>
    </w:p>
    <w:p w:rsidR="00000000" w:rsidDel="00000000" w:rsidP="00000000" w:rsidRDefault="00000000" w:rsidRPr="00000000" w14:paraId="000001AE">
      <w:pPr>
        <w:pageBreakBefore w:val="0"/>
        <w:jc w:val="both"/>
        <w:rPr>
          <w:b w:val="1"/>
          <w:bCs w:val="1"/>
        </w:rPr>
      </w:pPr>
      <w:r w:rsidDel="00000000" w:rsidR="00000000" w:rsidRPr="00000000">
        <w:rPr>
          <w:rtl w:val="0"/>
        </w:rPr>
      </w:r>
    </w:p>
    <w:p w:rsidR="00000000" w:rsidDel="00000000" w:rsidP="00000000" w:rsidRDefault="00000000" w:rsidRPr="00000000" w14:paraId="000001AF">
      <w:pPr>
        <w:pageBreakBefore w:val="0"/>
        <w:jc w:val="both"/>
        <w:rPr>
          <w:b w:val="1"/>
          <w:bCs w:val="1"/>
        </w:rPr>
      </w:pPr>
      <w:r w:rsidDel="00000000" w:rsidR="00000000" w:rsidRPr="00000000">
        <w:rPr>
          <w:rtl w:val="0"/>
        </w:rPr>
      </w:r>
    </w:p>
    <w:p w:rsidR="00000000" w:rsidDel="00000000" w:rsidP="00000000" w:rsidRDefault="00000000" w:rsidRPr="00000000" w14:paraId="000001B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pPr>
      <w:r w:rsidDel="00000000" w:rsidR="00000000" w:rsidRPr="00000000">
        <w:rPr>
          <w:rtl w:val="0"/>
        </w:rPr>
        <w:t xml:space="preserve">In conclusion, Iceland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Iceland on the industry group level. The product classification system we adopt allows us to measure the realized industry development for various industry groups and to observe that Iceland</w:t>
      </w:r>
      <w:r w:rsidDel="00000000" w:rsidR="00000000" w:rsidRPr="00000000">
        <w:rPr>
          <w:rtl w:val="0"/>
        </w:rPr>
        <w:t xml:space="preserve"> consistently relied on developing the </w:t>
      </w:r>
      <w:r w:rsidDel="00000000" w:rsidR="00000000" w:rsidRPr="00000000">
        <w:rPr>
          <w:rtl w:val="0"/>
        </w:rPr>
        <w:t xml:space="preserve">Transportation</w:t>
      </w:r>
      <w:r w:rsidDel="00000000" w:rsidR="00000000" w:rsidRPr="00000000">
        <w:rPr>
          <w:rtl w:val="0"/>
        </w:rPr>
        <w:t xml:space="preserve">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rtl w:val="0"/>
        </w:rPr>
        <w:t xml:space="preserve">Based on our analysis of the opportunity gain and a sensitivity analysis of major industry groups, Iceland can further its gains by prioritizing </w:t>
      </w:r>
      <w:r w:rsidDel="00000000" w:rsidR="00000000" w:rsidRPr="00000000">
        <w:rPr>
          <w:rtl w:val="0"/>
        </w:rPr>
        <w:t xml:space="preserve">Energy Drilling and Mining</w:t>
      </w:r>
      <w:r w:rsidDel="00000000" w:rsidR="00000000" w:rsidRPr="00000000">
        <w:rPr>
          <w:rtl w:val="0"/>
        </w:rPr>
        <w:t xml:space="preserve">, and Precious Stones. We further note that Iceland has a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Iceland,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D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B">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D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D">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D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F">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E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1">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E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3">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E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5">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E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7">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E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9">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EA">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4"/>
    <w:bookmarkEnd w:id="4"/>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3.png"/>
          <a:graphic>
            <a:graphicData uri="http://schemas.openxmlformats.org/drawingml/2006/picture">
              <pic:pic>
                <pic:nvPicPr>
                  <pic:cNvPr descr="horizontal line" id="0" name="image3.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4.jpg"/><Relationship Id="rId21" Type="http://schemas.openxmlformats.org/officeDocument/2006/relationships/image" Target="media/image23.png"/><Relationship Id="rId24" Type="http://schemas.openxmlformats.org/officeDocument/2006/relationships/image" Target="media/image1.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0.png"/><Relationship Id="rId25" Type="http://schemas.openxmlformats.org/officeDocument/2006/relationships/image" Target="media/image25.png"/><Relationship Id="rId28" Type="http://schemas.openxmlformats.org/officeDocument/2006/relationships/image" Target="media/image1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3.png"/><Relationship Id="rId7" Type="http://schemas.openxmlformats.org/officeDocument/2006/relationships/image" Target="media/image29.png"/><Relationship Id="rId8" Type="http://schemas.openxmlformats.org/officeDocument/2006/relationships/image" Target="media/image17.png"/><Relationship Id="rId31" Type="http://schemas.openxmlformats.org/officeDocument/2006/relationships/image" Target="media/image28.png"/><Relationship Id="rId30" Type="http://schemas.openxmlformats.org/officeDocument/2006/relationships/image" Target="media/image12.png"/><Relationship Id="rId11" Type="http://schemas.openxmlformats.org/officeDocument/2006/relationships/image" Target="media/image27.png"/><Relationship Id="rId33" Type="http://schemas.openxmlformats.org/officeDocument/2006/relationships/image" Target="media/image18.png"/><Relationship Id="rId10" Type="http://schemas.openxmlformats.org/officeDocument/2006/relationships/image" Target="media/image20.png"/><Relationship Id="rId32" Type="http://schemas.openxmlformats.org/officeDocument/2006/relationships/image" Target="media/image24.png"/><Relationship Id="rId13" Type="http://schemas.openxmlformats.org/officeDocument/2006/relationships/image" Target="media/image7.png"/><Relationship Id="rId35" Type="http://schemas.openxmlformats.org/officeDocument/2006/relationships/image" Target="media/image19.png"/><Relationship Id="rId12" Type="http://schemas.openxmlformats.org/officeDocument/2006/relationships/image" Target="media/image31.png"/><Relationship Id="rId34" Type="http://schemas.openxmlformats.org/officeDocument/2006/relationships/image" Target="media/image9.png"/><Relationship Id="rId15" Type="http://schemas.openxmlformats.org/officeDocument/2006/relationships/image" Target="media/image6.png"/><Relationship Id="rId37" Type="http://schemas.openxmlformats.org/officeDocument/2006/relationships/footer" Target="footer2.xml"/><Relationship Id="rId14" Type="http://schemas.openxmlformats.org/officeDocument/2006/relationships/image" Target="media/image2.png"/><Relationship Id="rId36" Type="http://schemas.openxmlformats.org/officeDocument/2006/relationships/header" Target="header1.xml"/><Relationship Id="rId17" Type="http://schemas.openxmlformats.org/officeDocument/2006/relationships/image" Target="media/image11.png"/><Relationship Id="rId39" Type="http://schemas.openxmlformats.org/officeDocument/2006/relationships/footer" Target="footer1.xml"/><Relationship Id="rId16" Type="http://schemas.openxmlformats.org/officeDocument/2006/relationships/image" Target="media/image10.png"/><Relationship Id="rId38" Type="http://schemas.openxmlformats.org/officeDocument/2006/relationships/footer" Target="footer3.xml"/><Relationship Id="rId19" Type="http://schemas.openxmlformats.org/officeDocument/2006/relationships/image" Target="media/image1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