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16" name="image4.png"/>
            <a:graphic>
              <a:graphicData uri="http://schemas.openxmlformats.org/drawingml/2006/picture">
                <pic:pic>
                  <pic:nvPicPr>
                    <pic:cNvPr descr="horizontal line" id="0" name="image4.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8" name="image16.png"/>
            <a:graphic>
              <a:graphicData uri="http://schemas.openxmlformats.org/drawingml/2006/picture">
                <pic:pic>
                  <pic:nvPicPr>
                    <pic:cNvPr id="0" name="image16.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Nigeria</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rPr>
          <w:sz w:val="40"/>
          <w:szCs w:val="40"/>
        </w:rPr>
      </w:pPr>
      <w:r w:rsidDel="00000000" w:rsidR="00000000" w:rsidRPr="00000000">
        <w:rPr>
          <w:rFonts w:ascii="PT Sans Narrow" w:cs="PT Sans Narrow" w:eastAsia="PT Sans Narrow" w:hAnsi="PT Sans Narrow"/>
          <w:sz w:val="28"/>
          <w:szCs w:val="28"/>
          <w:rtl w:val="0"/>
        </w:rPr>
        <w:t xml:space="preserve">Ajit Akole, Alex Wei-Liang Ku, Sannidhya Modi, Nouhaila Elmajidi, Alexandra Garcia</w:t>
      </w:r>
      <w:r w:rsidDel="00000000" w:rsidR="00000000" w:rsidRPr="00000000">
        <w:rPr>
          <w:rFonts w:ascii="PT Sans Narrow" w:cs="PT Sans Narrow" w:eastAsia="PT Sans Narrow" w:hAnsi="PT Sans Narrow"/>
          <w:sz w:val="28"/>
          <w:szCs w:val="28"/>
          <w:rtl w:val="0"/>
        </w:rPr>
        <w:t xml:space="preserve">a</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Nigeria</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Nigeria went through during the period from 2013 to 2018. Specifically, we dive into the topic through a macroeconomic overview of Nigeria from the perspective of Gross Domestic Product (GDP) and Economic Complexity Index (ECI), which reflect countries’ production capability and production structure, respectively. We find that during the period of our interest, Nigeria demonstrated a moderate level of economic growth with an average annual G</w:t>
      </w:r>
      <w:r w:rsidDel="00000000" w:rsidR="00000000" w:rsidRPr="00000000">
        <w:rPr>
          <w:rtl w:val="0"/>
        </w:rPr>
        <w:t xml:space="preserve">DP growth rate of 3.06%, concurrent with a decrease in economic complexity as compared with other major developed</w:t>
      </w:r>
      <w:r w:rsidDel="00000000" w:rsidR="00000000" w:rsidRPr="00000000">
        <w:rPr>
          <w:rtl w:val="0"/>
        </w:rPr>
        <w:t xml:space="preserve"> economies. </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lack of progress during the period, we believe, can be partially explained through analysis of the economic and product complexity structure of Nigeria on the industry group level. The product classification system we adopt allows us to measure the realized industry development for various industry groups and to observe that Nigerai</w:t>
      </w:r>
      <w:r w:rsidDel="00000000" w:rsidR="00000000" w:rsidRPr="00000000">
        <w:rPr>
          <w:rtl w:val="0"/>
        </w:rPr>
        <w:t xml:space="preserve"> consistently relied on developing the Animal and By-product industry during the period, while its developed counterparts and emerging economies around the globe have adopted much more complex and progressive paths. </w:t>
      </w: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a sensitivity analysis of major industry groups, Nigeria can further its gains by prioritizing High Complexity Products, Transportation, and Machinery and Construction. We further note that Nigeria has a slightly mismatched development strategy that indicates a moderately high (compared to other developed countries) level of structural optimality on the complexity level, having an adjusted R-square of around 24.1%. Since a significant positive correlation exists between five-year GDP growth and the structural optimality index of an economy as we define and calculate, Nigeria, however, still has a suboptimal growth experience as compared with fast-growing economies both on a regional scale and on a global scale, and has the potential to further its economic gains through industrial structure optimization as suggested in the paper.</w:t>
      </w:r>
      <w:r w:rsidDel="00000000" w:rsidR="00000000" w:rsidRPr="00000000">
        <w:rPr>
          <w:rtl w:val="0"/>
        </w:rPr>
      </w:r>
    </w:p>
    <w:p w:rsidR="00000000" w:rsidDel="00000000" w:rsidP="00000000" w:rsidRDefault="00000000" w:rsidRPr="00000000" w14:paraId="0000001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rtl w:val="0"/>
        </w:rPr>
        <w:t xml:space="preserve">In this report, we aim to uncover the economic path Nigeria went through during the period from 2013 to 2018. Specifically, we dive into the topic through a macroeconomic overview of Nigeria from the perspective of Gross Domestic Product (GDP) and Economic Complexity Index (ECI), which reflect countries’ production capability and production structure, respectively. We then analyze the industrial framework and changes of Nigeria during the period based on quantitative measures such as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Nigeria, as deduced from regression models we have established on a global scale, which take into account countries’ stances in their product space.</w:t>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A">
      <w:pPr>
        <w:pageBreakBefore w:val="0"/>
        <w:jc w:val="both"/>
        <w:rPr/>
      </w:pPr>
      <w:r w:rsidDel="00000000" w:rsidR="00000000" w:rsidRPr="00000000">
        <w:rPr>
          <w:rtl w:val="0"/>
        </w:rPr>
        <w:t xml:space="preserve">Figure 1 illustrates the time-series GDP results for Nigeria and three of its peer countries (Morocco, South Africa, Egypt) from 2013-2018. In contrast to the other countries, which generally displayed constant growth over all years, Nigeria had a slight dip in GDP from 2015-2016. Nigeria’s average annual growth rate of 3.06% over the five-year period is similar to that of its peers, which are 4.02%, 2.36%, and 4.96% for Morocco, South Africa, Egypt respectively.</w:t>
      </w:r>
    </w:p>
    <w:p w:rsidR="00000000" w:rsidDel="00000000" w:rsidP="00000000" w:rsidRDefault="00000000" w:rsidRPr="00000000" w14:paraId="0000001B">
      <w:pPr>
        <w:pageBreakBefore w:val="0"/>
        <w:jc w:val="center"/>
        <w:rPr/>
      </w:pPr>
      <w:r w:rsidDel="00000000" w:rsidR="00000000" w:rsidRPr="00000000">
        <w:rPr>
          <w:rtl w:val="0"/>
        </w:rPr>
      </w:r>
    </w:p>
    <w:p w:rsidR="00000000" w:rsidDel="00000000" w:rsidP="00000000" w:rsidRDefault="00000000" w:rsidRPr="00000000" w14:paraId="0000001C">
      <w:pPr>
        <w:pageBreakBefore w:val="0"/>
        <w:jc w:val="center"/>
        <w:rPr/>
      </w:pPr>
      <w:r w:rsidDel="00000000" w:rsidR="00000000" w:rsidRPr="00000000">
        <w:rPr/>
        <w:drawing>
          <wp:inline distB="114300" distT="114300" distL="114300" distR="114300">
            <wp:extent cx="3762375" cy="2514600"/>
            <wp:effectExtent b="0" l="0" r="0" t="0"/>
            <wp:docPr id="8"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376237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ageBreakBefore w:val="0"/>
        <w:jc w:val="center"/>
        <w:rPr/>
      </w:pPr>
      <w:r w:rsidDel="00000000" w:rsidR="00000000" w:rsidRPr="00000000">
        <w:rPr>
          <w:rtl w:val="0"/>
        </w:rPr>
      </w:r>
    </w:p>
    <w:p w:rsidR="00000000" w:rsidDel="00000000" w:rsidP="00000000" w:rsidRDefault="00000000" w:rsidRPr="00000000" w14:paraId="0000001E">
      <w:pPr>
        <w:pageBreakBefore w:val="0"/>
        <w:jc w:val="center"/>
        <w:rPr/>
      </w:pPr>
      <w:r w:rsidDel="00000000" w:rsidR="00000000" w:rsidRPr="00000000">
        <w:rPr>
          <w:rtl w:val="0"/>
        </w:rPr>
        <w:t xml:space="preserve">Figure 1: GDP Comparison Among Peer Countries</w:t>
      </w:r>
    </w:p>
    <w:p w:rsidR="00000000" w:rsidDel="00000000" w:rsidP="00000000" w:rsidRDefault="00000000" w:rsidRPr="00000000" w14:paraId="0000001F">
      <w:pPr>
        <w:pageBreakBefore w:val="0"/>
        <w:jc w:val="center"/>
        <w:rPr/>
      </w:pPr>
      <w:r w:rsidDel="00000000" w:rsidR="00000000" w:rsidRPr="00000000">
        <w:rPr>
          <w:rtl w:val="0"/>
        </w:rPr>
      </w:r>
    </w:p>
    <w:p w:rsidR="00000000" w:rsidDel="00000000" w:rsidP="00000000" w:rsidRDefault="00000000" w:rsidRPr="00000000" w14:paraId="00000020">
      <w:pPr>
        <w:pageBreakBefore w:val="0"/>
        <w:jc w:val="center"/>
        <w:rPr/>
      </w:pPr>
      <w:r w:rsidDel="00000000" w:rsidR="00000000" w:rsidRPr="00000000">
        <w:rPr>
          <w:rtl w:val="0"/>
        </w:rPr>
      </w:r>
    </w:p>
    <w:p w:rsidR="00000000" w:rsidDel="00000000" w:rsidP="00000000" w:rsidRDefault="00000000" w:rsidRPr="00000000" w14:paraId="00000021">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2">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exhibits a similar growth pattern for Nigeria. As illustrated in Figure 2 below, Nigeria (-94.74% ECI change) exhibited a decrease in terms of its production capability from 2013 to 2018, which is similar to Egypt (-2.67%), but different from Morocco (3.62%) and South Africa (31.25%). Ultimately, Nigeria is the weakest of the peer country set, as it displays the lowest ECI change and second lowest GDP growth rate across the period.</w:t>
      </w:r>
    </w:p>
    <w:p w:rsidR="00000000" w:rsidDel="00000000" w:rsidP="00000000" w:rsidRDefault="00000000" w:rsidRPr="00000000" w14:paraId="00000023">
      <w:pPr>
        <w:pageBreakBefore w:val="0"/>
        <w:jc w:val="both"/>
        <w:rPr/>
      </w:pPr>
      <w:r w:rsidDel="00000000" w:rsidR="00000000" w:rsidRPr="00000000">
        <w:rPr>
          <w:rtl w:val="0"/>
        </w:rPr>
      </w:r>
    </w:p>
    <w:p w:rsidR="00000000" w:rsidDel="00000000" w:rsidP="00000000" w:rsidRDefault="00000000" w:rsidRPr="00000000" w14:paraId="00000024">
      <w:pPr>
        <w:pageBreakBefore w:val="0"/>
        <w:jc w:val="center"/>
        <w:rPr/>
      </w:pPr>
      <w:r w:rsidDel="00000000" w:rsidR="00000000" w:rsidRPr="00000000">
        <w:rPr/>
        <w:drawing>
          <wp:inline distB="114300" distT="114300" distL="114300" distR="114300">
            <wp:extent cx="3752850" cy="2514600"/>
            <wp:effectExtent b="0" l="0" r="0" t="0"/>
            <wp:docPr id="1"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375285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pageBreakBefore w:val="0"/>
        <w:jc w:val="center"/>
        <w:rPr/>
      </w:pPr>
      <w:r w:rsidDel="00000000" w:rsidR="00000000" w:rsidRPr="00000000">
        <w:rPr>
          <w:rtl w:val="0"/>
        </w:rPr>
        <w:t xml:space="preserve">       Figure 2: ECI Comparison                </w:t>
      </w:r>
    </w:p>
    <w:p w:rsidR="00000000" w:rsidDel="00000000" w:rsidP="00000000" w:rsidRDefault="00000000" w:rsidRPr="00000000" w14:paraId="00000027">
      <w:pPr>
        <w:pageBreakBefore w:val="0"/>
        <w:jc w:val="left"/>
        <w:rPr/>
      </w:pPr>
      <w:r w:rsidDel="00000000" w:rsidR="00000000" w:rsidRPr="00000000">
        <w:rPr>
          <w:rtl w:val="0"/>
        </w:rPr>
      </w:r>
    </w:p>
    <w:p w:rsidR="00000000" w:rsidDel="00000000" w:rsidP="00000000" w:rsidRDefault="00000000" w:rsidRPr="00000000" w14:paraId="00000028">
      <w:pPr>
        <w:pageBreakBefore w:val="0"/>
        <w:jc w:val="center"/>
        <w:rPr/>
      </w:pPr>
      <w:r w:rsidDel="00000000" w:rsidR="00000000" w:rsidRPr="00000000">
        <w:rPr>
          <w:rtl w:val="0"/>
        </w:rPr>
        <w:t xml:space="preserve">           </w:t>
      </w:r>
      <w:r w:rsidDel="00000000" w:rsidR="00000000" w:rsidRPr="00000000">
        <w:rPr/>
        <w:drawing>
          <wp:inline distB="114300" distT="114300" distL="114300" distR="114300">
            <wp:extent cx="4200525" cy="2514600"/>
            <wp:effectExtent b="0" l="0" r="0" t="0"/>
            <wp:docPr id="30"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420052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ageBreakBefore w:val="0"/>
        <w:jc w:val="center"/>
        <w:rPr/>
      </w:pPr>
      <w:r w:rsidDel="00000000" w:rsidR="00000000" w:rsidRPr="00000000">
        <w:rPr>
          <w:rtl w:val="0"/>
        </w:rPr>
        <w:t xml:space="preserve"> Figure 3: GDP Growth and ECI (Nigeria)</w:t>
      </w:r>
    </w:p>
    <w:p w:rsidR="00000000" w:rsidDel="00000000" w:rsidP="00000000" w:rsidRDefault="00000000" w:rsidRPr="00000000" w14:paraId="0000002A">
      <w:pPr>
        <w:pageBreakBefore w:val="0"/>
        <w:jc w:val="both"/>
        <w:rPr/>
      </w:pPr>
      <w:r w:rsidDel="00000000" w:rsidR="00000000" w:rsidRPr="00000000">
        <w:rPr>
          <w:rtl w:val="0"/>
        </w:rPr>
      </w:r>
    </w:p>
    <w:p w:rsidR="00000000" w:rsidDel="00000000" w:rsidP="00000000" w:rsidRDefault="00000000" w:rsidRPr="00000000" w14:paraId="0000002B">
      <w:pPr>
        <w:pageBreakBefore w:val="0"/>
        <w:jc w:val="both"/>
        <w:rPr/>
      </w:pPr>
      <w:r w:rsidDel="00000000" w:rsidR="00000000" w:rsidRPr="00000000">
        <w:rPr>
          <w:rtl w:val="0"/>
        </w:rPr>
        <w:t xml:space="preserve">Figure 3 offers a further comparison of GDP Growth and ECI over the time span from 2013 to 2018 for Nigeria. The increase in GDP during the period from 2013 to 2018 is accompanied by a sharp decline in ECI. The results show that the economic growth experienced by Nigeria during the period from 2013 to 2018 is not very consistent with the predictions by ECI and Nigeria did not effectively make strides to develop a competitive product space that helps to accumulate complicated knowledge and technology. In order to provide a more concrete answer to why this has happened, we will dive into an analysis of Nigeria’s production structure and its product space designs in the next few chapters. </w:t>
      </w:r>
    </w:p>
    <w:p w:rsidR="00000000" w:rsidDel="00000000" w:rsidP="00000000" w:rsidRDefault="00000000" w:rsidRPr="00000000" w14:paraId="0000002C">
      <w:pPr>
        <w:pageBreakBefore w:val="0"/>
        <w:jc w:val="both"/>
        <w:rPr>
          <w:b w:val="1"/>
          <w:bCs w:val="1"/>
        </w:rPr>
      </w:pPr>
      <w:r w:rsidDel="00000000" w:rsidR="00000000" w:rsidRPr="00000000">
        <w:rPr>
          <w:rtl w:val="0"/>
        </w:rPr>
      </w:r>
    </w:p>
    <w:p w:rsidR="00000000" w:rsidDel="00000000" w:rsidP="00000000" w:rsidRDefault="00000000" w:rsidRPr="00000000" w14:paraId="0000002D">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E">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F">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0">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31">
      <w:pPr>
        <w:pageBreakBefore w:val="0"/>
        <w:jc w:val="both"/>
        <w:rPr/>
      </w:pPr>
      <w:r w:rsidDel="00000000" w:rsidR="00000000" w:rsidRPr="00000000">
        <w:rPr>
          <w:rtl w:val="0"/>
        </w:rPr>
      </w:r>
    </w:p>
    <w:p w:rsidR="00000000" w:rsidDel="00000000" w:rsidP="00000000" w:rsidRDefault="00000000" w:rsidRPr="00000000" w14:paraId="00000032">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3">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4">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5">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6">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7">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8">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4">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0">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A">
      <w:pPr>
        <w:pageBreakBefore w:val="0"/>
        <w:jc w:val="both"/>
        <w:rPr/>
      </w:pPr>
      <w:r w:rsidDel="00000000" w:rsidR="00000000" w:rsidRPr="00000000">
        <w:rPr>
          <w:rtl w:val="0"/>
        </w:rPr>
      </w:r>
    </w:p>
    <w:p w:rsidR="00000000" w:rsidDel="00000000" w:rsidP="00000000" w:rsidRDefault="00000000" w:rsidRPr="00000000" w14:paraId="0000005B">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5C">
      <w:pPr>
        <w:pageBreakBefore w:val="0"/>
        <w:jc w:val="both"/>
        <w:rPr/>
      </w:pPr>
      <w:r w:rsidDel="00000000" w:rsidR="00000000" w:rsidRPr="00000000">
        <w:rPr>
          <w:rtl w:val="0"/>
        </w:rPr>
      </w:r>
    </w:p>
    <w:p w:rsidR="00000000" w:rsidDel="00000000" w:rsidP="00000000" w:rsidRDefault="00000000" w:rsidRPr="00000000" w14:paraId="0000005D">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5E">
      <w:pPr>
        <w:pageBreakBefore w:val="0"/>
        <w:jc w:val="both"/>
        <w:rPr/>
      </w:pPr>
      <w:r w:rsidDel="00000000" w:rsidR="00000000" w:rsidRPr="00000000">
        <w:rPr>
          <w:rtl w:val="0"/>
        </w:rPr>
      </w:r>
    </w:p>
    <w:p w:rsidR="00000000" w:rsidDel="00000000" w:rsidP="00000000" w:rsidRDefault="00000000" w:rsidRPr="00000000" w14:paraId="0000005F">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0">
            <w:pPr>
              <w:pageBreakBefore w:val="0"/>
              <w:jc w:val="center"/>
              <w:rPr/>
            </w:pPr>
            <w:r w:rsidDel="00000000" w:rsidR="00000000" w:rsidRPr="00000000">
              <w:rPr>
                <w:rtl w:val="0"/>
              </w:rPr>
            </w:r>
          </w:p>
        </w:tc>
        <w:tc>
          <w:tcPr/>
          <w:p w:rsidR="00000000" w:rsidDel="00000000" w:rsidP="00000000" w:rsidRDefault="00000000" w:rsidRPr="00000000" w14:paraId="00000061">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2">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3">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4">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65">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66">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67">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68">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9">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6A">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6B">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6C">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D">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E">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F">
            <w:pPr>
              <w:pageBreakBefore w:val="0"/>
              <w:jc w:val="center"/>
              <w:rPr/>
            </w:pPr>
            <w:r w:rsidDel="00000000" w:rsidR="00000000" w:rsidRPr="00000000">
              <w:rPr>
                <w:rtl w:val="0"/>
              </w:rPr>
              <w:t xml:space="preserve">107</w:t>
            </w:r>
          </w:p>
        </w:tc>
      </w:tr>
    </w:tbl>
    <w:p w:rsidR="00000000" w:rsidDel="00000000" w:rsidP="00000000" w:rsidRDefault="00000000" w:rsidRPr="00000000" w14:paraId="00000070">
      <w:pPr>
        <w:pageBreakBefore w:val="0"/>
        <w:jc w:val="center"/>
        <w:rPr/>
      </w:pPr>
      <w:r w:rsidDel="00000000" w:rsidR="00000000" w:rsidRPr="00000000">
        <w:rPr>
          <w:rtl w:val="0"/>
        </w:rPr>
      </w:r>
    </w:p>
    <w:p w:rsidR="00000000" w:rsidDel="00000000" w:rsidP="00000000" w:rsidRDefault="00000000" w:rsidRPr="00000000" w14:paraId="00000071">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72">
      <w:pPr>
        <w:pageBreakBefore w:val="0"/>
        <w:jc w:val="both"/>
        <w:rPr/>
      </w:pPr>
      <w:r w:rsidDel="00000000" w:rsidR="00000000" w:rsidRPr="00000000">
        <w:rPr>
          <w:rtl w:val="0"/>
        </w:rPr>
      </w:r>
    </w:p>
    <w:p w:rsidR="00000000" w:rsidDel="00000000" w:rsidP="00000000" w:rsidRDefault="00000000" w:rsidRPr="00000000" w14:paraId="00000073">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4">
            <w:pPr>
              <w:pageBreakBefore w:val="0"/>
              <w:jc w:val="center"/>
              <w:rPr/>
            </w:pPr>
            <w:r w:rsidDel="00000000" w:rsidR="00000000" w:rsidRPr="00000000">
              <w:rPr>
                <w:rtl w:val="0"/>
              </w:rPr>
            </w:r>
          </w:p>
        </w:tc>
        <w:tc>
          <w:tcPr/>
          <w:p w:rsidR="00000000" w:rsidDel="00000000" w:rsidP="00000000" w:rsidRDefault="00000000" w:rsidRPr="00000000" w14:paraId="00000075">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6">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7">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8">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9">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7A">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7B">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7C">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D">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7E">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7F">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80">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1">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2">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3">
            <w:pPr>
              <w:pageBreakBefore w:val="0"/>
              <w:jc w:val="center"/>
              <w:rPr/>
            </w:pPr>
            <w:r w:rsidDel="00000000" w:rsidR="00000000" w:rsidRPr="00000000">
              <w:rPr>
                <w:rtl w:val="0"/>
              </w:rPr>
              <w:t xml:space="preserve">21</w:t>
            </w:r>
          </w:p>
        </w:tc>
      </w:tr>
    </w:tbl>
    <w:p w:rsidR="00000000" w:rsidDel="00000000" w:rsidP="00000000" w:rsidRDefault="00000000" w:rsidRPr="00000000" w14:paraId="00000084">
      <w:pPr>
        <w:pageBreakBefore w:val="0"/>
        <w:jc w:val="center"/>
        <w:rPr/>
      </w:pPr>
      <w:r w:rsidDel="00000000" w:rsidR="00000000" w:rsidRPr="00000000">
        <w:rPr>
          <w:rtl w:val="0"/>
        </w:rPr>
      </w:r>
    </w:p>
    <w:p w:rsidR="00000000" w:rsidDel="00000000" w:rsidP="00000000" w:rsidRDefault="00000000" w:rsidRPr="00000000" w14:paraId="00000085">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86">
      <w:pPr>
        <w:pageBreakBefore w:val="0"/>
        <w:jc w:val="center"/>
        <w:rPr>
          <w:sz w:val="20"/>
          <w:szCs w:val="20"/>
        </w:rPr>
      </w:pPr>
      <w:r w:rsidDel="00000000" w:rsidR="00000000" w:rsidRPr="00000000">
        <w:rPr>
          <w:rtl w:val="0"/>
        </w:rPr>
      </w:r>
    </w:p>
    <w:p w:rsidR="00000000" w:rsidDel="00000000" w:rsidP="00000000" w:rsidRDefault="00000000" w:rsidRPr="00000000" w14:paraId="00000087">
      <w:pPr>
        <w:pageBreakBefore w:val="0"/>
        <w:jc w:val="center"/>
        <w:rPr/>
      </w:pPr>
      <w:r w:rsidDel="00000000" w:rsidR="00000000" w:rsidRPr="00000000">
        <w:rPr>
          <w:rtl w:val="0"/>
        </w:rPr>
      </w:r>
    </w:p>
    <w:p w:rsidR="00000000" w:rsidDel="00000000" w:rsidP="00000000" w:rsidRDefault="00000000" w:rsidRPr="00000000" w14:paraId="00000088">
      <w:pPr>
        <w:pageBreakBefore w:val="0"/>
        <w:jc w:val="both"/>
        <w:rPr>
          <w:b w:val="1"/>
          <w:bCs w:val="1"/>
        </w:rPr>
      </w:pPr>
      <w:r w:rsidDel="00000000" w:rsidR="00000000" w:rsidRPr="00000000">
        <w:rPr>
          <w:rtl w:val="0"/>
        </w:rPr>
      </w:r>
    </w:p>
    <w:p w:rsidR="00000000" w:rsidDel="00000000" w:rsidP="00000000" w:rsidRDefault="00000000" w:rsidRPr="00000000" w14:paraId="00000089">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A">
      <w:pPr>
        <w:pageBreakBefore w:val="0"/>
        <w:jc w:val="both"/>
        <w:rPr/>
      </w:pPr>
      <w:r w:rsidDel="00000000" w:rsidR="00000000" w:rsidRPr="00000000">
        <w:rPr>
          <w:rtl w:val="0"/>
        </w:rPr>
        <w:t xml:space="preserve">Based on the product categorization aforementioned, we aim to capture Nigeria’s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US and the 18 product groups in 2013 and 2018 through subtraction, where a positive RID indicates a shortening of the distance (i.e., advancement of the industry), and a negative RID indicates the reverse.</w:t>
      </w:r>
    </w:p>
    <w:p w:rsidR="00000000" w:rsidDel="00000000" w:rsidP="00000000" w:rsidRDefault="00000000" w:rsidRPr="00000000" w14:paraId="0000008B">
      <w:pPr>
        <w:pageBreakBefore w:val="0"/>
        <w:jc w:val="both"/>
        <w:rPr/>
      </w:pPr>
      <w:r w:rsidDel="00000000" w:rsidR="00000000" w:rsidRPr="00000000">
        <w:rPr>
          <w:rtl w:val="0"/>
        </w:rPr>
      </w:r>
    </w:p>
    <w:p w:rsidR="00000000" w:rsidDel="00000000" w:rsidP="00000000" w:rsidRDefault="00000000" w:rsidRPr="00000000" w14:paraId="0000008C">
      <w:pPr>
        <w:pageBreakBefore w:val="0"/>
        <w:jc w:val="center"/>
        <w:rPr/>
      </w:pPr>
      <w:r w:rsidDel="00000000" w:rsidR="00000000" w:rsidRPr="00000000">
        <w:rPr/>
        <w:drawing>
          <wp:inline distB="114300" distT="114300" distL="114300" distR="114300">
            <wp:extent cx="2363625" cy="4684585"/>
            <wp:effectExtent b="0" l="0" r="0" t="0"/>
            <wp:docPr id="13"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2363625" cy="468458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ageBreakBefore w:val="0"/>
        <w:jc w:val="center"/>
        <w:rPr/>
      </w:pPr>
      <w:r w:rsidDel="00000000" w:rsidR="00000000" w:rsidRPr="00000000">
        <w:rPr>
          <w:rtl w:val="0"/>
        </w:rPr>
        <w:t xml:space="preserve">Table 2: Realized Industry Development (RID) of Nigeria</w:t>
      </w:r>
    </w:p>
    <w:p w:rsidR="00000000" w:rsidDel="00000000" w:rsidP="00000000" w:rsidRDefault="00000000" w:rsidRPr="00000000" w14:paraId="0000008E">
      <w:pPr>
        <w:pageBreakBefore w:val="0"/>
        <w:jc w:val="both"/>
        <w:rPr>
          <w:b w:val="1"/>
          <w:bCs w:val="1"/>
        </w:rPr>
      </w:pPr>
      <w:r w:rsidDel="00000000" w:rsidR="00000000" w:rsidRPr="00000000">
        <w:rPr>
          <w:rtl w:val="0"/>
        </w:rPr>
      </w:r>
    </w:p>
    <w:p w:rsidR="00000000" w:rsidDel="00000000" w:rsidP="00000000" w:rsidRDefault="00000000" w:rsidRPr="00000000" w14:paraId="0000008F">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90">
      <w:pPr>
        <w:pageBreakBefore w:val="0"/>
        <w:jc w:val="both"/>
        <w:rPr/>
      </w:pPr>
      <w:r w:rsidDel="00000000" w:rsidR="00000000" w:rsidRPr="00000000">
        <w:rPr>
          <w:rtl w:val="0"/>
        </w:rPr>
        <w:t xml:space="preserve">Table 3 and 4 below summarize how the production strategy adopted by Nigeria compares with leading economies and a selected group of emerging economies in the world, as measured in RID. </w:t>
      </w:r>
    </w:p>
    <w:p w:rsidR="00000000" w:rsidDel="00000000" w:rsidP="00000000" w:rsidRDefault="00000000" w:rsidRPr="00000000" w14:paraId="00000091">
      <w:pPr>
        <w:pageBreakBefore w:val="0"/>
        <w:jc w:val="both"/>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92">
            <w:pPr>
              <w:pageBreakBefore w:val="0"/>
              <w:jc w:val="both"/>
              <w:rPr/>
            </w:pPr>
            <w:r w:rsidDel="00000000" w:rsidR="00000000" w:rsidRPr="00000000">
              <w:rPr>
                <w:rtl w:val="0"/>
              </w:rPr>
              <w:t xml:space="preserve">Ranking</w:t>
            </w:r>
          </w:p>
        </w:tc>
        <w:tc>
          <w:tcPr/>
          <w:p w:rsidR="00000000" w:rsidDel="00000000" w:rsidP="00000000" w:rsidRDefault="00000000" w:rsidRPr="00000000" w14:paraId="00000093">
            <w:pPr>
              <w:pageBreakBefore w:val="0"/>
              <w:jc w:val="both"/>
              <w:rPr/>
            </w:pPr>
            <w:r w:rsidDel="00000000" w:rsidR="00000000" w:rsidRPr="00000000">
              <w:rPr>
                <w:rtl w:val="0"/>
              </w:rPr>
              <w:t xml:space="preserve">France</w:t>
            </w:r>
          </w:p>
        </w:tc>
        <w:tc>
          <w:tcPr/>
          <w:p w:rsidR="00000000" w:rsidDel="00000000" w:rsidP="00000000" w:rsidRDefault="00000000" w:rsidRPr="00000000" w14:paraId="00000094">
            <w:pPr>
              <w:pageBreakBefore w:val="0"/>
              <w:jc w:val="both"/>
              <w:rPr/>
            </w:pPr>
            <w:r w:rsidDel="00000000" w:rsidR="00000000" w:rsidRPr="00000000">
              <w:rPr>
                <w:rtl w:val="0"/>
              </w:rPr>
              <w:t xml:space="preserve">US</w:t>
            </w:r>
          </w:p>
        </w:tc>
        <w:tc>
          <w:tcPr/>
          <w:p w:rsidR="00000000" w:rsidDel="00000000" w:rsidP="00000000" w:rsidRDefault="00000000" w:rsidRPr="00000000" w14:paraId="00000095">
            <w:pPr>
              <w:pageBreakBefore w:val="0"/>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96">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97">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98">
            <w:pPr>
              <w:pageBreakBefore w:val="0"/>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099">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9A">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9B">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9C">
            <w:pPr>
              <w:pageBreakBefore w:val="0"/>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09D">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9E">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9F">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A0">
            <w:pPr>
              <w:pageBreakBefore w:val="0"/>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0A1">
            <w:pPr>
              <w:pageBreakBefore w:val="0"/>
              <w:jc w:val="both"/>
              <w:rPr>
                <w:sz w:val="20"/>
                <w:szCs w:val="20"/>
              </w:rPr>
            </w:pPr>
            <w:r w:rsidDel="00000000" w:rsidR="00000000" w:rsidRPr="00000000">
              <w:rPr>
                <w:sz w:val="20"/>
                <w:szCs w:val="20"/>
                <w:rtl w:val="0"/>
              </w:rPr>
              <w:t xml:space="preserve">Wood Products</w:t>
            </w:r>
          </w:p>
        </w:tc>
      </w:tr>
      <w:tr>
        <w:trPr>
          <w:cantSplit w:val="0"/>
          <w:tblHeader w:val="0"/>
        </w:trPr>
        <w:tc>
          <w:tcPr/>
          <w:p w:rsidR="00000000" w:rsidDel="00000000" w:rsidP="00000000" w:rsidRDefault="00000000" w:rsidRPr="00000000" w14:paraId="000000A2">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A3">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4">
            <w:pPr>
              <w:pageBreakBefore w:val="0"/>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0A5">
            <w:pPr>
              <w:pageBreakBefore w:val="0"/>
              <w:jc w:val="both"/>
              <w:rPr>
                <w:sz w:val="20"/>
                <w:szCs w:val="20"/>
              </w:rPr>
            </w:pPr>
            <w:r w:rsidDel="00000000" w:rsidR="00000000" w:rsidRPr="00000000">
              <w:rPr>
                <w:sz w:val="20"/>
                <w:szCs w:val="20"/>
                <w:rtl w:val="0"/>
              </w:rPr>
              <w:t xml:space="preserve">Metals</w:t>
            </w:r>
          </w:p>
        </w:tc>
      </w:tr>
      <w:tr>
        <w:trPr>
          <w:cantSplit w:val="0"/>
          <w:tblHeader w:val="0"/>
        </w:trPr>
        <w:tc>
          <w:tcPr/>
          <w:p w:rsidR="00000000" w:rsidDel="00000000" w:rsidP="00000000" w:rsidRDefault="00000000" w:rsidRPr="00000000" w14:paraId="000000A6">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A7">
            <w:pPr>
              <w:pageBreakBefore w:val="0"/>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0A8">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9">
            <w:pPr>
              <w:pageBreakBefore w:val="0"/>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AA">
      <w:pPr>
        <w:pageBreakBefore w:val="0"/>
        <w:jc w:val="center"/>
        <w:rPr/>
      </w:pPr>
      <w:r w:rsidDel="00000000" w:rsidR="00000000" w:rsidRPr="00000000">
        <w:rPr>
          <w:rtl w:val="0"/>
        </w:rPr>
      </w:r>
    </w:p>
    <w:p w:rsidR="00000000" w:rsidDel="00000000" w:rsidP="00000000" w:rsidRDefault="00000000" w:rsidRPr="00000000" w14:paraId="000000AB">
      <w:pPr>
        <w:pageBreakBefore w:val="0"/>
        <w:jc w:val="center"/>
        <w:rPr/>
      </w:pPr>
      <w:r w:rsidDel="00000000" w:rsidR="00000000" w:rsidRPr="00000000">
        <w:rPr>
          <w:rtl w:val="0"/>
        </w:rPr>
        <w:t xml:space="preserve">Table 3: RID Comparison across Leading Economies</w:t>
      </w:r>
    </w:p>
    <w:p w:rsidR="00000000" w:rsidDel="00000000" w:rsidP="00000000" w:rsidRDefault="00000000" w:rsidRPr="00000000" w14:paraId="000000AC">
      <w:pPr>
        <w:pageBreakBefore w:val="0"/>
        <w:jc w:val="center"/>
        <w:rPr/>
      </w:pPr>
      <w:r w:rsidDel="00000000" w:rsidR="00000000" w:rsidRPr="00000000">
        <w:rPr>
          <w:rtl w:val="0"/>
        </w:rPr>
      </w:r>
    </w:p>
    <w:p w:rsidR="00000000" w:rsidDel="00000000" w:rsidP="00000000" w:rsidRDefault="00000000" w:rsidRPr="00000000" w14:paraId="000000AD">
      <w:pPr>
        <w:pageBreakBefore w:val="0"/>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AE">
            <w:pPr>
              <w:pageBreakBefore w:val="0"/>
              <w:jc w:val="both"/>
              <w:rPr/>
            </w:pPr>
            <w:r w:rsidDel="00000000" w:rsidR="00000000" w:rsidRPr="00000000">
              <w:rPr>
                <w:rtl w:val="0"/>
              </w:rPr>
              <w:t xml:space="preserve">Ranking</w:t>
            </w:r>
          </w:p>
        </w:tc>
        <w:tc>
          <w:tcPr/>
          <w:p w:rsidR="00000000" w:rsidDel="00000000" w:rsidP="00000000" w:rsidRDefault="00000000" w:rsidRPr="00000000" w14:paraId="000000AF">
            <w:pPr>
              <w:pageBreakBefore w:val="0"/>
              <w:jc w:val="both"/>
              <w:rPr/>
            </w:pPr>
            <w:r w:rsidDel="00000000" w:rsidR="00000000" w:rsidRPr="00000000">
              <w:rPr>
                <w:rtl w:val="0"/>
              </w:rPr>
              <w:t xml:space="preserve">China</w:t>
            </w:r>
          </w:p>
        </w:tc>
        <w:tc>
          <w:tcPr/>
          <w:p w:rsidR="00000000" w:rsidDel="00000000" w:rsidP="00000000" w:rsidRDefault="00000000" w:rsidRPr="00000000" w14:paraId="000000B0">
            <w:pPr>
              <w:pageBreakBefore w:val="0"/>
              <w:jc w:val="both"/>
              <w:rPr/>
            </w:pPr>
            <w:r w:rsidDel="00000000" w:rsidR="00000000" w:rsidRPr="00000000">
              <w:rPr>
                <w:rtl w:val="0"/>
              </w:rPr>
              <w:t xml:space="preserve">South Korea</w:t>
            </w:r>
          </w:p>
        </w:tc>
        <w:tc>
          <w:tcPr/>
          <w:p w:rsidR="00000000" w:rsidDel="00000000" w:rsidP="00000000" w:rsidRDefault="00000000" w:rsidRPr="00000000" w14:paraId="000000B1">
            <w:pPr>
              <w:pageBreakBefore w:val="0"/>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0B2">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B3">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4">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5">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B6">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B7">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8">
            <w:pPr>
              <w:pageBreakBefore w:val="0"/>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B9">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BA">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BB">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BC">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D">
            <w:pPr>
              <w:pageBreakBefore w:val="0"/>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0BE">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BF">
            <w:pPr>
              <w:pageBreakBefore w:val="0"/>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C0">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C1">
            <w:pPr>
              <w:pageBreakBefore w:val="0"/>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0C2">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C3">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C4">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C5">
            <w:pPr>
              <w:pageBreakBefore w:val="0"/>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C6">
      <w:pPr>
        <w:pageBreakBefore w:val="0"/>
        <w:rPr/>
      </w:pPr>
      <w:r w:rsidDel="00000000" w:rsidR="00000000" w:rsidRPr="00000000">
        <w:rPr>
          <w:rtl w:val="0"/>
        </w:rPr>
      </w:r>
    </w:p>
    <w:p w:rsidR="00000000" w:rsidDel="00000000" w:rsidP="00000000" w:rsidRDefault="00000000" w:rsidRPr="00000000" w14:paraId="000000C7">
      <w:pPr>
        <w:pageBreakBefore w:val="0"/>
        <w:jc w:val="center"/>
        <w:rPr/>
      </w:pPr>
      <w:r w:rsidDel="00000000" w:rsidR="00000000" w:rsidRPr="00000000">
        <w:rPr>
          <w:rtl w:val="0"/>
        </w:rPr>
        <w:t xml:space="preserve">Table 4: RID Comparison across Emerging Economies</w:t>
      </w:r>
    </w:p>
    <w:p w:rsidR="00000000" w:rsidDel="00000000" w:rsidP="00000000" w:rsidRDefault="00000000" w:rsidRPr="00000000" w14:paraId="000000C8">
      <w:pPr>
        <w:pageBreakBefore w:val="0"/>
        <w:jc w:val="both"/>
        <w:rPr/>
      </w:pPr>
      <w:r w:rsidDel="00000000" w:rsidR="00000000" w:rsidRPr="00000000">
        <w:rPr>
          <w:rtl w:val="0"/>
        </w:rPr>
      </w:r>
    </w:p>
    <w:p w:rsidR="00000000" w:rsidDel="00000000" w:rsidP="00000000" w:rsidRDefault="00000000" w:rsidRPr="00000000" w14:paraId="000000C9">
      <w:pPr>
        <w:pageBreakBefore w:val="0"/>
        <w:jc w:val="both"/>
        <w:rPr>
          <w:rFonts w:ascii="Times" w:cs="Times" w:eastAsia="Times" w:hAnsi="Times"/>
          <w:b w:val="1"/>
          <w:bCs w:val="1"/>
          <w:sz w:val="28"/>
          <w:szCs w:val="28"/>
        </w:rPr>
      </w:pPr>
      <w:r w:rsidDel="00000000" w:rsidR="00000000" w:rsidRPr="00000000">
        <w:rPr>
          <w:rtl w:val="0"/>
        </w:rPr>
        <w:t xml:space="preserve">Table 4 further examines Nigeria’s development strategy against those of emerging economies on a global scale. Reasonably, emerging economies such as China, South Korea, Singapore and India have devoted the majority of their efforts into intermediate industry groups. </w:t>
      </w:r>
      <w:r w:rsidDel="00000000" w:rsidR="00000000" w:rsidRPr="00000000">
        <w:rPr>
          <w:rtl w:val="0"/>
        </w:rPr>
      </w:r>
    </w:p>
    <w:p w:rsidR="00000000" w:rsidDel="00000000" w:rsidP="00000000" w:rsidRDefault="00000000" w:rsidRPr="00000000" w14:paraId="000000CA">
      <w:pPr>
        <w:pageBreakBefore w:val="0"/>
        <w:jc w:val="both"/>
        <w:rPr>
          <w:b w:val="1"/>
          <w:bCs w:val="1"/>
        </w:rPr>
      </w:pPr>
      <w:r w:rsidDel="00000000" w:rsidR="00000000" w:rsidRPr="00000000">
        <w:rPr>
          <w:rtl w:val="0"/>
        </w:rPr>
      </w:r>
    </w:p>
    <w:p w:rsidR="00000000" w:rsidDel="00000000" w:rsidP="00000000" w:rsidRDefault="00000000" w:rsidRPr="00000000" w14:paraId="000000CB">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CC">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D">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CE">
      <w:pPr>
        <w:pageBreakBefore w:val="0"/>
        <w:jc w:val="both"/>
        <w:rPr>
          <w:b w:val="1"/>
          <w:bCs w:val="1"/>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structures are often in better shape.</w:t>
      </w:r>
      <w:r w:rsidDel="00000000" w:rsidR="00000000" w:rsidRPr="00000000">
        <w:rPr>
          <w:rtl w:val="0"/>
        </w:rPr>
      </w:r>
    </w:p>
    <w:p w:rsidR="00000000" w:rsidDel="00000000" w:rsidP="00000000" w:rsidRDefault="00000000" w:rsidRPr="00000000" w14:paraId="000000CF">
      <w:pPr>
        <w:pageBreakBefore w:val="0"/>
        <w:jc w:val="both"/>
        <w:rPr/>
      </w:pPr>
      <w:r w:rsidDel="00000000" w:rsidR="00000000" w:rsidRPr="00000000">
        <w:rPr>
          <w:rtl w:val="0"/>
        </w:rPr>
      </w:r>
    </w:p>
    <w:p w:rsidR="00000000" w:rsidDel="00000000" w:rsidP="00000000" w:rsidRDefault="00000000" w:rsidRPr="00000000" w14:paraId="000000D0">
      <w:pPr>
        <w:pageBreakBefore w:val="0"/>
        <w:jc w:val="center"/>
        <w:rPr/>
      </w:pPr>
      <w:r w:rsidDel="00000000" w:rsidR="00000000" w:rsidRPr="00000000">
        <w:rPr/>
        <w:drawing>
          <wp:inline distB="114300" distT="114300" distL="114300" distR="114300">
            <wp:extent cx="5731200" cy="2438400"/>
            <wp:effectExtent b="0" l="0" r="0" t="0"/>
            <wp:docPr id="9"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ageBreakBefore w:val="0"/>
        <w:jc w:val="center"/>
        <w:rPr/>
      </w:pPr>
      <w:r w:rsidDel="00000000" w:rsidR="00000000" w:rsidRPr="00000000">
        <w:rPr>
          <w:rtl w:val="0"/>
        </w:rPr>
        <w:t xml:space="preserve">   </w:t>
      </w:r>
    </w:p>
    <w:p w:rsidR="00000000" w:rsidDel="00000000" w:rsidP="00000000" w:rsidRDefault="00000000" w:rsidRPr="00000000" w14:paraId="000000D2">
      <w:pPr>
        <w:pageBreakBefore w:val="0"/>
        <w:jc w:val="center"/>
        <w:rPr/>
      </w:pPr>
      <w:r w:rsidDel="00000000" w:rsidR="00000000" w:rsidRPr="00000000">
        <w:rPr/>
        <w:drawing>
          <wp:inline distB="114300" distT="114300" distL="114300" distR="114300">
            <wp:extent cx="5731200" cy="2425700"/>
            <wp:effectExtent b="0" l="0" r="0" t="0"/>
            <wp:docPr id="25"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ageBreakBefore w:val="0"/>
        <w:jc w:val="center"/>
        <w:rPr/>
      </w:pPr>
      <w:r w:rsidDel="00000000" w:rsidR="00000000" w:rsidRPr="00000000">
        <w:rPr>
          <w:rtl w:val="0"/>
        </w:rPr>
        <w:t xml:space="preserve">Table 5: SDV of High E</w:t>
      </w:r>
      <w:r w:rsidDel="00000000" w:rsidR="00000000" w:rsidRPr="00000000">
        <w:rPr>
          <w:vertAlign w:val="subscript"/>
          <w:rtl w:val="0"/>
        </w:rPr>
        <w:t xml:space="preserve">f</w:t>
      </w:r>
      <w:r w:rsidDel="00000000" w:rsidR="00000000" w:rsidRPr="00000000">
        <w:rPr>
          <w:rtl w:val="0"/>
        </w:rPr>
        <w:t xml:space="preserve">CI Countries 2013(up), 2018(down)</w:t>
      </w:r>
    </w:p>
    <w:p w:rsidR="00000000" w:rsidDel="00000000" w:rsidP="00000000" w:rsidRDefault="00000000" w:rsidRPr="00000000" w14:paraId="000000D4">
      <w:pPr>
        <w:pageBreakBefore w:val="0"/>
        <w:jc w:val="center"/>
        <w:rPr/>
      </w:pPr>
      <w:r w:rsidDel="00000000" w:rsidR="00000000" w:rsidRPr="00000000">
        <w:rPr>
          <w:rtl w:val="0"/>
        </w:rPr>
      </w:r>
    </w:p>
    <w:p w:rsidR="00000000" w:rsidDel="00000000" w:rsidP="00000000" w:rsidRDefault="00000000" w:rsidRPr="00000000" w14:paraId="000000D5">
      <w:pPr>
        <w:pageBreakBefore w:val="0"/>
        <w:jc w:val="both"/>
        <w:rPr/>
      </w:pPr>
      <w:r w:rsidDel="00000000" w:rsidR="00000000" w:rsidRPr="00000000">
        <w:rPr>
          <w:rtl w:val="0"/>
        </w:rPr>
        <w:t xml:space="preserve">We define the ranking of opportunity gain for a country c, as the Suggested Development Vector (SDV) of c. Table 5 and 6 summarize how the SDV of Brazil compares with a selected group of comparable and leading economies in the world,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industrial manufacturing and High-complexity Products industries. It can be concluded that Nigeria shares the characters of developing countries, with a balanced economics structure that leans towards intermediate-level industries. </w:t>
      </w:r>
    </w:p>
    <w:p w:rsidR="00000000" w:rsidDel="00000000" w:rsidP="00000000" w:rsidRDefault="00000000" w:rsidRPr="00000000" w14:paraId="000000D6">
      <w:pPr>
        <w:pageBreakBefore w:val="0"/>
        <w:jc w:val="both"/>
        <w:rPr/>
      </w:pPr>
      <w:r w:rsidDel="00000000" w:rsidR="00000000" w:rsidRPr="00000000">
        <w:rPr>
          <w:rtl w:val="0"/>
        </w:rPr>
      </w:r>
    </w:p>
    <w:p w:rsidR="00000000" w:rsidDel="00000000" w:rsidP="00000000" w:rsidRDefault="00000000" w:rsidRPr="00000000" w14:paraId="000000D7">
      <w:pPr>
        <w:pageBreakBefore w:val="0"/>
        <w:jc w:val="center"/>
        <w:rPr/>
      </w:pPr>
      <w:r w:rsidDel="00000000" w:rsidR="00000000" w:rsidRPr="00000000">
        <w:rPr/>
        <w:drawing>
          <wp:inline distB="114300" distT="114300" distL="114300" distR="114300">
            <wp:extent cx="5731200" cy="2387600"/>
            <wp:effectExtent b="0" l="0" r="0" t="0"/>
            <wp:docPr id="2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ageBreakBefore w:val="0"/>
        <w:jc w:val="both"/>
        <w:rPr/>
      </w:pPr>
      <w:r w:rsidDel="00000000" w:rsidR="00000000" w:rsidRPr="00000000">
        <w:rPr>
          <w:rtl w:val="0"/>
        </w:rPr>
      </w:r>
    </w:p>
    <w:p w:rsidR="00000000" w:rsidDel="00000000" w:rsidP="00000000" w:rsidRDefault="00000000" w:rsidRPr="00000000" w14:paraId="000000D9">
      <w:pPr>
        <w:pageBreakBefore w:val="0"/>
        <w:jc w:val="center"/>
        <w:rPr/>
      </w:pPr>
      <w:r w:rsidDel="00000000" w:rsidR="00000000" w:rsidRPr="00000000">
        <w:rPr>
          <w:rtl w:val="0"/>
        </w:rPr>
        <w:t xml:space="preserve">Table 6: SDV of Other Typical Countries 2013</w:t>
      </w:r>
    </w:p>
    <w:p w:rsidR="00000000" w:rsidDel="00000000" w:rsidP="00000000" w:rsidRDefault="00000000" w:rsidRPr="00000000" w14:paraId="000000DA">
      <w:pPr>
        <w:pageBreakBefore w:val="0"/>
        <w:jc w:val="center"/>
        <w:rPr/>
      </w:pPr>
      <w:r w:rsidDel="00000000" w:rsidR="00000000" w:rsidRPr="00000000">
        <w:rPr>
          <w:rtl w:val="0"/>
        </w:rPr>
      </w:r>
    </w:p>
    <w:p w:rsidR="00000000" w:rsidDel="00000000" w:rsidP="00000000" w:rsidRDefault="00000000" w:rsidRPr="00000000" w14:paraId="000000DB">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0DC">
      <w:pPr>
        <w:pageBreakBefore w:val="0"/>
        <w:rPr/>
      </w:pPr>
      <w:r w:rsidDel="00000000" w:rsidR="00000000" w:rsidRPr="00000000">
        <w:rPr>
          <w:rtl w:val="0"/>
        </w:rPr>
      </w:r>
    </w:p>
    <w:p w:rsidR="00000000" w:rsidDel="00000000" w:rsidP="00000000" w:rsidRDefault="00000000" w:rsidRPr="00000000" w14:paraId="000000DD">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DE">
      <w:pPr>
        <w:pageBreakBefore w:val="0"/>
        <w:jc w:val="both"/>
        <w:rPr/>
      </w:pPr>
      <w:r w:rsidDel="00000000" w:rsidR="00000000" w:rsidRPr="00000000">
        <w:rPr>
          <w:rtl w:val="0"/>
        </w:rPr>
      </w:r>
    </w:p>
    <w:p w:rsidR="00000000" w:rsidDel="00000000" w:rsidP="00000000" w:rsidRDefault="00000000" w:rsidRPr="00000000" w14:paraId="000000DF">
      <w:pPr>
        <w:pageBreakBefore w:val="0"/>
        <w:jc w:val="center"/>
        <w:rPr/>
      </w:pPr>
      <w:r w:rsidDel="00000000" w:rsidR="00000000" w:rsidRPr="00000000">
        <w:rPr/>
        <w:drawing>
          <wp:inline distB="114300" distT="114300" distL="114300" distR="114300">
            <wp:extent cx="2528888" cy="1141284"/>
            <wp:effectExtent b="0" l="0" r="0" t="0"/>
            <wp:docPr id="1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pageBreakBefore w:val="0"/>
        <w:jc w:val="center"/>
        <w:rPr/>
      </w:pPr>
      <w:r w:rsidDel="00000000" w:rsidR="00000000" w:rsidRPr="00000000">
        <w:rPr>
          <w:rtl w:val="0"/>
        </w:rPr>
      </w:r>
    </w:p>
    <w:p w:rsidR="00000000" w:rsidDel="00000000" w:rsidP="00000000" w:rsidRDefault="00000000" w:rsidRPr="00000000" w14:paraId="000000E1">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B is the heuristic budget. </w:t>
      </w:r>
    </w:p>
    <w:p w:rsidR="00000000" w:rsidDel="00000000" w:rsidP="00000000" w:rsidRDefault="00000000" w:rsidRPr="00000000" w14:paraId="000000E2">
      <w:pPr>
        <w:pageBreakBefore w:val="0"/>
        <w:jc w:val="both"/>
        <w:rPr/>
      </w:pPr>
      <w:r w:rsidDel="00000000" w:rsidR="00000000" w:rsidRPr="00000000">
        <w:rPr>
          <w:rtl w:val="0"/>
        </w:rPr>
        <w:t xml:space="preserve"> </w:t>
      </w:r>
    </w:p>
    <w:p w:rsidR="00000000" w:rsidDel="00000000" w:rsidP="00000000" w:rsidRDefault="00000000" w:rsidRPr="00000000" w14:paraId="000000E3">
      <w:pPr>
        <w:pageBreakBefore w:val="0"/>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0E4">
      <w:pPr>
        <w:pageBreakBefore w:val="0"/>
        <w:jc w:val="both"/>
        <w:rPr/>
      </w:pPr>
      <w:r w:rsidDel="00000000" w:rsidR="00000000" w:rsidRPr="00000000">
        <w:rPr>
          <w:rtl w:val="0"/>
        </w:rPr>
        <w:t xml:space="preserve"> </w:t>
      </w:r>
    </w:p>
    <w:p w:rsidR="00000000" w:rsidDel="00000000" w:rsidP="00000000" w:rsidRDefault="00000000" w:rsidRPr="00000000" w14:paraId="000000E5">
      <w:pPr>
        <w:pageBreakBefore w:val="0"/>
        <w:jc w:val="both"/>
        <w:rPr/>
      </w:pPr>
      <w:r w:rsidDel="00000000" w:rsidR="00000000" w:rsidRPr="00000000">
        <w:rPr>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E6">
      <w:pPr>
        <w:pageBreakBefore w:val="0"/>
        <w:rPr/>
      </w:pPr>
      <w:r w:rsidDel="00000000" w:rsidR="00000000" w:rsidRPr="00000000">
        <w:rPr>
          <w:rtl w:val="0"/>
        </w:rPr>
      </w:r>
    </w:p>
    <w:p w:rsidR="00000000" w:rsidDel="00000000" w:rsidP="00000000" w:rsidRDefault="00000000" w:rsidRPr="00000000" w14:paraId="000000E7">
      <w:pPr>
        <w:pageBreakBefore w:val="0"/>
        <w:jc w:val="center"/>
        <w:rPr/>
      </w:pPr>
      <w:r w:rsidDel="00000000" w:rsidR="00000000" w:rsidRPr="00000000">
        <w:rPr/>
        <w:drawing>
          <wp:inline distB="114300" distT="114300" distL="114300" distR="114300">
            <wp:extent cx="2138363" cy="718630"/>
            <wp:effectExtent b="0" l="0" r="0" t="0"/>
            <wp:docPr id="1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E9">
      <w:pPr>
        <w:pageBreakBefore w:val="0"/>
        <w:rPr/>
      </w:pPr>
      <w:r w:rsidDel="00000000" w:rsidR="00000000" w:rsidRPr="00000000">
        <w:rPr>
          <w:rtl w:val="0"/>
        </w:rPr>
      </w:r>
    </w:p>
    <w:p w:rsidR="00000000" w:rsidDel="00000000" w:rsidP="00000000" w:rsidRDefault="00000000" w:rsidRPr="00000000" w14:paraId="000000EA">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0EB">
      <w:pPr>
        <w:pageBreakBefore w:val="0"/>
        <w:rPr/>
      </w:pPr>
      <w:r w:rsidDel="00000000" w:rsidR="00000000" w:rsidRPr="00000000">
        <w:rPr>
          <w:rtl w:val="0"/>
        </w:rPr>
        <w:t xml:space="preserve"> </w:t>
      </w:r>
    </w:p>
    <w:p w:rsidR="00000000" w:rsidDel="00000000" w:rsidP="00000000" w:rsidRDefault="00000000" w:rsidRPr="00000000" w14:paraId="000000EC">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r w:rsidDel="00000000" w:rsidR="00000000" w:rsidRPr="00000000">
        <w:rPr>
          <w:rtl w:val="0"/>
        </w:rPr>
      </w:r>
    </w:p>
    <w:p w:rsidR="00000000" w:rsidDel="00000000" w:rsidP="00000000" w:rsidRDefault="00000000" w:rsidRPr="00000000" w14:paraId="000000ED">
      <w:pPr>
        <w:pageBreakBefore w:val="0"/>
        <w:jc w:val="both"/>
        <w:rPr>
          <w:b w:val="1"/>
          <w:bCs w:val="1"/>
        </w:rPr>
      </w:pPr>
      <w:r w:rsidDel="00000000" w:rsidR="00000000" w:rsidRPr="00000000">
        <w:rPr>
          <w:rtl w:val="0"/>
        </w:rPr>
      </w:r>
    </w:p>
    <w:p w:rsidR="00000000" w:rsidDel="00000000" w:rsidP="00000000" w:rsidRDefault="00000000" w:rsidRPr="00000000" w14:paraId="000000EE">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EF">
      <w:pPr>
        <w:pageBreakBefore w:val="0"/>
        <w:jc w:val="both"/>
        <w:rPr>
          <w:b w:val="1"/>
          <w:bCs w:val="1"/>
        </w:rPr>
      </w:pPr>
      <w:r w:rsidDel="00000000" w:rsidR="00000000" w:rsidRPr="00000000">
        <w:rPr>
          <w:b w:val="1"/>
          <w:bCs w:val="1"/>
          <w:rtl w:val="0"/>
        </w:rPr>
        <w:t xml:space="preserve"> </w:t>
      </w:r>
    </w:p>
    <w:p w:rsidR="00000000" w:rsidDel="00000000" w:rsidP="00000000" w:rsidRDefault="00000000" w:rsidRPr="00000000" w14:paraId="000000F0">
      <w:pPr>
        <w:pageBreakBefore w:val="0"/>
        <w:jc w:val="both"/>
        <w:rPr/>
      </w:pPr>
      <w:r w:rsidDel="00000000" w:rsidR="00000000" w:rsidRPr="00000000">
        <w:rPr>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0F1">
      <w:pPr>
        <w:pageBreakBefore w:val="0"/>
        <w:jc w:val="center"/>
        <w:rPr>
          <w:b w:val="1"/>
          <w:bCs w:val="1"/>
        </w:rPr>
      </w:pPr>
      <w:r w:rsidDel="00000000" w:rsidR="00000000" w:rsidRPr="00000000">
        <w:rPr>
          <w:b w:val="1"/>
          <w:bCs w:val="1"/>
          <w:rtl w:val="0"/>
        </w:rPr>
        <w:t xml:space="preserve"> </w:t>
      </w:r>
    </w:p>
    <w:tbl>
      <w:tblPr>
        <w:tblStyle w:val="Table6"/>
        <w:tblW w:w="6405.0" w:type="dxa"/>
        <w:jc w:val="left"/>
        <w:tblInd w:w="13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5100"/>
        <w:tblGridChange w:id="0">
          <w:tblGrid>
            <w:gridCol w:w="1305"/>
            <w:gridCol w:w="510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pageBreakBefore w:val="0"/>
              <w:jc w:val="center"/>
              <w:rPr/>
            </w:pPr>
            <w:r w:rsidDel="00000000" w:rsidR="00000000" w:rsidRPr="00000000">
              <w:rPr>
                <w:rtl w:val="0"/>
              </w:rPr>
              <w:t xml:space="preserve">Label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pageBreakBefore w:val="0"/>
              <w:jc w:val="center"/>
              <w:rPr/>
            </w:pPr>
            <w:r w:rsidDel="00000000" w:rsidR="00000000" w:rsidRPr="00000000">
              <w:rPr>
                <w:rtl w:val="0"/>
              </w:rPr>
              <w:t xml:space="preserve">Product Names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pageBreakBefore w:val="0"/>
              <w:jc w:val="center"/>
              <w:rPr/>
            </w:pPr>
            <w:r w:rsidDel="00000000" w:rsidR="00000000" w:rsidRPr="00000000">
              <w:rPr>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pageBreakBefore w:val="0"/>
              <w:jc w:val="center"/>
              <w:rPr>
                <w:color w:val="212121"/>
                <w:highlight w:val="white"/>
              </w:rPr>
            </w:pPr>
            <w:r w:rsidDel="00000000" w:rsidR="00000000" w:rsidRPr="00000000">
              <w:rPr>
                <w:color w:val="212121"/>
                <w:highlight w:val="white"/>
                <w:rtl w:val="0"/>
              </w:rPr>
              <w:t xml:space="preserve">Animals and By-products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pageBreakBefore w:val="0"/>
              <w:jc w:val="center"/>
              <w:rPr/>
            </w:pPr>
            <w:r w:rsidDel="00000000" w:rsidR="00000000" w:rsidRPr="00000000">
              <w:rPr>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pageBreakBefore w:val="0"/>
              <w:jc w:val="center"/>
              <w:rPr/>
            </w:pPr>
            <w:r w:rsidDel="00000000" w:rsidR="00000000" w:rsidRPr="00000000">
              <w:rPr>
                <w:rtl w:val="0"/>
              </w:rPr>
              <w:t xml:space="preserve">Vegetables, Fruits and Plants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pageBreakBefore w:val="0"/>
              <w:jc w:val="center"/>
              <w:rPr/>
            </w:pPr>
            <w:r w:rsidDel="00000000" w:rsidR="00000000" w:rsidRPr="00000000">
              <w:rPr>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pageBreakBefore w:val="0"/>
              <w:jc w:val="center"/>
              <w:rPr/>
            </w:pPr>
            <w:r w:rsidDel="00000000" w:rsidR="00000000" w:rsidRPr="00000000">
              <w:rPr>
                <w:rtl w:val="0"/>
              </w:rPr>
              <w:t xml:space="preserve">Food and Preparations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pageBreakBefore w:val="0"/>
              <w:jc w:val="center"/>
              <w:rPr/>
            </w:pPr>
            <w:r w:rsidDel="00000000" w:rsidR="00000000" w:rsidRPr="00000000">
              <w:rPr>
                <w:rtl w:val="0"/>
              </w:rPr>
              <w:t xml:space="preserve">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pageBreakBefore w:val="0"/>
              <w:jc w:val="center"/>
              <w:rPr>
                <w:color w:val="212121"/>
                <w:highlight w:val="white"/>
              </w:rPr>
            </w:pPr>
            <w:r w:rsidDel="00000000" w:rsidR="00000000" w:rsidRPr="00000000">
              <w:rPr>
                <w:color w:val="212121"/>
                <w:highlight w:val="white"/>
                <w:rtl w:val="0"/>
              </w:rPr>
              <w:t xml:space="preserve">Energy Drilling and Mining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pageBreakBefore w:val="0"/>
              <w:jc w:val="center"/>
              <w:rPr/>
            </w:pPr>
            <w:r w:rsidDel="00000000" w:rsidR="00000000" w:rsidRPr="00000000">
              <w:rPr>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pageBreakBefore w:val="0"/>
              <w:jc w:val="center"/>
              <w:rPr>
                <w:color w:val="212121"/>
                <w:highlight w:val="white"/>
              </w:rPr>
            </w:pPr>
            <w:r w:rsidDel="00000000" w:rsidR="00000000" w:rsidRPr="00000000">
              <w:rPr>
                <w:color w:val="212121"/>
                <w:highlight w:val="white"/>
                <w:rtl w:val="0"/>
              </w:rPr>
              <w:t xml:space="preserve">Chemicals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pageBreakBefore w:val="0"/>
              <w:jc w:val="center"/>
              <w:rPr/>
            </w:pPr>
            <w:r w:rsidDel="00000000" w:rsidR="00000000" w:rsidRPr="00000000">
              <w:rPr>
                <w:rtl w:val="0"/>
              </w:rPr>
              <w:t xml:space="preserve">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pageBreakBefore w:val="0"/>
              <w:jc w:val="center"/>
              <w:rPr>
                <w:color w:val="212121"/>
                <w:highlight w:val="white"/>
              </w:rPr>
            </w:pPr>
            <w:r w:rsidDel="00000000" w:rsidR="00000000" w:rsidRPr="00000000">
              <w:rPr>
                <w:color w:val="212121"/>
                <w:highlight w:val="white"/>
                <w:rtl w:val="0"/>
              </w:rPr>
              <w:t xml:space="preserve">Chemical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pageBreakBefore w:val="0"/>
              <w:jc w:val="center"/>
              <w:rPr/>
            </w:pPr>
            <w:r w:rsidDel="00000000" w:rsidR="00000000" w:rsidRPr="00000000">
              <w:rPr>
                <w:rtl w:val="0"/>
              </w:rPr>
              <w:t xml:space="preserve">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pageBreakBefore w:val="0"/>
              <w:jc w:val="center"/>
              <w:rPr>
                <w:color w:val="212121"/>
                <w:highlight w:val="white"/>
              </w:rPr>
            </w:pPr>
            <w:r w:rsidDel="00000000" w:rsidR="00000000" w:rsidRPr="00000000">
              <w:rPr>
                <w:color w:val="212121"/>
                <w:highlight w:val="white"/>
                <w:rtl w:val="0"/>
              </w:rPr>
              <w:t xml:space="preserve">Raw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pageBreakBefore w:val="0"/>
              <w:jc w:val="center"/>
              <w:rPr/>
            </w:pPr>
            <w:r w:rsidDel="00000000" w:rsidR="00000000" w:rsidRPr="00000000">
              <w:rPr>
                <w:rtl w:val="0"/>
              </w:rPr>
              <w:t xml:space="preserve">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pageBreakBefore w:val="0"/>
              <w:jc w:val="center"/>
              <w:rPr>
                <w:color w:val="212121"/>
                <w:highlight w:val="white"/>
              </w:rPr>
            </w:pPr>
            <w:r w:rsidDel="00000000" w:rsidR="00000000" w:rsidRPr="00000000">
              <w:rPr>
                <w:color w:val="212121"/>
                <w:highlight w:val="white"/>
                <w:rtl w:val="0"/>
              </w:rPr>
              <w:t xml:space="preserve">Wood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pageBreakBefore w:val="0"/>
              <w:jc w:val="center"/>
              <w:rPr/>
            </w:pPr>
            <w:r w:rsidDel="00000000" w:rsidR="00000000" w:rsidRPr="00000000">
              <w:rPr>
                <w:rtl w:val="0"/>
              </w:rPr>
              <w:t xml:space="preserve">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pageBreakBefore w:val="0"/>
              <w:jc w:val="center"/>
              <w:rPr>
                <w:color w:val="212121"/>
                <w:highlight w:val="white"/>
              </w:rPr>
            </w:pPr>
            <w:r w:rsidDel="00000000" w:rsidR="00000000" w:rsidRPr="00000000">
              <w:rPr>
                <w:color w:val="212121"/>
                <w:highlight w:val="white"/>
                <w:rtl w:val="0"/>
              </w:rPr>
              <w:t xml:space="preserve">Clothing and Accessories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pageBreakBefore w:val="0"/>
              <w:jc w:val="center"/>
              <w:rPr/>
            </w:pPr>
            <w:r w:rsidDel="00000000" w:rsidR="00000000" w:rsidRPr="00000000">
              <w:rPr>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pageBreakBefore w:val="0"/>
              <w:jc w:val="center"/>
              <w:rPr>
                <w:color w:val="212121"/>
                <w:highlight w:val="white"/>
              </w:rPr>
            </w:pPr>
            <w:r w:rsidDel="00000000" w:rsidR="00000000" w:rsidRPr="00000000">
              <w:rPr>
                <w:color w:val="212121"/>
                <w:highlight w:val="white"/>
                <w:rtl w:val="0"/>
              </w:rPr>
              <w:t xml:space="preserve">Textile</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pageBreakBefore w:val="0"/>
              <w:jc w:val="center"/>
              <w:rPr/>
            </w:pPr>
            <w:r w:rsidDel="00000000" w:rsidR="00000000" w:rsidRPr="00000000">
              <w:rPr>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pageBreakBefore w:val="0"/>
              <w:jc w:val="center"/>
              <w:rPr>
                <w:color w:val="212121"/>
                <w:highlight w:val="white"/>
              </w:rPr>
            </w:pPr>
            <w:r w:rsidDel="00000000" w:rsidR="00000000" w:rsidRPr="00000000">
              <w:rPr>
                <w:color w:val="212121"/>
                <w:highlight w:val="white"/>
                <w:rtl w:val="0"/>
              </w:rPr>
              <w:t xml:space="preserve">Metals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pageBreakBefore w:val="0"/>
              <w:jc w:val="center"/>
              <w:rPr/>
            </w:pPr>
            <w:r w:rsidDel="00000000" w:rsidR="00000000" w:rsidRPr="00000000">
              <w:rPr>
                <w:rtl w:val="0"/>
              </w:rPr>
              <w:t xml:space="preserve">12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pageBreakBefore w:val="0"/>
              <w:jc w:val="center"/>
              <w:rPr>
                <w:color w:val="212121"/>
                <w:highlight w:val="white"/>
              </w:rPr>
            </w:pPr>
            <w:r w:rsidDel="00000000" w:rsidR="00000000" w:rsidRPr="00000000">
              <w:rPr>
                <w:color w:val="212121"/>
                <w:highlight w:val="white"/>
                <w:rtl w:val="0"/>
              </w:rPr>
              <w:t xml:space="preserve">Machinery and Construction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pageBreakBefore w:val="0"/>
              <w:jc w:val="center"/>
              <w:rPr/>
            </w:pPr>
            <w:r w:rsidDel="00000000" w:rsidR="00000000" w:rsidRPr="00000000">
              <w:rPr>
                <w:rtl w:val="0"/>
              </w:rPr>
              <w:t xml:space="preserve">13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pageBreakBefore w:val="0"/>
              <w:jc w:val="center"/>
              <w:rPr>
                <w:color w:val="212121"/>
                <w:highlight w:val="white"/>
              </w:rPr>
            </w:pPr>
            <w:r w:rsidDel="00000000" w:rsidR="00000000" w:rsidRPr="00000000">
              <w:rPr>
                <w:color w:val="212121"/>
                <w:highlight w:val="white"/>
                <w:rtl w:val="0"/>
              </w:rPr>
              <w:t xml:space="preserve">Transportation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pageBreakBefore w:val="0"/>
              <w:jc w:val="center"/>
              <w:rPr/>
            </w:pPr>
            <w:r w:rsidDel="00000000" w:rsidR="00000000" w:rsidRPr="00000000">
              <w:rPr>
                <w:rtl w:val="0"/>
              </w:rPr>
              <w:t xml:space="preserve">14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pageBreakBefore w:val="0"/>
              <w:jc w:val="center"/>
              <w:rPr>
                <w:color w:val="212121"/>
                <w:highlight w:val="white"/>
              </w:rPr>
            </w:pPr>
            <w:r w:rsidDel="00000000" w:rsidR="00000000" w:rsidRPr="00000000">
              <w:rPr>
                <w:color w:val="212121"/>
                <w:highlight w:val="white"/>
                <w:rtl w:val="0"/>
              </w:rPr>
              <w:t xml:space="preserve">Weapons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pageBreakBefore w:val="0"/>
              <w:jc w:val="center"/>
              <w:rPr/>
            </w:pPr>
            <w:r w:rsidDel="00000000" w:rsidR="00000000" w:rsidRPr="00000000">
              <w:rPr>
                <w:rtl w:val="0"/>
              </w:rPr>
              <w:t xml:space="preserve">15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pageBreakBefore w:val="0"/>
              <w:jc w:val="center"/>
              <w:rPr>
                <w:color w:val="212121"/>
                <w:highlight w:val="white"/>
              </w:rPr>
            </w:pPr>
            <w:r w:rsidDel="00000000" w:rsidR="00000000" w:rsidRPr="00000000">
              <w:rPr>
                <w:color w:val="212121"/>
                <w:highlight w:val="white"/>
                <w:rtl w:val="0"/>
              </w:rPr>
              <w:t xml:space="preserve">Daily Instruments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pageBreakBefore w:val="0"/>
              <w:jc w:val="center"/>
              <w:rPr/>
            </w:pPr>
            <w:r w:rsidDel="00000000" w:rsidR="00000000" w:rsidRPr="00000000">
              <w:rPr>
                <w:rtl w:val="0"/>
              </w:rPr>
              <w:t xml:space="preserve">16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pageBreakBefore w:val="0"/>
              <w:jc w:val="center"/>
              <w:rPr>
                <w:color w:val="212121"/>
                <w:highlight w:val="white"/>
              </w:rPr>
            </w:pPr>
            <w:r w:rsidDel="00000000" w:rsidR="00000000" w:rsidRPr="00000000">
              <w:rPr>
                <w:color w:val="212121"/>
                <w:highlight w:val="white"/>
                <w:rtl w:val="0"/>
              </w:rPr>
              <w:t xml:space="preserve">Precious Stones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pageBreakBefore w:val="0"/>
              <w:jc w:val="center"/>
              <w:rPr/>
            </w:pPr>
            <w:r w:rsidDel="00000000" w:rsidR="00000000" w:rsidRPr="00000000">
              <w:rPr>
                <w:rtl w:val="0"/>
              </w:rPr>
              <w:t xml:space="preserve">17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pageBreakBefore w:val="0"/>
              <w:jc w:val="center"/>
              <w:rPr>
                <w:color w:val="212121"/>
                <w:highlight w:val="white"/>
              </w:rPr>
            </w:pPr>
            <w:r w:rsidDel="00000000" w:rsidR="00000000" w:rsidRPr="00000000">
              <w:rPr>
                <w:color w:val="212121"/>
                <w:highlight w:val="white"/>
                <w:rtl w:val="0"/>
              </w:rPr>
              <w:t xml:space="preserve">High-complexity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pageBreakBefore w:val="0"/>
              <w:jc w:val="center"/>
              <w:rPr/>
            </w:pPr>
            <w:r w:rsidDel="00000000" w:rsidR="00000000" w:rsidRPr="00000000">
              <w:rPr>
                <w:rtl w:val="0"/>
              </w:rPr>
              <w:t xml:space="preserve">18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pageBreakBefore w:val="0"/>
              <w:jc w:val="center"/>
              <w:rPr>
                <w:color w:val="212121"/>
                <w:highlight w:val="white"/>
              </w:rPr>
            </w:pPr>
            <w:r w:rsidDel="00000000" w:rsidR="00000000" w:rsidRPr="00000000">
              <w:rPr>
                <w:color w:val="212121"/>
                <w:highlight w:val="white"/>
                <w:rtl w:val="0"/>
              </w:rPr>
              <w:t xml:space="preserve">Services and Utilities</w:t>
            </w:r>
          </w:p>
        </w:tc>
      </w:tr>
    </w:tbl>
    <w:p w:rsidR="00000000" w:rsidDel="00000000" w:rsidP="00000000" w:rsidRDefault="00000000" w:rsidRPr="00000000" w14:paraId="00000118">
      <w:pPr>
        <w:pageBreakBefore w:val="0"/>
        <w:jc w:val="center"/>
        <w:rPr>
          <w:b w:val="1"/>
          <w:bCs w:val="1"/>
        </w:rPr>
      </w:pPr>
      <w:r w:rsidDel="00000000" w:rsidR="00000000" w:rsidRPr="00000000">
        <w:rPr>
          <w:b w:val="1"/>
          <w:bCs w:val="1"/>
          <w:rtl w:val="0"/>
        </w:rPr>
        <w:t xml:space="preserve"> </w:t>
      </w:r>
    </w:p>
    <w:p w:rsidR="00000000" w:rsidDel="00000000" w:rsidP="00000000" w:rsidRDefault="00000000" w:rsidRPr="00000000" w14:paraId="00000119">
      <w:pPr>
        <w:pageBreakBefore w:val="0"/>
        <w:jc w:val="center"/>
        <w:rPr/>
      </w:pPr>
      <w:r w:rsidDel="00000000" w:rsidR="00000000" w:rsidRPr="00000000">
        <w:rPr>
          <w:rtl w:val="0"/>
        </w:rPr>
        <w:t xml:space="preserve">Table 7: Products Labeling</w:t>
      </w:r>
    </w:p>
    <w:p w:rsidR="00000000" w:rsidDel="00000000" w:rsidP="00000000" w:rsidRDefault="00000000" w:rsidRPr="00000000" w14:paraId="0000011A">
      <w:pPr>
        <w:pageBreakBefore w:val="0"/>
        <w:jc w:val="both"/>
        <w:rPr/>
      </w:pPr>
      <w:r w:rsidDel="00000000" w:rsidR="00000000" w:rsidRPr="00000000">
        <w:rPr>
          <w:rtl w:val="0"/>
        </w:rPr>
      </w:r>
    </w:p>
    <w:p w:rsidR="00000000" w:rsidDel="00000000" w:rsidP="00000000" w:rsidRDefault="00000000" w:rsidRPr="00000000" w14:paraId="0000011B">
      <w:pPr>
        <w:pageBreakBefore w:val="0"/>
        <w:jc w:val="both"/>
        <w:rPr/>
      </w:pPr>
      <w:r w:rsidDel="00000000" w:rsidR="00000000" w:rsidRPr="00000000">
        <w:rPr>
          <w:rtl w:val="0"/>
        </w:rPr>
        <w:t xml:space="preserve">Below is the economic panel for Nigeria in 2013. We can see that for different percentages of heuristic total export growth, the ECIs of Nigeria have different amounts of increments. In fact, all levels of percent growth have a slightly different ECI improvement pattern. For the 5 percent export growth, ECI starts at -0.79 and improves up to 0.14. As we go to 10 percent, 15 percent and 20 percent, this improvement also increases, hitting 0.52, 0.53 and 0.72, respectively.</w:t>
      </w:r>
    </w:p>
    <w:p w:rsidR="00000000" w:rsidDel="00000000" w:rsidP="00000000" w:rsidRDefault="00000000" w:rsidRPr="00000000" w14:paraId="0000011C">
      <w:pPr>
        <w:pageBreakBefore w:val="0"/>
        <w:jc w:val="both"/>
        <w:rPr/>
      </w:pPr>
      <w:r w:rsidDel="00000000" w:rsidR="00000000" w:rsidRPr="00000000">
        <w:rPr>
          <w:rtl w:val="0"/>
        </w:rPr>
        <w:t xml:space="preserve"> </w:t>
      </w:r>
    </w:p>
    <w:p w:rsidR="00000000" w:rsidDel="00000000" w:rsidP="00000000" w:rsidRDefault="00000000" w:rsidRPr="00000000" w14:paraId="0000011D">
      <w:pPr>
        <w:pageBreakBefore w:val="0"/>
        <w:jc w:val="both"/>
        <w:rPr/>
      </w:pPr>
      <w:r w:rsidDel="00000000" w:rsidR="00000000" w:rsidRPr="00000000">
        <w:rPr>
          <w:rtl w:val="0"/>
        </w:rPr>
        <w:t xml:space="preserve">For the case of 5 percent export growth, Services and Utilities and Textiles account for most of the portfolio. For 10 percent export growth, in addition to the industries that we mentioned before, more weights are put on other industries, such as chemicals, and high-complexity products. In these two ECI improvement trajectories, we also notice that the largest improvement comes from services and utilities, suggesting that with a low economic improvement anticipation, Nigeria should focus more on developing the industry of services and utilities. For the case of 15 and 20 percent increment budgets, we realize that the development strategies change even more significantly. In fact, at 15 percent growth, Raw Manufacturing takes the largest share of the allocation budget, splitting it with Services and Utilities and High-complexity products. Finally, at a 20 percent growth, the addition of Daily Instruments takes the largest share of the allocation. This makes sense because with more budgets, a country should definitely focus more on the development of high-end product spaces. A more detailed numerical representation of the portfolio is shown in Table 8.</w:t>
      </w:r>
    </w:p>
    <w:p w:rsidR="00000000" w:rsidDel="00000000" w:rsidP="00000000" w:rsidRDefault="00000000" w:rsidRPr="00000000" w14:paraId="0000011E">
      <w:pPr>
        <w:jc w:val="center"/>
        <w:rPr/>
      </w:pPr>
      <w:r w:rsidDel="00000000" w:rsidR="00000000" w:rsidRPr="00000000">
        <w:rPr>
          <w:rtl w:val="0"/>
        </w:rPr>
        <w:t xml:space="preserve">Figure 5: Greedy Based ECI Improvement Results of Nigeria in 2013 with Different Budgets</w:t>
      </w:r>
      <w:r w:rsidDel="00000000" w:rsidR="00000000" w:rsidRPr="00000000">
        <w:drawing>
          <wp:anchor allowOverlap="1" behindDoc="0" distB="0" distT="0" distL="0" distR="0" hidden="0" layoutInCell="1" locked="0" relativeHeight="0" simplePos="0">
            <wp:simplePos x="0" y="0"/>
            <wp:positionH relativeFrom="column">
              <wp:posOffset>-1424</wp:posOffset>
            </wp:positionH>
            <wp:positionV relativeFrom="paragraph">
              <wp:posOffset>1866900</wp:posOffset>
            </wp:positionV>
            <wp:extent cx="5734050" cy="1609725"/>
            <wp:effectExtent b="0" l="0" r="0" t="0"/>
            <wp:wrapTopAndBottom distB="0" distT="0"/>
            <wp:docPr id="17" name="image10.png"/>
            <a:graphic>
              <a:graphicData uri="http://schemas.openxmlformats.org/drawingml/2006/picture">
                <pic:pic>
                  <pic:nvPicPr>
                    <pic:cNvPr id="0" name="image10.png"/>
                    <pic:cNvPicPr preferRelativeResize="0"/>
                  </pic:nvPicPr>
                  <pic:blipFill>
                    <a:blip r:embed="rId17"/>
                    <a:srcRect b="16300" l="0" r="0" t="9251"/>
                    <a:stretch>
                      <a:fillRect/>
                    </a:stretch>
                  </pic:blipFill>
                  <pic:spPr>
                    <a:xfrm>
                      <a:off x="0" y="0"/>
                      <a:ext cx="5734050" cy="16097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-1424</wp:posOffset>
            </wp:positionH>
            <wp:positionV relativeFrom="paragraph">
              <wp:posOffset>66675</wp:posOffset>
            </wp:positionV>
            <wp:extent cx="5734050" cy="1800225"/>
            <wp:effectExtent b="0" l="0" r="0" t="0"/>
            <wp:wrapTopAndBottom distB="0" distT="0"/>
            <wp:docPr id="20" name="image8.png"/>
            <a:graphic>
              <a:graphicData uri="http://schemas.openxmlformats.org/drawingml/2006/picture">
                <pic:pic>
                  <pic:nvPicPr>
                    <pic:cNvPr id="0" name="image8.png"/>
                    <pic:cNvPicPr preferRelativeResize="0"/>
                  </pic:nvPicPr>
                  <pic:blipFill>
                    <a:blip r:embed="rId18"/>
                    <a:srcRect b="31229" l="0" r="0" t="5980"/>
                    <a:stretch>
                      <a:fillRect/>
                    </a:stretch>
                  </pic:blipFill>
                  <pic:spPr>
                    <a:xfrm>
                      <a:off x="0" y="0"/>
                      <a:ext cx="5734050" cy="1800225"/>
                    </a:xfrm>
                    <a:prstGeom prst="rect"/>
                    <a:ln/>
                  </pic:spPr>
                </pic:pic>
              </a:graphicData>
            </a:graphic>
          </wp:anchor>
        </w:drawing>
      </w:r>
    </w:p>
    <w:p w:rsidR="00000000" w:rsidDel="00000000" w:rsidP="00000000" w:rsidRDefault="00000000" w:rsidRPr="00000000" w14:paraId="0000011F">
      <w:pPr>
        <w:pageBreakBefore w:val="0"/>
        <w:jc w:val="left"/>
        <w:rPr/>
      </w:pPr>
      <w:r w:rsidDel="00000000" w:rsidR="00000000" w:rsidRPr="00000000">
        <w:rPr>
          <w:rtl w:val="0"/>
        </w:rPr>
      </w:r>
    </w:p>
    <w:p w:rsidR="00000000" w:rsidDel="00000000" w:rsidP="00000000" w:rsidRDefault="00000000" w:rsidRPr="00000000" w14:paraId="00000120">
      <w:pPr>
        <w:pageBreakBefore w:val="0"/>
        <w:jc w:val="both"/>
        <w:rPr/>
      </w:pPr>
      <w:r w:rsidDel="00000000" w:rsidR="00000000" w:rsidRPr="00000000">
        <w:rPr/>
        <w:drawing>
          <wp:inline distB="114300" distT="114300" distL="114300" distR="114300">
            <wp:extent cx="5731200" cy="1397000"/>
            <wp:effectExtent b="0" l="0" r="0" t="0"/>
            <wp:docPr id="27"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pageBreakBefore w:val="0"/>
        <w:jc w:val="center"/>
        <w:rPr/>
      </w:pPr>
      <w:r w:rsidDel="00000000" w:rsidR="00000000" w:rsidRPr="00000000">
        <w:rPr>
          <w:rtl w:val="0"/>
        </w:rPr>
        <w:t xml:space="preserve">Table 8: Portfolio of Nigeria in 2013</w:t>
      </w:r>
    </w:p>
    <w:p w:rsidR="00000000" w:rsidDel="00000000" w:rsidP="00000000" w:rsidRDefault="00000000" w:rsidRPr="00000000" w14:paraId="00000122">
      <w:pPr>
        <w:pageBreakBefore w:val="0"/>
        <w:jc w:val="both"/>
        <w:rPr/>
      </w:pPr>
      <w:r w:rsidDel="00000000" w:rsidR="00000000" w:rsidRPr="00000000">
        <w:rPr>
          <w:rtl w:val="0"/>
        </w:rPr>
      </w:r>
    </w:p>
    <w:p w:rsidR="00000000" w:rsidDel="00000000" w:rsidP="00000000" w:rsidRDefault="00000000" w:rsidRPr="00000000" w14:paraId="00000123">
      <w:pPr>
        <w:pageBreakBefore w:val="0"/>
        <w:jc w:val="both"/>
        <w:rPr/>
      </w:pPr>
      <w:r w:rsidDel="00000000" w:rsidR="00000000" w:rsidRPr="00000000">
        <w:rPr>
          <w:rtl w:val="0"/>
        </w:rPr>
        <w:t xml:space="preserve">For further suggestions on Nigeria’s development in the future, we also offer the optimization result of Nigeria based on export data in 2018. Below is the economic panel for Nigeria in 2018. We can see that there is a similar pattern for the ECI improvement trajectories, which is that the improvements across all four percent export growths are different. But one difference is that the main components that result in ECI improvements are not quite similar. For a 5 percent export growth, the main components include weapons and chemicals, while for a 10 percent growth, the main components consist of Raw Manufacturing and Daily instruments. For situations with higher budgets of investment, like 15 or 20 percent of growth, the portfolios are much more diverse than the previous two cases. In detail, industries like chemical manufacturing, machinery and construction and transportation are the ones that contribute a lot in ECI increments. A more detailed numerical representation of the portfolio is shown in Table 9. </w:t>
      </w:r>
    </w:p>
    <w:p w:rsidR="00000000" w:rsidDel="00000000" w:rsidP="00000000" w:rsidRDefault="00000000" w:rsidRPr="00000000" w14:paraId="00000124">
      <w:pPr>
        <w:pageBreakBefore w:val="0"/>
        <w:jc w:val="both"/>
        <w:rPr/>
      </w:pPr>
      <w:r w:rsidDel="00000000" w:rsidR="00000000" w:rsidRPr="00000000">
        <w:rPr/>
        <w:drawing>
          <wp:inline distB="114300" distT="114300" distL="114300" distR="114300">
            <wp:extent cx="5734050" cy="1943100"/>
            <wp:effectExtent b="0" l="0" r="0" t="0"/>
            <wp:docPr id="7" name="image13.png"/>
            <a:graphic>
              <a:graphicData uri="http://schemas.openxmlformats.org/drawingml/2006/picture">
                <pic:pic>
                  <pic:nvPicPr>
                    <pic:cNvPr id="0" name="image13.png"/>
                    <pic:cNvPicPr preferRelativeResize="0"/>
                  </pic:nvPicPr>
                  <pic:blipFill>
                    <a:blip r:embed="rId20"/>
                    <a:srcRect b="32226" l="0" r="0" t="0"/>
                    <a:stretch>
                      <a:fillRect/>
                    </a:stretch>
                  </pic:blipFill>
                  <pic:spPr>
                    <a:xfrm>
                      <a:off x="0" y="0"/>
                      <a:ext cx="573405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pageBreakBefore w:val="0"/>
        <w:jc w:val="both"/>
        <w:rPr/>
      </w:pPr>
      <w:r w:rsidDel="00000000" w:rsidR="00000000" w:rsidRPr="00000000">
        <w:rPr/>
        <w:drawing>
          <wp:inline distB="114300" distT="114300" distL="114300" distR="114300">
            <wp:extent cx="5734050" cy="1771650"/>
            <wp:effectExtent b="0" l="0" r="0" t="0"/>
            <wp:docPr id="12" name="image7.png"/>
            <a:graphic>
              <a:graphicData uri="http://schemas.openxmlformats.org/drawingml/2006/picture">
                <pic:pic>
                  <pic:nvPicPr>
                    <pic:cNvPr id="0" name="image7.png"/>
                    <pic:cNvPicPr preferRelativeResize="0"/>
                  </pic:nvPicPr>
                  <pic:blipFill>
                    <a:blip r:embed="rId21"/>
                    <a:srcRect b="18062" l="0" r="0" t="0"/>
                    <a:stretch>
                      <a:fillRect/>
                    </a:stretch>
                  </pic:blipFill>
                  <pic:spPr>
                    <a:xfrm>
                      <a:off x="0" y="0"/>
                      <a:ext cx="5734050"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pageBreakBefore w:val="0"/>
        <w:jc w:val="center"/>
        <w:rPr/>
      </w:pPr>
      <w:r w:rsidDel="00000000" w:rsidR="00000000" w:rsidRPr="00000000">
        <w:rPr>
          <w:rtl w:val="0"/>
        </w:rPr>
        <w:t xml:space="preserve">Figure 6: Greedy Based ECI Improvement Results of Nigeria in 2018 with Different Budgets</w:t>
      </w:r>
    </w:p>
    <w:p w:rsidR="00000000" w:rsidDel="00000000" w:rsidP="00000000" w:rsidRDefault="00000000" w:rsidRPr="00000000" w14:paraId="00000127">
      <w:pPr>
        <w:pageBreakBefore w:val="0"/>
        <w:jc w:val="both"/>
        <w:rPr/>
      </w:pPr>
      <w:r w:rsidDel="00000000" w:rsidR="00000000" w:rsidRPr="00000000">
        <w:rPr>
          <w:rtl w:val="0"/>
        </w:rPr>
      </w:r>
    </w:p>
    <w:p w:rsidR="00000000" w:rsidDel="00000000" w:rsidP="00000000" w:rsidRDefault="00000000" w:rsidRPr="00000000" w14:paraId="00000128">
      <w:pPr>
        <w:pageBreakBefore w:val="0"/>
        <w:jc w:val="both"/>
        <w:rPr/>
      </w:pPr>
      <w:r w:rsidDel="00000000" w:rsidR="00000000" w:rsidRPr="00000000">
        <w:rPr>
          <w:rtl w:val="0"/>
        </w:rPr>
      </w:r>
    </w:p>
    <w:p w:rsidR="00000000" w:rsidDel="00000000" w:rsidP="00000000" w:rsidRDefault="00000000" w:rsidRPr="00000000" w14:paraId="00000129">
      <w:pPr>
        <w:pageBreakBefore w:val="0"/>
        <w:jc w:val="both"/>
        <w:rPr/>
      </w:pPr>
      <w:r w:rsidDel="00000000" w:rsidR="00000000" w:rsidRPr="00000000">
        <w:rPr>
          <w:rtl w:val="0"/>
        </w:rPr>
      </w:r>
    </w:p>
    <w:p w:rsidR="00000000" w:rsidDel="00000000" w:rsidP="00000000" w:rsidRDefault="00000000" w:rsidRPr="00000000" w14:paraId="0000012A">
      <w:pPr>
        <w:spacing w:after="240" w:before="240" w:line="276" w:lineRule="auto"/>
        <w:rPr/>
      </w:pPr>
      <w:r w:rsidDel="00000000" w:rsidR="00000000" w:rsidRPr="00000000">
        <w:rPr/>
        <w:drawing>
          <wp:inline distB="114300" distT="114300" distL="114300" distR="114300">
            <wp:extent cx="5731200" cy="1524000"/>
            <wp:effectExtent b="0" l="0" r="0" t="0"/>
            <wp:docPr id="2"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pageBreakBefore w:val="0"/>
        <w:jc w:val="center"/>
        <w:rPr/>
      </w:pPr>
      <w:r w:rsidDel="00000000" w:rsidR="00000000" w:rsidRPr="00000000">
        <w:rPr>
          <w:rtl w:val="0"/>
        </w:rPr>
        <w:t xml:space="preserve">Table 9: Portfolio of Nigeria in 2018</w:t>
      </w:r>
    </w:p>
    <w:p w:rsidR="00000000" w:rsidDel="00000000" w:rsidP="00000000" w:rsidRDefault="00000000" w:rsidRPr="00000000" w14:paraId="0000012C">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Sensitivity Analysis and Contingency Strategy</w:t>
      </w:r>
    </w:p>
    <w:p w:rsidR="00000000" w:rsidDel="00000000" w:rsidP="00000000" w:rsidRDefault="00000000" w:rsidRPr="00000000" w14:paraId="0000012D">
      <w:pPr>
        <w:pageBreakBefore w:val="0"/>
        <w:spacing w:after="240" w:before="240" w:line="276" w:lineRule="auto"/>
        <w:rPr/>
      </w:pPr>
      <w:r w:rsidDel="00000000" w:rsidR="00000000" w:rsidRPr="00000000">
        <w:rPr>
          <w:rtl w:val="0"/>
        </w:rPr>
        <w:t xml:space="preserve">In the following section our broad aim is to understand how sensitive Nigeria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2E">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2F">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130">
      <w:pPr>
        <w:pageBreakBefore w:val="0"/>
        <w:spacing w:after="240" w:before="240" w:line="276" w:lineRule="auto"/>
        <w:rPr/>
      </w:pPr>
      <w:r w:rsidDel="00000000" w:rsidR="00000000" w:rsidRPr="00000000">
        <w:rPr>
          <w:rtl w:val="0"/>
        </w:rPr>
        <w:t xml:space="preserve">The graphs are formulated as follows: There are four ECI Sensitivity graphs. The first two represent data from 2018. The first chart shows positive shocks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31">
      <w:pPr>
        <w:pageBreakBefore w:val="0"/>
        <w:jc w:val="both"/>
        <w:rPr>
          <w:b w:val="1"/>
          <w:bCs w:val="1"/>
        </w:rPr>
      </w:pPr>
      <w:r w:rsidDel="00000000" w:rsidR="00000000" w:rsidRPr="00000000">
        <w:rPr>
          <w:b w:val="1"/>
          <w:bCs w:val="1"/>
        </w:rPr>
        <w:drawing>
          <wp:inline distB="114300" distT="114300" distL="114300" distR="114300">
            <wp:extent cx="5310188" cy="2519630"/>
            <wp:effectExtent b="0" l="0" r="0" t="0"/>
            <wp:docPr id="5" name="image1.jpg"/>
            <a:graphic>
              <a:graphicData uri="http://schemas.openxmlformats.org/drawingml/2006/picture">
                <pic:pic>
                  <pic:nvPicPr>
                    <pic:cNvPr id="0" name="image1.jpg"/>
                    <pic:cNvPicPr preferRelativeResize="0"/>
                  </pic:nvPicPr>
                  <pic:blipFill>
                    <a:blip r:embed="rId23"/>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pageBreakBefore w:val="0"/>
        <w:jc w:val="center"/>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33">
      <w:pPr>
        <w:pageBreakBefore w:val="0"/>
        <w:jc w:val="both"/>
        <w:rPr>
          <w:b w:val="1"/>
          <w:bCs w:val="1"/>
        </w:rPr>
      </w:pPr>
      <w:r w:rsidDel="00000000" w:rsidR="00000000" w:rsidRPr="00000000">
        <w:rPr>
          <w:rtl w:val="0"/>
        </w:rPr>
      </w:r>
    </w:p>
    <w:p w:rsidR="00000000" w:rsidDel="00000000" w:rsidP="00000000" w:rsidRDefault="00000000" w:rsidRPr="00000000" w14:paraId="00000134">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135">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36">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37">
      <w:pPr>
        <w:pageBreakBefore w:val="0"/>
        <w:spacing w:line="276" w:lineRule="auto"/>
        <w:rPr/>
      </w:pPr>
      <w:r w:rsidDel="00000000" w:rsidR="00000000" w:rsidRPr="00000000">
        <w:rPr>
          <w:rtl w:val="0"/>
        </w:rPr>
        <w:t xml:space="preserve">Similar to the ECI sensitivity graphs above, we will be shocking the export of Daily Instruments and Wood Products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38">
      <w:pPr>
        <w:pageBreakBefore w:val="0"/>
        <w:spacing w:line="276" w:lineRule="auto"/>
        <w:rPr/>
      </w:pPr>
      <w:r w:rsidDel="00000000" w:rsidR="00000000" w:rsidRPr="00000000">
        <w:rPr>
          <w:rtl w:val="0"/>
        </w:rPr>
      </w:r>
    </w:p>
    <w:p w:rsidR="00000000" w:rsidDel="00000000" w:rsidP="00000000" w:rsidRDefault="00000000" w:rsidRPr="00000000" w14:paraId="00000139">
      <w:pPr>
        <w:pageBreakBefore w:val="0"/>
        <w:jc w:val="both"/>
        <w:rPr/>
      </w:pPr>
      <w:r w:rsidDel="00000000" w:rsidR="00000000" w:rsidRPr="00000000">
        <w:rPr/>
        <w:drawing>
          <wp:inline distB="114300" distT="114300" distL="114300" distR="114300">
            <wp:extent cx="5734050" cy="1739900"/>
            <wp:effectExtent b="0" l="0" r="0" t="0"/>
            <wp:docPr id="11" name="image6.jpg"/>
            <a:graphic>
              <a:graphicData uri="http://schemas.openxmlformats.org/drawingml/2006/picture">
                <pic:pic>
                  <pic:nvPicPr>
                    <pic:cNvPr id="0" name="image6.jpg"/>
                    <pic:cNvPicPr preferRelativeResize="0"/>
                  </pic:nvPicPr>
                  <pic:blipFill>
                    <a:blip r:embed="rId24"/>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pageBreakBefore w:val="0"/>
        <w:ind w:left="720" w:firstLine="720"/>
        <w:jc w:val="both"/>
        <w:rPr>
          <w:sz w:val="22"/>
          <w:szCs w:val="22"/>
        </w:rPr>
      </w:pPr>
      <w:r w:rsidDel="00000000" w:rsidR="00000000" w:rsidRPr="00000000">
        <w:rPr>
          <w:sz w:val="22"/>
          <w:szCs w:val="22"/>
          <w:rtl w:val="0"/>
        </w:rPr>
        <w:t xml:space="preserve">Example High-complexity Products 2018 (Incremental SDV Sensitivity)</w:t>
      </w:r>
    </w:p>
    <w:p w:rsidR="00000000" w:rsidDel="00000000" w:rsidP="00000000" w:rsidRDefault="00000000" w:rsidRPr="00000000" w14:paraId="0000013B">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13C">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13D">
      <w:pPr>
        <w:pageBreakBefore w:val="0"/>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To create the contingency strategy table we decrease  the export level for each industry in the country’s current production space by 60% respectively. The three highest ranking industries in the new SDV are then returned. </w:t>
      </w:r>
    </w:p>
    <w:p w:rsidR="00000000" w:rsidDel="00000000" w:rsidP="00000000" w:rsidRDefault="00000000" w:rsidRPr="00000000" w14:paraId="0000013E">
      <w:pPr>
        <w:pageBreakBefore w:val="0"/>
        <w:spacing w:line="276" w:lineRule="auto"/>
        <w:rPr/>
      </w:pPr>
      <w:r w:rsidDel="00000000" w:rsidR="00000000" w:rsidRPr="00000000">
        <w:rPr>
          <w:rtl w:val="0"/>
        </w:rPr>
      </w:r>
    </w:p>
    <w:p w:rsidR="00000000" w:rsidDel="00000000" w:rsidP="00000000" w:rsidRDefault="00000000" w:rsidRPr="00000000" w14:paraId="0000013F">
      <w:pPr>
        <w:pageBreakBefore w:val="0"/>
        <w:jc w:val="center"/>
        <w:rPr>
          <w:sz w:val="22"/>
          <w:szCs w:val="22"/>
        </w:rPr>
      </w:pPr>
      <w:r w:rsidDel="00000000" w:rsidR="00000000" w:rsidRPr="00000000">
        <w:rPr>
          <w:sz w:val="22"/>
          <w:szCs w:val="22"/>
        </w:rPr>
        <w:drawing>
          <wp:inline distB="114300" distT="114300" distL="114300" distR="114300">
            <wp:extent cx="4600575" cy="2989911"/>
            <wp:effectExtent b="0" l="0" r="0" t="0"/>
            <wp:docPr id="4" name="image2.jpg"/>
            <a:graphic>
              <a:graphicData uri="http://schemas.openxmlformats.org/drawingml/2006/picture">
                <pic:pic>
                  <pic:nvPicPr>
                    <pic:cNvPr id="0" name="image2.jpg"/>
                    <pic:cNvPicPr preferRelativeResize="0"/>
                  </pic:nvPicPr>
                  <pic:blipFill>
                    <a:blip r:embed="rId25"/>
                    <a:srcRect b="0" l="0" r="0" t="0"/>
                    <a:stretch>
                      <a:fillRect/>
                    </a:stretch>
                  </pic:blipFill>
                  <pic:spPr>
                    <a:xfrm>
                      <a:off x="0" y="0"/>
                      <a:ext cx="4600575" cy="2989911"/>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pageBreakBefore w:val="0"/>
        <w:jc w:val="center"/>
        <w:rPr>
          <w:sz w:val="22"/>
          <w:szCs w:val="22"/>
        </w:rPr>
      </w:pPr>
      <w:r w:rsidDel="00000000" w:rsidR="00000000" w:rsidRPr="00000000">
        <w:rPr>
          <w:sz w:val="22"/>
          <w:szCs w:val="22"/>
          <w:rtl w:val="0"/>
        </w:rPr>
        <w:t xml:space="preserve">Example Contingency Strategy 2018</w:t>
      </w:r>
    </w:p>
    <w:p w:rsidR="00000000" w:rsidDel="00000000" w:rsidP="00000000" w:rsidRDefault="00000000" w:rsidRPr="00000000" w14:paraId="00000141">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2">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3">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4">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45">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6">
      <w:pPr>
        <w:pageBreakBefore w:val="0"/>
        <w:jc w:val="both"/>
        <w:rPr/>
      </w:pPr>
      <w:r w:rsidDel="00000000" w:rsidR="00000000" w:rsidRPr="00000000">
        <w:rPr>
          <w:rtl w:val="0"/>
        </w:rPr>
        <w:t xml:space="preserve">Below is Nigeria’s 2018 ECI Sensitivity Charts. Firstly in the positive chart, we notice immediately that increases in Daily Instruments, Food &amp; Preparation, and Vegetables, Fruits and Plants lead to an uptrend in ECI. Daily Instruments offer the best ECI growth per unit of export increase. All other industries tend to not greatly affect the ECI level making it fairly clear which industries to pursue. </w:t>
      </w:r>
    </w:p>
    <w:p w:rsidR="00000000" w:rsidDel="00000000" w:rsidP="00000000" w:rsidRDefault="00000000" w:rsidRPr="00000000" w14:paraId="00000147">
      <w:pPr>
        <w:pageBreakBefore w:val="0"/>
        <w:jc w:val="both"/>
        <w:rPr/>
      </w:pPr>
      <w:r w:rsidDel="00000000" w:rsidR="00000000" w:rsidRPr="00000000">
        <w:rPr>
          <w:rtl w:val="0"/>
        </w:rPr>
      </w:r>
    </w:p>
    <w:p w:rsidR="00000000" w:rsidDel="00000000" w:rsidP="00000000" w:rsidRDefault="00000000" w:rsidRPr="00000000" w14:paraId="00000148">
      <w:pPr>
        <w:pageBreakBefore w:val="0"/>
        <w:rPr/>
      </w:pPr>
      <w:r w:rsidDel="00000000" w:rsidR="00000000" w:rsidRPr="00000000">
        <w:rPr>
          <w:rtl w:val="0"/>
        </w:rPr>
        <w:t xml:space="preserve">Next we consider Nigeria’s 2018 Negative Shock chart. We see that Nigeria’s ECI is sensitive to drawdowns in Energy Drilling and Mining and Animals and by-products.  </w:t>
      </w:r>
    </w:p>
    <w:p w:rsidR="00000000" w:rsidDel="00000000" w:rsidP="00000000" w:rsidRDefault="00000000" w:rsidRPr="00000000" w14:paraId="00000149">
      <w:pPr>
        <w:pageBreakBefore w:val="0"/>
        <w:rPr/>
      </w:pPr>
      <w:r w:rsidDel="00000000" w:rsidR="00000000" w:rsidRPr="00000000">
        <w:rPr>
          <w:rtl w:val="0"/>
        </w:rPr>
      </w:r>
    </w:p>
    <w:p w:rsidR="00000000" w:rsidDel="00000000" w:rsidP="00000000" w:rsidRDefault="00000000" w:rsidRPr="00000000" w14:paraId="0000014A">
      <w:pPr>
        <w:pageBreakBefore w:val="0"/>
        <w:rPr/>
      </w:pPr>
      <w:r w:rsidDel="00000000" w:rsidR="00000000" w:rsidRPr="00000000">
        <w:rPr>
          <w:rtl w:val="0"/>
        </w:rPr>
      </w:r>
    </w:p>
    <w:p w:rsidR="00000000" w:rsidDel="00000000" w:rsidP="00000000" w:rsidRDefault="00000000" w:rsidRPr="00000000" w14:paraId="0000014B">
      <w:pPr>
        <w:pageBreakBefore w:val="0"/>
        <w:rPr/>
      </w:pPr>
      <w:r w:rsidDel="00000000" w:rsidR="00000000" w:rsidRPr="00000000">
        <w:rPr>
          <w:rtl w:val="0"/>
        </w:rPr>
      </w:r>
    </w:p>
    <w:p w:rsidR="00000000" w:rsidDel="00000000" w:rsidP="00000000" w:rsidRDefault="00000000" w:rsidRPr="00000000" w14:paraId="0000014C">
      <w:pPr>
        <w:pageBreakBefore w:val="0"/>
        <w:jc w:val="both"/>
        <w:rPr>
          <w:b w:val="1"/>
          <w:bCs w:val="1"/>
        </w:rPr>
      </w:pPr>
      <w:r w:rsidDel="00000000" w:rsidR="00000000" w:rsidRPr="00000000">
        <w:rPr>
          <w:b w:val="1"/>
          <w:bCs w:val="1"/>
        </w:rPr>
        <w:drawing>
          <wp:inline distB="114300" distT="114300" distL="114300" distR="114300">
            <wp:extent cx="5731200" cy="3022600"/>
            <wp:effectExtent b="0" l="0" r="0" t="0"/>
            <wp:docPr id="3"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pageBreakBefore w:val="0"/>
        <w:jc w:val="center"/>
        <w:rPr/>
      </w:pPr>
      <w:r w:rsidDel="00000000" w:rsidR="00000000" w:rsidRPr="00000000">
        <w:rPr>
          <w:rtl w:val="0"/>
        </w:rPr>
        <w:t xml:space="preserve">Nigeria 2018 (Incremental ECI Sensitivity)</w:t>
      </w:r>
    </w:p>
    <w:p w:rsidR="00000000" w:rsidDel="00000000" w:rsidP="00000000" w:rsidRDefault="00000000" w:rsidRPr="00000000" w14:paraId="0000014E">
      <w:pPr>
        <w:pageBreakBefore w:val="0"/>
        <w:jc w:val="center"/>
        <w:rPr/>
      </w:pPr>
      <w:r w:rsidDel="00000000" w:rsidR="00000000" w:rsidRPr="00000000">
        <w:rPr>
          <w:rtl w:val="0"/>
        </w:rPr>
      </w:r>
    </w:p>
    <w:p w:rsidR="00000000" w:rsidDel="00000000" w:rsidP="00000000" w:rsidRDefault="00000000" w:rsidRPr="00000000" w14:paraId="0000014F">
      <w:pPr>
        <w:pageBreakBefore w:val="0"/>
        <w:jc w:val="center"/>
        <w:rPr/>
      </w:pPr>
      <w:r w:rsidDel="00000000" w:rsidR="00000000" w:rsidRPr="00000000">
        <w:rPr/>
        <w:drawing>
          <wp:inline distB="114300" distT="114300" distL="114300" distR="114300">
            <wp:extent cx="5731200" cy="2908300"/>
            <wp:effectExtent b="0" l="0" r="0" t="0"/>
            <wp:docPr id="14"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pageBreakBefore w:val="0"/>
        <w:jc w:val="both"/>
        <w:rPr>
          <w:b w:val="1"/>
          <w:bCs w:val="1"/>
        </w:rPr>
      </w:pPr>
      <w:r w:rsidDel="00000000" w:rsidR="00000000" w:rsidRPr="00000000">
        <w:rPr>
          <w:rtl w:val="0"/>
        </w:rPr>
      </w:r>
    </w:p>
    <w:p w:rsidR="00000000" w:rsidDel="00000000" w:rsidP="00000000" w:rsidRDefault="00000000" w:rsidRPr="00000000" w14:paraId="00000151">
      <w:pPr>
        <w:pageBreakBefore w:val="0"/>
        <w:jc w:val="both"/>
        <w:rPr>
          <w:b w:val="1"/>
          <w:bCs w:val="1"/>
        </w:rPr>
      </w:pPr>
      <w:r w:rsidDel="00000000" w:rsidR="00000000" w:rsidRPr="00000000">
        <w:rPr>
          <w:rtl w:val="0"/>
        </w:rPr>
      </w:r>
    </w:p>
    <w:p w:rsidR="00000000" w:rsidDel="00000000" w:rsidP="00000000" w:rsidRDefault="00000000" w:rsidRPr="00000000" w14:paraId="00000152">
      <w:pPr>
        <w:pageBreakBefore w:val="0"/>
        <w:jc w:val="center"/>
        <w:rPr/>
      </w:pPr>
      <w:r w:rsidDel="00000000" w:rsidR="00000000" w:rsidRPr="00000000">
        <w:rPr>
          <w:rtl w:val="0"/>
        </w:rPr>
        <w:t xml:space="preserve">Nigeria 2018 (Decremental  ECI Sensitivity)</w:t>
      </w:r>
    </w:p>
    <w:p w:rsidR="00000000" w:rsidDel="00000000" w:rsidP="00000000" w:rsidRDefault="00000000" w:rsidRPr="00000000" w14:paraId="00000153">
      <w:pPr>
        <w:pageBreakBefore w:val="0"/>
        <w:jc w:val="center"/>
        <w:rPr/>
      </w:pPr>
      <w:r w:rsidDel="00000000" w:rsidR="00000000" w:rsidRPr="00000000">
        <w:rPr>
          <w:rtl w:val="0"/>
        </w:rPr>
      </w:r>
    </w:p>
    <w:p w:rsidR="00000000" w:rsidDel="00000000" w:rsidP="00000000" w:rsidRDefault="00000000" w:rsidRPr="00000000" w14:paraId="00000154">
      <w:pPr>
        <w:pageBreakBefore w:val="0"/>
        <w:rPr/>
      </w:pPr>
      <w:r w:rsidDel="00000000" w:rsidR="00000000" w:rsidRPr="00000000">
        <w:rPr>
          <w:rtl w:val="0"/>
        </w:rPr>
        <w:t xml:space="preserve">Next we consider the 2013 ECI Sensitivity graphs. We see that in the positive shocking case,  the landscape of ECI sensitivity has not altered significantly over the five year period. Daily Instruments seem to offer the best ECI growth prospects. Wood Products do not affect ECI levels as positively as in 2018.</w:t>
      </w:r>
    </w:p>
    <w:p w:rsidR="00000000" w:rsidDel="00000000" w:rsidP="00000000" w:rsidRDefault="00000000" w:rsidRPr="00000000" w14:paraId="00000155">
      <w:pPr>
        <w:pageBreakBefore w:val="0"/>
        <w:rPr/>
      </w:pPr>
      <w:r w:rsidDel="00000000" w:rsidR="00000000" w:rsidRPr="00000000">
        <w:rPr>
          <w:rtl w:val="0"/>
        </w:rPr>
      </w:r>
    </w:p>
    <w:p w:rsidR="00000000" w:rsidDel="00000000" w:rsidP="00000000" w:rsidRDefault="00000000" w:rsidRPr="00000000" w14:paraId="00000156">
      <w:pPr>
        <w:pageBreakBefore w:val="0"/>
        <w:rPr/>
      </w:pPr>
      <w:r w:rsidDel="00000000" w:rsidR="00000000" w:rsidRPr="00000000">
        <w:rPr>
          <w:rtl w:val="0"/>
        </w:rPr>
        <w:t xml:space="preserve">In the 2013 negative shocking case, we see that again Nigeria is very sensitive to drawdowns in High Complexity Products. </w:t>
      </w:r>
    </w:p>
    <w:p w:rsidR="00000000" w:rsidDel="00000000" w:rsidP="00000000" w:rsidRDefault="00000000" w:rsidRPr="00000000" w14:paraId="00000157">
      <w:pPr>
        <w:pageBreakBefore w:val="0"/>
        <w:rPr/>
      </w:pPr>
      <w:r w:rsidDel="00000000" w:rsidR="00000000" w:rsidRPr="00000000">
        <w:rPr>
          <w:rtl w:val="0"/>
        </w:rPr>
      </w:r>
    </w:p>
    <w:p w:rsidR="00000000" w:rsidDel="00000000" w:rsidP="00000000" w:rsidRDefault="00000000" w:rsidRPr="00000000" w14:paraId="00000158">
      <w:pPr>
        <w:tabs>
          <w:tab w:val="center" w:leader="none" w:pos="4680"/>
          <w:tab w:val="right" w:leader="none" w:pos="9360"/>
        </w:tabs>
        <w:rPr>
          <w:b w:val="1"/>
          <w:bCs w:val="1"/>
        </w:rPr>
      </w:pPr>
      <w:r w:rsidDel="00000000" w:rsidR="00000000" w:rsidRPr="00000000">
        <w:rPr>
          <w:rFonts w:ascii="Calibri" w:cs="Calibri" w:eastAsia="Calibri" w:hAnsi="Calibri"/>
        </w:rPr>
        <w:drawing>
          <wp:inline distB="114300" distT="114300" distL="114300" distR="114300">
            <wp:extent cx="5731200" cy="2819400"/>
            <wp:effectExtent b="0" l="0" r="0" t="0"/>
            <wp:docPr id="19"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pageBreakBefore w:val="0"/>
        <w:jc w:val="center"/>
        <w:rPr/>
      </w:pPr>
      <w:r w:rsidDel="00000000" w:rsidR="00000000" w:rsidRPr="00000000">
        <w:rPr>
          <w:rtl w:val="0"/>
        </w:rPr>
        <w:t xml:space="preserve">Nigeria 2013 (Incremental ECI Sensitivity)</w:t>
      </w:r>
    </w:p>
    <w:p w:rsidR="00000000" w:rsidDel="00000000" w:rsidP="00000000" w:rsidRDefault="00000000" w:rsidRPr="00000000" w14:paraId="0000015A">
      <w:pPr>
        <w:pageBreakBefore w:val="0"/>
        <w:jc w:val="both"/>
        <w:rPr>
          <w:b w:val="1"/>
          <w:bCs w:val="1"/>
        </w:rPr>
      </w:pPr>
      <w:r w:rsidDel="00000000" w:rsidR="00000000" w:rsidRPr="00000000">
        <w:rPr>
          <w:rtl w:val="0"/>
        </w:rPr>
      </w:r>
    </w:p>
    <w:p w:rsidR="00000000" w:rsidDel="00000000" w:rsidP="00000000" w:rsidRDefault="00000000" w:rsidRPr="00000000" w14:paraId="0000015B">
      <w:pPr>
        <w:pageBreakBefore w:val="0"/>
        <w:jc w:val="both"/>
        <w:rPr>
          <w:b w:val="1"/>
          <w:bCs w:val="1"/>
        </w:rPr>
      </w:pPr>
      <w:r w:rsidDel="00000000" w:rsidR="00000000" w:rsidRPr="00000000">
        <w:rPr>
          <w:b w:val="1"/>
          <w:bCs w:val="1"/>
        </w:rPr>
        <w:drawing>
          <wp:inline distB="114300" distT="114300" distL="114300" distR="114300">
            <wp:extent cx="5731200" cy="2908300"/>
            <wp:effectExtent b="0" l="0" r="0" t="0"/>
            <wp:docPr id="26"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pageBreakBefore w:val="0"/>
        <w:jc w:val="center"/>
        <w:rPr/>
      </w:pPr>
      <w:r w:rsidDel="00000000" w:rsidR="00000000" w:rsidRPr="00000000">
        <w:rPr>
          <w:rtl w:val="0"/>
        </w:rPr>
        <w:t xml:space="preserve">Nigeria 2013 (Decremental  ECI Sensitivity)</w:t>
      </w:r>
    </w:p>
    <w:p w:rsidR="00000000" w:rsidDel="00000000" w:rsidP="00000000" w:rsidRDefault="00000000" w:rsidRPr="00000000" w14:paraId="0000015D">
      <w:pPr>
        <w:pageBreakBefore w:val="0"/>
        <w:jc w:val="both"/>
        <w:rPr>
          <w:b w:val="1"/>
          <w:bCs w:val="1"/>
        </w:rPr>
      </w:pPr>
      <w:r w:rsidDel="00000000" w:rsidR="00000000" w:rsidRPr="00000000">
        <w:rPr>
          <w:rtl w:val="0"/>
        </w:rPr>
      </w:r>
    </w:p>
    <w:p w:rsidR="00000000" w:rsidDel="00000000" w:rsidP="00000000" w:rsidRDefault="00000000" w:rsidRPr="00000000" w14:paraId="0000015E">
      <w:pPr>
        <w:pageBreakBefore w:val="0"/>
        <w:jc w:val="both"/>
        <w:rPr>
          <w:b w:val="1"/>
          <w:bCs w:val="1"/>
        </w:rPr>
      </w:pPr>
      <w:r w:rsidDel="00000000" w:rsidR="00000000" w:rsidRPr="00000000">
        <w:rPr>
          <w:rtl w:val="0"/>
        </w:rPr>
      </w:r>
    </w:p>
    <w:p w:rsidR="00000000" w:rsidDel="00000000" w:rsidP="00000000" w:rsidRDefault="00000000" w:rsidRPr="00000000" w14:paraId="0000015F">
      <w:pPr>
        <w:pageBreakBefore w:val="0"/>
        <w:jc w:val="both"/>
        <w:rPr>
          <w:b w:val="1"/>
          <w:bCs w:val="1"/>
        </w:rPr>
      </w:pPr>
      <w:r w:rsidDel="00000000" w:rsidR="00000000" w:rsidRPr="00000000">
        <w:rPr>
          <w:rtl w:val="0"/>
        </w:rPr>
      </w:r>
    </w:p>
    <w:p w:rsidR="00000000" w:rsidDel="00000000" w:rsidP="00000000" w:rsidRDefault="00000000" w:rsidRPr="00000000" w14:paraId="00000160">
      <w:pPr>
        <w:pageBreakBefore w:val="0"/>
        <w:rPr/>
      </w:pPr>
      <w:r w:rsidDel="00000000" w:rsidR="00000000" w:rsidRPr="00000000">
        <w:rPr>
          <w:rtl w:val="0"/>
        </w:rPr>
        <w:t xml:space="preserve">Below we see the SDV sensitivity charts for Daily Instruments. We see that increasing the export of Daily Instruments opens up many positive opportunity gain industries for Nigeria to move into. However, there is no further increase in ECI after increasing Daily Instruments by 100% of its current value. </w:t>
      </w:r>
    </w:p>
    <w:p w:rsidR="00000000" w:rsidDel="00000000" w:rsidP="00000000" w:rsidRDefault="00000000" w:rsidRPr="00000000" w14:paraId="00000161">
      <w:pPr>
        <w:pageBreakBefore w:val="0"/>
        <w:rPr/>
      </w:pPr>
      <w:r w:rsidDel="00000000" w:rsidR="00000000" w:rsidRPr="00000000">
        <w:rPr>
          <w:rtl w:val="0"/>
        </w:rPr>
      </w:r>
    </w:p>
    <w:p w:rsidR="00000000" w:rsidDel="00000000" w:rsidP="00000000" w:rsidRDefault="00000000" w:rsidRPr="00000000" w14:paraId="00000162">
      <w:pPr>
        <w:pageBreakBefore w:val="0"/>
        <w:rPr/>
      </w:pPr>
      <w:r w:rsidDel="00000000" w:rsidR="00000000" w:rsidRPr="00000000">
        <w:rPr>
          <w:rtl w:val="0"/>
        </w:rPr>
        <w:t xml:space="preserve">In the negative Daily Instruments SDV chart, we see that it is never optimal to decrease the export of Daily Instruments lower than in its current level as that would lead to suboptimal ECI levels for Nigeria.</w:t>
      </w:r>
    </w:p>
    <w:p w:rsidR="00000000" w:rsidDel="00000000" w:rsidP="00000000" w:rsidRDefault="00000000" w:rsidRPr="00000000" w14:paraId="00000163">
      <w:pPr>
        <w:pageBreakBefore w:val="0"/>
        <w:rPr/>
      </w:pPr>
      <w:r w:rsidDel="00000000" w:rsidR="00000000" w:rsidRPr="00000000">
        <w:rPr>
          <w:rtl w:val="0"/>
        </w:rPr>
      </w:r>
    </w:p>
    <w:p w:rsidR="00000000" w:rsidDel="00000000" w:rsidP="00000000" w:rsidRDefault="00000000" w:rsidRPr="00000000" w14:paraId="00000164">
      <w:pPr>
        <w:pageBreakBefore w:val="0"/>
        <w:rPr/>
      </w:pPr>
      <w:r w:rsidDel="00000000" w:rsidR="00000000" w:rsidRPr="00000000">
        <w:rPr>
          <w:rtl w:val="0"/>
        </w:rPr>
      </w:r>
    </w:p>
    <w:p w:rsidR="00000000" w:rsidDel="00000000" w:rsidP="00000000" w:rsidRDefault="00000000" w:rsidRPr="00000000" w14:paraId="00000165">
      <w:pPr>
        <w:pageBreakBefore w:val="0"/>
        <w:rPr/>
      </w:pPr>
      <w:r w:rsidDel="00000000" w:rsidR="00000000" w:rsidRPr="00000000">
        <w:rPr>
          <w:rtl w:val="0"/>
        </w:rPr>
        <w:t xml:space="preserve">Concerning Wood Products, Nigeria seems to be mostly insensitive to this industry suggesting that this is not an important industry in terms of the stability of its SDV. </w:t>
      </w:r>
    </w:p>
    <w:p w:rsidR="00000000" w:rsidDel="00000000" w:rsidP="00000000" w:rsidRDefault="00000000" w:rsidRPr="00000000" w14:paraId="00000166">
      <w:pPr>
        <w:pageBreakBefore w:val="0"/>
        <w:rPr/>
      </w:pPr>
      <w:r w:rsidDel="00000000" w:rsidR="00000000" w:rsidRPr="00000000">
        <w:rPr>
          <w:rtl w:val="0"/>
        </w:rPr>
      </w:r>
    </w:p>
    <w:p w:rsidR="00000000" w:rsidDel="00000000" w:rsidP="00000000" w:rsidRDefault="00000000" w:rsidRPr="00000000" w14:paraId="00000167">
      <w:pPr>
        <w:pageBreakBefore w:val="0"/>
        <w:rPr/>
      </w:pPr>
      <w:r w:rsidDel="00000000" w:rsidR="00000000" w:rsidRPr="00000000">
        <w:rPr>
          <w:rtl w:val="0"/>
        </w:rPr>
      </w:r>
    </w:p>
    <w:p w:rsidR="00000000" w:rsidDel="00000000" w:rsidP="00000000" w:rsidRDefault="00000000" w:rsidRPr="00000000" w14:paraId="00000168">
      <w:pPr>
        <w:pageBreakBefore w:val="0"/>
        <w:jc w:val="center"/>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3030375" cy="2914775"/>
            <wp:effectExtent b="0" l="0" r="0" t="0"/>
            <wp:docPr id="24"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3030375" cy="2914775"/>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pageBreakBefore w:val="0"/>
        <w:ind w:left="720" w:firstLine="720"/>
        <w:jc w:val="center"/>
        <w:rPr/>
      </w:pPr>
      <w:r w:rsidDel="00000000" w:rsidR="00000000" w:rsidRPr="00000000">
        <w:rPr>
          <w:rtl w:val="0"/>
        </w:rPr>
        <w:t xml:space="preserve">Nigeria Daily Instruments 2018 (Incremental SDV Sensitivity)</w:t>
      </w:r>
    </w:p>
    <w:p w:rsidR="00000000" w:rsidDel="00000000" w:rsidP="00000000" w:rsidRDefault="00000000" w:rsidRPr="00000000" w14:paraId="0000016A">
      <w:pPr>
        <w:pageBreakBefore w:val="0"/>
        <w:jc w:val="both"/>
        <w:rPr>
          <w:b w:val="1"/>
          <w:bCs w:val="1"/>
        </w:rPr>
      </w:pPr>
      <w:r w:rsidDel="00000000" w:rsidR="00000000" w:rsidRPr="00000000">
        <w:rPr>
          <w:rtl w:val="0"/>
        </w:rPr>
      </w:r>
    </w:p>
    <w:p w:rsidR="00000000" w:rsidDel="00000000" w:rsidP="00000000" w:rsidRDefault="00000000" w:rsidRPr="00000000" w14:paraId="0000016B">
      <w:pPr>
        <w:pageBreakBefore w:val="0"/>
        <w:jc w:val="both"/>
        <w:rPr>
          <w:b w:val="1"/>
          <w:bCs w:val="1"/>
        </w:rPr>
      </w:pPr>
      <w:r w:rsidDel="00000000" w:rsidR="00000000" w:rsidRPr="00000000">
        <w:rPr>
          <w:rtl w:val="0"/>
        </w:rPr>
      </w:r>
    </w:p>
    <w:p w:rsidR="00000000" w:rsidDel="00000000" w:rsidP="00000000" w:rsidRDefault="00000000" w:rsidRPr="00000000" w14:paraId="0000016C">
      <w:pPr>
        <w:pageBreakBefore w:val="0"/>
        <w:jc w:val="center"/>
        <w:rPr>
          <w:b w:val="1"/>
          <w:bCs w:val="1"/>
        </w:rPr>
      </w:pPr>
      <w:r w:rsidDel="00000000" w:rsidR="00000000" w:rsidRPr="00000000">
        <w:rPr>
          <w:rtl w:val="0"/>
        </w:rPr>
      </w:r>
    </w:p>
    <w:p w:rsidR="00000000" w:rsidDel="00000000" w:rsidP="00000000" w:rsidRDefault="00000000" w:rsidRPr="00000000" w14:paraId="0000016D">
      <w:pPr>
        <w:pageBreakBefore w:val="0"/>
        <w:ind w:left="720" w:firstLine="720"/>
        <w:jc w:val="center"/>
        <w:rPr/>
      </w:pPr>
      <w:r w:rsidDel="00000000" w:rsidR="00000000" w:rsidRPr="00000000">
        <w:rPr/>
        <w:drawing>
          <wp:inline distB="114300" distT="114300" distL="114300" distR="114300">
            <wp:extent cx="1301587" cy="2176544"/>
            <wp:effectExtent b="0" l="0" r="0" t="0"/>
            <wp:docPr id="23"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1301587" cy="2176544"/>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ageBreakBefore w:val="0"/>
        <w:ind w:left="720" w:firstLine="720"/>
        <w:jc w:val="center"/>
        <w:rPr/>
      </w:pPr>
      <w:r w:rsidDel="00000000" w:rsidR="00000000" w:rsidRPr="00000000">
        <w:rPr>
          <w:rtl w:val="0"/>
        </w:rPr>
        <w:t xml:space="preserve">Nigeria</w:t>
      </w:r>
      <w:r w:rsidDel="00000000" w:rsidR="00000000" w:rsidRPr="00000000">
        <w:rPr>
          <w:rtl w:val="0"/>
        </w:rPr>
        <w:t xml:space="preserve"> Daily Instruments 2018 (Decremental SDV Sensitivity)</w:t>
      </w:r>
    </w:p>
    <w:p w:rsidR="00000000" w:rsidDel="00000000" w:rsidP="00000000" w:rsidRDefault="00000000" w:rsidRPr="00000000" w14:paraId="0000016F">
      <w:pPr>
        <w:pageBreakBefore w:val="0"/>
        <w:ind w:left="720" w:firstLine="720"/>
        <w:jc w:val="center"/>
        <w:rPr/>
      </w:pPr>
      <w:r w:rsidDel="00000000" w:rsidR="00000000" w:rsidRPr="00000000">
        <w:rPr>
          <w:rtl w:val="0"/>
        </w:rPr>
      </w:r>
    </w:p>
    <w:p w:rsidR="00000000" w:rsidDel="00000000" w:rsidP="00000000" w:rsidRDefault="00000000" w:rsidRPr="00000000" w14:paraId="00000170">
      <w:pPr>
        <w:ind w:left="720" w:firstLine="720"/>
        <w:jc w:val="center"/>
        <w:rPr/>
      </w:pPr>
      <w:r w:rsidDel="00000000" w:rsidR="00000000" w:rsidRPr="00000000">
        <w:rPr/>
        <w:drawing>
          <wp:inline distB="114300" distT="114300" distL="114300" distR="114300">
            <wp:extent cx="1301587" cy="2176544"/>
            <wp:effectExtent b="0" l="0" r="0" t="0"/>
            <wp:docPr id="31"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1301587" cy="2176544"/>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pageBreakBefore w:val="0"/>
        <w:ind w:left="720" w:firstLine="720"/>
        <w:jc w:val="center"/>
        <w:rPr/>
      </w:pPr>
      <w:r w:rsidDel="00000000" w:rsidR="00000000" w:rsidRPr="00000000">
        <w:rPr>
          <w:rtl w:val="0"/>
        </w:rPr>
        <w:t xml:space="preserve">Nigeria Wood Products 2018 (Incremental SDV Sensitivity)</w:t>
      </w:r>
    </w:p>
    <w:p w:rsidR="00000000" w:rsidDel="00000000" w:rsidP="00000000" w:rsidRDefault="00000000" w:rsidRPr="00000000" w14:paraId="00000172">
      <w:pPr>
        <w:pageBreakBefore w:val="0"/>
        <w:ind w:left="720" w:firstLine="720"/>
        <w:jc w:val="center"/>
        <w:rPr/>
      </w:pPr>
      <w:r w:rsidDel="00000000" w:rsidR="00000000" w:rsidRPr="00000000">
        <w:rPr>
          <w:rtl w:val="0"/>
        </w:rPr>
      </w:r>
    </w:p>
    <w:p w:rsidR="00000000" w:rsidDel="00000000" w:rsidP="00000000" w:rsidRDefault="00000000" w:rsidRPr="00000000" w14:paraId="00000173">
      <w:pPr>
        <w:ind w:left="720" w:firstLine="720"/>
        <w:jc w:val="center"/>
        <w:rPr>
          <w:b w:val="1"/>
          <w:bCs w:val="1"/>
        </w:rPr>
      </w:pPr>
      <w:r w:rsidDel="00000000" w:rsidR="00000000" w:rsidRPr="00000000">
        <w:rPr/>
        <w:drawing>
          <wp:inline distB="114300" distT="114300" distL="114300" distR="114300">
            <wp:extent cx="1301587" cy="2176544"/>
            <wp:effectExtent b="0" l="0" r="0" t="0"/>
            <wp:docPr id="6"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1301587" cy="2176544"/>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pageBreakBefore w:val="0"/>
        <w:ind w:left="720" w:firstLine="720"/>
        <w:jc w:val="center"/>
        <w:rPr/>
      </w:pPr>
      <w:r w:rsidDel="00000000" w:rsidR="00000000" w:rsidRPr="00000000">
        <w:rPr>
          <w:rtl w:val="0"/>
        </w:rPr>
        <w:t xml:space="preserve">Nigeria Wood Products 2018 (Decremental SDV Sensitivity)</w:t>
      </w:r>
    </w:p>
    <w:p w:rsidR="00000000" w:rsidDel="00000000" w:rsidP="00000000" w:rsidRDefault="00000000" w:rsidRPr="00000000" w14:paraId="00000175">
      <w:pPr>
        <w:pageBreakBefore w:val="0"/>
        <w:ind w:left="0" w:firstLine="0"/>
        <w:rPr>
          <w:b w:val="1"/>
          <w:bCs w:val="1"/>
          <w:sz w:val="28"/>
          <w:szCs w:val="28"/>
        </w:rPr>
      </w:pPr>
      <w:r w:rsidDel="00000000" w:rsidR="00000000" w:rsidRPr="00000000">
        <w:rPr>
          <w:b w:val="1"/>
          <w:bCs w:val="1"/>
          <w:sz w:val="28"/>
          <w:szCs w:val="28"/>
          <w:rtl w:val="0"/>
        </w:rPr>
        <w:t xml:space="preserve">4.4 Contingency Strategy</w:t>
      </w:r>
    </w:p>
    <w:p w:rsidR="00000000" w:rsidDel="00000000" w:rsidP="00000000" w:rsidRDefault="00000000" w:rsidRPr="00000000" w14:paraId="00000176">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7">
      <w:pPr>
        <w:pageBreakBefore w:val="0"/>
        <w:jc w:val="both"/>
        <w:rPr>
          <w:b w:val="1"/>
          <w:bCs w:val="1"/>
          <w:sz w:val="28"/>
          <w:szCs w:val="28"/>
        </w:rPr>
      </w:pPr>
      <w:r w:rsidDel="00000000" w:rsidR="00000000" w:rsidRPr="00000000">
        <w:rPr>
          <w:rtl w:val="0"/>
        </w:rPr>
        <w:t xml:space="preserve">Decreasing export of each industry in Nigeria’s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178">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9">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A">
      <w:pPr>
        <w:pageBreakBefore w:val="0"/>
        <w:jc w:val="center"/>
        <w:rPr>
          <w:b w:val="1"/>
          <w:bCs w:val="1"/>
          <w:sz w:val="28"/>
          <w:szCs w:val="28"/>
        </w:rPr>
      </w:pPr>
      <w:r w:rsidDel="00000000" w:rsidR="00000000" w:rsidRPr="00000000">
        <w:rPr>
          <w:b w:val="1"/>
          <w:bCs w:val="1"/>
          <w:sz w:val="28"/>
          <w:szCs w:val="28"/>
        </w:rPr>
        <w:drawing>
          <wp:inline distB="114300" distT="114300" distL="114300" distR="114300">
            <wp:extent cx="5324475" cy="3033713"/>
            <wp:effectExtent b="0" l="0" r="0" t="0"/>
            <wp:docPr id="21"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5324475" cy="3033713"/>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pageBreakBefore w:val="0"/>
        <w:jc w:val="center"/>
        <w:rPr>
          <w:sz w:val="22"/>
          <w:szCs w:val="22"/>
        </w:rPr>
      </w:pPr>
      <w:r w:rsidDel="00000000" w:rsidR="00000000" w:rsidRPr="00000000">
        <w:rPr>
          <w:sz w:val="22"/>
          <w:szCs w:val="22"/>
          <w:rtl w:val="0"/>
        </w:rPr>
        <w:t xml:space="preserve">Nigeria Contingency Strategy 2018</w:t>
      </w:r>
    </w:p>
    <w:p w:rsidR="00000000" w:rsidDel="00000000" w:rsidP="00000000" w:rsidRDefault="00000000" w:rsidRPr="00000000" w14:paraId="0000017C">
      <w:pPr>
        <w:pageBreakBefore w:val="0"/>
        <w:jc w:val="center"/>
        <w:rPr>
          <w:sz w:val="22"/>
          <w:szCs w:val="22"/>
        </w:rPr>
      </w:pPr>
      <w:r w:rsidDel="00000000" w:rsidR="00000000" w:rsidRPr="00000000">
        <w:rPr>
          <w:rtl w:val="0"/>
        </w:rPr>
      </w:r>
    </w:p>
    <w:p w:rsidR="00000000" w:rsidDel="00000000" w:rsidP="00000000" w:rsidRDefault="00000000" w:rsidRPr="00000000" w14:paraId="0000017D">
      <w:pPr>
        <w:pageBreakBefore w:val="0"/>
        <w:jc w:val="both"/>
        <w:rPr>
          <w:b w:val="1"/>
          <w:bCs w:val="1"/>
        </w:rPr>
      </w:pPr>
      <w:r w:rsidDel="00000000" w:rsidR="00000000" w:rsidRPr="00000000">
        <w:rPr>
          <w:rtl w:val="0"/>
        </w:rPr>
      </w:r>
    </w:p>
    <w:p w:rsidR="00000000" w:rsidDel="00000000" w:rsidP="00000000" w:rsidRDefault="00000000" w:rsidRPr="00000000" w14:paraId="0000017E">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7F">
      <w:pPr>
        <w:pageBreakBefore w:val="0"/>
        <w:jc w:val="both"/>
        <w:rPr>
          <w:b w:val="1"/>
          <w:bCs w:val="1"/>
        </w:rPr>
      </w:pPr>
      <w:r w:rsidDel="00000000" w:rsidR="00000000" w:rsidRPr="00000000">
        <w:rPr>
          <w:rtl w:val="0"/>
        </w:rPr>
      </w:r>
    </w:p>
    <w:p w:rsidR="00000000" w:rsidDel="00000000" w:rsidP="00000000" w:rsidRDefault="00000000" w:rsidRPr="00000000" w14:paraId="00000180">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81">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82">
      <w:pPr>
        <w:pageBreakBefore w:val="0"/>
        <w:jc w:val="both"/>
        <w:rPr/>
      </w:pPr>
      <w:r w:rsidDel="00000000" w:rsidR="00000000" w:rsidRPr="00000000">
        <w:rPr>
          <w:rtl w:val="0"/>
        </w:rPr>
      </w:r>
    </w:p>
    <w:p w:rsidR="00000000" w:rsidDel="00000000" w:rsidP="00000000" w:rsidRDefault="00000000" w:rsidRPr="00000000" w14:paraId="00000183">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w:t>
      </w:r>
      <w:r w:rsidDel="00000000" w:rsidR="00000000" w:rsidRPr="00000000">
        <w:rPr>
          <w:rtl w:val="0"/>
        </w:rPr>
        <w:t xml:space="preserve"> GDP (USD), ov</w:t>
      </w:r>
      <w:r w:rsidDel="00000000" w:rsidR="00000000" w:rsidRPr="00000000">
        <w:rPr>
          <w:rtl w:val="0"/>
        </w:rPr>
        <w:t xml:space="preserve">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84">
      <w:pPr>
        <w:pageBreakBefore w:val="0"/>
        <w:jc w:val="both"/>
        <w:rPr/>
      </w:pPr>
      <w:r w:rsidDel="00000000" w:rsidR="00000000" w:rsidRPr="00000000">
        <w:rPr>
          <w:rtl w:val="0"/>
        </w:rPr>
      </w:r>
    </w:p>
    <w:tbl>
      <w:tblPr>
        <w:tblStyle w:val="Table7"/>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5">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8D">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29"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8E">
      <w:pPr>
        <w:pageBreakBefore w:val="0"/>
        <w:jc w:val="center"/>
        <w:rPr/>
      </w:pPr>
      <w:r w:rsidDel="00000000" w:rsidR="00000000" w:rsidRPr="00000000">
        <w:rPr>
          <w:rtl w:val="0"/>
        </w:rPr>
        <w:t xml:space="preserve">Figure 2: Regression of Five-year GDP Growth over SOI</w:t>
      </w:r>
      <w:r w:rsidDel="00000000" w:rsidR="00000000" w:rsidRPr="00000000">
        <w:rPr>
          <w:rtl w:val="0"/>
        </w:rPr>
      </w:r>
    </w:p>
    <w:p w:rsidR="00000000" w:rsidDel="00000000" w:rsidP="00000000" w:rsidRDefault="00000000" w:rsidRPr="00000000" w14:paraId="0000018F">
      <w:pPr>
        <w:pageBreakBefore w:val="0"/>
        <w:jc w:val="both"/>
        <w:rPr/>
      </w:pPr>
      <w:r w:rsidDel="00000000" w:rsidR="00000000" w:rsidRPr="00000000">
        <w:rPr>
          <w:rtl w:val="0"/>
        </w:rPr>
      </w:r>
    </w:p>
    <w:p w:rsidR="00000000" w:rsidDel="00000000" w:rsidP="00000000" w:rsidRDefault="00000000" w:rsidRPr="00000000" w14:paraId="00000190">
      <w:pPr>
        <w:pageBreakBefore w:val="0"/>
        <w:jc w:val="both"/>
        <w:rPr>
          <w:b w:val="1"/>
          <w:bCs w:val="1"/>
        </w:rPr>
      </w:pPr>
      <w:r w:rsidDel="00000000" w:rsidR="00000000" w:rsidRPr="00000000">
        <w:rPr>
          <w:b w:val="1"/>
          <w:bCs w:val="1"/>
          <w:rtl w:val="0"/>
        </w:rPr>
        <w:t xml:space="preserve">5.2 SOI of Nigeria and Its Implications</w:t>
      </w:r>
    </w:p>
    <w:p w:rsidR="00000000" w:rsidDel="00000000" w:rsidP="00000000" w:rsidRDefault="00000000" w:rsidRPr="00000000" w14:paraId="00000191">
      <w:pPr>
        <w:pageBreakBefore w:val="0"/>
        <w:jc w:val="both"/>
        <w:rPr/>
      </w:pPr>
      <w:r w:rsidDel="00000000" w:rsidR="00000000" w:rsidRPr="00000000">
        <w:rPr>
          <w:rtl w:val="0"/>
        </w:rPr>
        <w:t xml:space="preserve">Nigeria for instance, has a high level of structural optimality as compared with its developed peers. As the regression in Figure 7 suggests (the orange curve represents export increase and the blue curve stands for opportunity gain of the corresponding industry), Nigeria demonstrates an average level of correlation with the suggested developmental path, having an adjusted R-square of around 24.1%. Nigeria ranks in top quartile among all countries in terms of SOI and has made a low rate of economic progress below its developed peers from 2013 to 2018 with a 5-year GDP growth rate of 3.06%, which is consistent with the regression result in Figure 6. This is in direct contrast to other developed economies such as Japan, where there is low SOI of around -5.7% and a corresponding GDP growth of 9.05% from 2013 to 2018, making it a much slower developing economy during the period. In sum, Nigeria’s mixed economic progress from 2013 to 2018 can be at least partially explained by a development strategy that demonstrates a decent, but not perfect, level of matches with our suggested developmental path. </w:t>
      </w:r>
      <w:r w:rsidDel="00000000" w:rsidR="00000000" w:rsidRPr="00000000">
        <w:rPr>
          <w:rtl w:val="0"/>
        </w:rPr>
        <w:t xml:space="preserve">In specific, Nigeria invested heavily in the Raw manufacturing, while it should have focused more on more complex industry groups such as Daily Instruments. That being said, it stayed fairly in line with our expectations in the metals and precious stones.</w:t>
      </w:r>
      <w:r w:rsidDel="00000000" w:rsidR="00000000" w:rsidRPr="00000000">
        <w:rPr>
          <w:rtl w:val="0"/>
        </w:rPr>
      </w:r>
    </w:p>
    <w:p w:rsidR="00000000" w:rsidDel="00000000" w:rsidP="00000000" w:rsidRDefault="00000000" w:rsidRPr="00000000" w14:paraId="00000192">
      <w:pPr>
        <w:pageBreakBefore w:val="0"/>
        <w:jc w:val="both"/>
        <w:rPr/>
      </w:pPr>
      <w:r w:rsidDel="00000000" w:rsidR="00000000" w:rsidRPr="00000000">
        <w:rPr>
          <w:rtl w:val="0"/>
        </w:rPr>
      </w:r>
    </w:p>
    <w:p w:rsidR="00000000" w:rsidDel="00000000" w:rsidP="00000000" w:rsidRDefault="00000000" w:rsidRPr="00000000" w14:paraId="00000193">
      <w:pPr>
        <w:pageBreakBefore w:val="0"/>
        <w:jc w:val="both"/>
        <w:rPr/>
      </w:pPr>
      <w:r w:rsidDel="00000000" w:rsidR="00000000" w:rsidRPr="00000000">
        <w:rPr/>
        <w:drawing>
          <wp:inline distB="114300" distT="114300" distL="114300" distR="114300">
            <wp:extent cx="5731200" cy="2298700"/>
            <wp:effectExtent b="0" l="0" r="0" t="0"/>
            <wp:docPr id="22"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pageBreakBefore w:val="0"/>
        <w:jc w:val="center"/>
        <w:rPr>
          <w:b w:val="1"/>
          <w:bCs w:val="1"/>
        </w:rPr>
      </w:pPr>
      <w:r w:rsidDel="00000000" w:rsidR="00000000" w:rsidRPr="00000000">
        <w:rPr>
          <w:rtl w:val="0"/>
        </w:rPr>
        <w:t xml:space="preserve">Figure 7: SOI of Nigeria (2009-2014)</w:t>
      </w:r>
      <w:r w:rsidDel="00000000" w:rsidR="00000000" w:rsidRPr="00000000">
        <w:rPr>
          <w:rtl w:val="0"/>
        </w:rPr>
      </w:r>
    </w:p>
    <w:p w:rsidR="00000000" w:rsidDel="00000000" w:rsidP="00000000" w:rsidRDefault="00000000" w:rsidRPr="00000000" w14:paraId="00000195">
      <w:pPr>
        <w:pageBreakBefore w:val="0"/>
        <w:jc w:val="both"/>
        <w:rPr>
          <w:b w:val="1"/>
          <w:bCs w:val="1"/>
        </w:rPr>
      </w:pPr>
      <w:r w:rsidDel="00000000" w:rsidR="00000000" w:rsidRPr="00000000">
        <w:rPr>
          <w:rtl w:val="0"/>
        </w:rPr>
      </w:r>
    </w:p>
    <w:p w:rsidR="00000000" w:rsidDel="00000000" w:rsidP="00000000" w:rsidRDefault="00000000" w:rsidRPr="00000000" w14:paraId="00000196">
      <w:pPr>
        <w:pageBreakBefore w:val="0"/>
        <w:jc w:val="both"/>
        <w:rPr>
          <w:b w:val="1"/>
          <w:bCs w:val="1"/>
        </w:rPr>
      </w:pPr>
      <w:r w:rsidDel="00000000" w:rsidR="00000000" w:rsidRPr="00000000">
        <w:rPr>
          <w:rtl w:val="0"/>
        </w:rPr>
      </w:r>
    </w:p>
    <w:p w:rsidR="00000000" w:rsidDel="00000000" w:rsidP="00000000" w:rsidRDefault="00000000" w:rsidRPr="00000000" w14:paraId="0000019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98">
      <w:pPr>
        <w:pageBreakBefore w:val="0"/>
        <w:jc w:val="both"/>
        <w:rPr/>
      </w:pPr>
      <w:r w:rsidDel="00000000" w:rsidR="00000000" w:rsidRPr="00000000">
        <w:rPr>
          <w:rtl w:val="0"/>
        </w:rPr>
      </w:r>
    </w:p>
    <w:p w:rsidR="00000000" w:rsidDel="00000000" w:rsidP="00000000" w:rsidRDefault="00000000" w:rsidRPr="00000000" w14:paraId="00000199">
      <w:pPr>
        <w:pageBreakBefore w:val="0"/>
        <w:jc w:val="both"/>
        <w:rPr/>
      </w:pPr>
      <w:r w:rsidDel="00000000" w:rsidR="00000000" w:rsidRPr="00000000">
        <w:rPr>
          <w:rtl w:val="0"/>
        </w:rPr>
        <w:t xml:space="preserve">In conclusion, Nigeria. has demonstrated a moderate level of economic growth in terms of annual GDP increase during the period from 2013 to 2018, concurrent with a decrease in economic complexity as compared with other major developed economies. </w:t>
      </w:r>
    </w:p>
    <w:p w:rsidR="00000000" w:rsidDel="00000000" w:rsidP="00000000" w:rsidRDefault="00000000" w:rsidRPr="00000000" w14:paraId="0000019A">
      <w:pPr>
        <w:pageBreakBefore w:val="0"/>
        <w:jc w:val="both"/>
        <w:rPr/>
      </w:pPr>
      <w:r w:rsidDel="00000000" w:rsidR="00000000" w:rsidRPr="00000000">
        <w:rPr>
          <w:rtl w:val="0"/>
        </w:rPr>
      </w:r>
    </w:p>
    <w:p w:rsidR="00000000" w:rsidDel="00000000" w:rsidP="00000000" w:rsidRDefault="00000000" w:rsidRPr="00000000" w14:paraId="0000019B">
      <w:pPr>
        <w:pageBreakBefore w:val="0"/>
        <w:jc w:val="both"/>
        <w:rPr/>
      </w:pPr>
      <w:r w:rsidDel="00000000" w:rsidR="00000000" w:rsidRPr="00000000">
        <w:rPr>
          <w:rtl w:val="0"/>
        </w:rPr>
        <w:t xml:space="preserve">The lack of progress during the period, we believe, can be partially explained through analysis of the economic and product complexity structure of Nigeria on the industry group level. The product classification system we adopt allows us to measure the realized industry development for various industry groups and to observe that Nigeria</w:t>
      </w:r>
      <w:r w:rsidDel="00000000" w:rsidR="00000000" w:rsidRPr="00000000">
        <w:rPr>
          <w:rtl w:val="0"/>
        </w:rPr>
        <w:t xml:space="preserve"> consistently relied on developing the Raw manufacturing industry during the period, while its developed counterparts and emerging economies around the globe have adopted much more complex and progressive paths. </w:t>
      </w:r>
      <w:r w:rsidDel="00000000" w:rsidR="00000000" w:rsidRPr="00000000">
        <w:rPr>
          <w:rtl w:val="0"/>
        </w:rPr>
      </w:r>
    </w:p>
    <w:p w:rsidR="00000000" w:rsidDel="00000000" w:rsidP="00000000" w:rsidRDefault="00000000" w:rsidRPr="00000000" w14:paraId="0000019C">
      <w:pPr>
        <w:pageBreakBefore w:val="0"/>
        <w:jc w:val="both"/>
        <w:rPr/>
      </w:pPr>
      <w:r w:rsidDel="00000000" w:rsidR="00000000" w:rsidRPr="00000000">
        <w:rPr>
          <w:rtl w:val="0"/>
        </w:rPr>
      </w:r>
    </w:p>
    <w:p w:rsidR="00000000" w:rsidDel="00000000" w:rsidP="00000000" w:rsidRDefault="00000000" w:rsidRPr="00000000" w14:paraId="0000019D">
      <w:pPr>
        <w:pageBreakBefore w:val="0"/>
        <w:jc w:val="both"/>
        <w:rPr/>
      </w:pPr>
      <w:r w:rsidDel="00000000" w:rsidR="00000000" w:rsidRPr="00000000">
        <w:rPr>
          <w:rtl w:val="0"/>
        </w:rPr>
        <w:t xml:space="preserve">Based on our analysis of the opportunity gain and a sensitivity analysis of major industry groups, Nigeria can further its gains by prioritizing Daily Instruments. We further note that Nigeria has a slightly mismatched development strategy that indicates a moderately high (compared to other developed countries) level of structural optimality on the complexity level, having an adjusted R-square of around 19.5%. Since a significant positive correlation exists between five-year GDP growth and the structural optimality index of an economy as we define and calculate, Nigeria, however, still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9E">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9F">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A0">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A1">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A2">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A3">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4">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A5">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6">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A7">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8">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A9">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A">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AB">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C">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AD">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E">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AF">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0">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B1">
      <w:pPr>
        <w:pageBreakBefore w:val="0"/>
        <w:jc w:val="both"/>
        <w:rPr/>
      </w:pPr>
      <w:r w:rsidDel="00000000" w:rsidR="00000000" w:rsidRPr="00000000">
        <w:rPr>
          <w:rtl w:val="0"/>
        </w:rPr>
      </w:r>
    </w:p>
    <w:sectPr>
      <w:headerReference r:id="rId35" w:type="default"/>
      <w:footerReference r:id="rId36" w:type="default"/>
      <w:footerReference r:id="rId37" w:type="first"/>
      <w:footerReference r:id="rId38"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5.png"/><Relationship Id="rId21" Type="http://schemas.openxmlformats.org/officeDocument/2006/relationships/image" Target="media/image7.png"/><Relationship Id="rId24" Type="http://schemas.openxmlformats.org/officeDocument/2006/relationships/image" Target="media/image6.jpg"/><Relationship Id="rId23"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22.png"/><Relationship Id="rId25" Type="http://schemas.openxmlformats.org/officeDocument/2006/relationships/image" Target="media/image2.jpg"/><Relationship Id="rId28" Type="http://schemas.openxmlformats.org/officeDocument/2006/relationships/image" Target="media/image23.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image" Target="media/image26.png"/><Relationship Id="rId7" Type="http://schemas.openxmlformats.org/officeDocument/2006/relationships/image" Target="media/image16.png"/><Relationship Id="rId8" Type="http://schemas.openxmlformats.org/officeDocument/2006/relationships/image" Target="media/image25.png"/><Relationship Id="rId31" Type="http://schemas.openxmlformats.org/officeDocument/2006/relationships/image" Target="media/image20.png"/><Relationship Id="rId30" Type="http://schemas.openxmlformats.org/officeDocument/2006/relationships/image" Target="media/image29.png"/><Relationship Id="rId11" Type="http://schemas.openxmlformats.org/officeDocument/2006/relationships/image" Target="media/image11.png"/><Relationship Id="rId33" Type="http://schemas.openxmlformats.org/officeDocument/2006/relationships/image" Target="media/image14.png"/><Relationship Id="rId10" Type="http://schemas.openxmlformats.org/officeDocument/2006/relationships/image" Target="media/image28.png"/><Relationship Id="rId32" Type="http://schemas.openxmlformats.org/officeDocument/2006/relationships/image" Target="media/image19.png"/><Relationship Id="rId13" Type="http://schemas.openxmlformats.org/officeDocument/2006/relationships/image" Target="media/image27.png"/><Relationship Id="rId35" Type="http://schemas.openxmlformats.org/officeDocument/2006/relationships/header" Target="header1.xml"/><Relationship Id="rId12" Type="http://schemas.openxmlformats.org/officeDocument/2006/relationships/image" Target="media/image18.png"/><Relationship Id="rId34" Type="http://schemas.openxmlformats.org/officeDocument/2006/relationships/image" Target="media/image17.png"/><Relationship Id="rId15" Type="http://schemas.openxmlformats.org/officeDocument/2006/relationships/image" Target="media/image5.png"/><Relationship Id="rId37" Type="http://schemas.openxmlformats.org/officeDocument/2006/relationships/footer" Target="footer3.xml"/><Relationship Id="rId14" Type="http://schemas.openxmlformats.org/officeDocument/2006/relationships/image" Target="media/image9.png"/><Relationship Id="rId36" Type="http://schemas.openxmlformats.org/officeDocument/2006/relationships/footer" Target="footer2.xml"/><Relationship Id="rId17" Type="http://schemas.openxmlformats.org/officeDocument/2006/relationships/image" Target="media/image10.png"/><Relationship Id="rId16" Type="http://schemas.openxmlformats.org/officeDocument/2006/relationships/image" Target="media/image3.png"/><Relationship Id="rId38" Type="http://schemas.openxmlformats.org/officeDocument/2006/relationships/footer" Target="footer1.xml"/><Relationship Id="rId19" Type="http://schemas.openxmlformats.org/officeDocument/2006/relationships/image" Target="media/image24.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