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5"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4050" cy="4000500"/>
            <wp:effectExtent b="0" l="0" r="0" t="0"/>
            <wp:docPr id="19" name="image24.png"/>
            <a:graphic>
              <a:graphicData uri="http://schemas.openxmlformats.org/drawingml/2006/picture">
                <pic:pic>
                  <pic:nvPicPr>
                    <pic:cNvPr id="0" name="image24.png"/>
                    <pic:cNvPicPr preferRelativeResize="0"/>
                  </pic:nvPicPr>
                  <pic:blipFill>
                    <a:blip r:embed="rId7"/>
                    <a:srcRect b="22656" l="0" r="0" t="0"/>
                    <a:stretch>
                      <a:fillRect/>
                    </a:stretch>
                  </pic:blipFill>
                  <pic:spPr>
                    <a:xfrm>
                      <a:off x="0" y="0"/>
                      <a:ext cx="57340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ind w:left="0" w:firstLine="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r w:rsidDel="00000000" w:rsidR="00000000" w:rsidRPr="00000000">
        <w:rPr>
          <w:rtl w:val="0"/>
        </w:rPr>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sz w:val="86"/>
          <w:szCs w:val="86"/>
        </w:rPr>
      </w:pPr>
      <w:bookmarkStart w:colFirst="0" w:colLast="0" w:name="_2gazcsgmxkub" w:id="1"/>
      <w:bookmarkEnd w:id="1"/>
      <w:r w:rsidDel="00000000" w:rsidR="00000000" w:rsidRPr="00000000">
        <w:rPr>
          <w:rFonts w:ascii="PT Sans Narrow" w:cs="PT Sans Narrow" w:eastAsia="PT Sans Narrow" w:hAnsi="PT Sans Narrow"/>
          <w:b w:val="1"/>
          <w:bCs w:val="1"/>
          <w:sz w:val="84"/>
          <w:szCs w:val="84"/>
          <w:rtl w:val="0"/>
        </w:rPr>
        <w:t xml:space="preserve">Overview</w:t>
      </w:r>
      <w:r w:rsidDel="00000000" w:rsidR="00000000" w:rsidRPr="00000000">
        <w:rPr>
          <w:rtl w:val="0"/>
        </w:rPr>
      </w:r>
    </w:p>
    <w:p w:rsidR="00000000" w:rsidDel="00000000" w:rsidP="00000000" w:rsidRDefault="00000000" w:rsidRPr="00000000" w14:paraId="00000004">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5">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6">
      <w:pPr>
        <w:pStyle w:val="Title"/>
        <w:pageBreakBefore w:val="0"/>
        <w:jc w:val="left"/>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pageBreakBefore w:val="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Contents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Contents Overview                                                                                   </w:t>
      </w: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Economic Complexity Index Framework                                              </w:t>
      </w:r>
      <w:r w:rsidDel="00000000" w:rsidR="00000000" w:rsidRPr="00000000">
        <w:rPr>
          <w:b w:val="1"/>
          <w:bCs w:val="1"/>
          <w:sz w:val="28"/>
          <w:szCs w:val="28"/>
          <w:rtl w:val="0"/>
        </w:rPr>
        <w:t xml:space="preserve">3</w:t>
      </w:r>
      <w:r w:rsidDel="00000000" w:rsidR="00000000" w:rsidRPr="00000000">
        <w:rPr>
          <w:rtl w:val="0"/>
        </w:rPr>
      </w:r>
    </w:p>
    <w:p w:rsidR="00000000" w:rsidDel="00000000" w:rsidP="00000000" w:rsidRDefault="00000000" w:rsidRPr="00000000" w14:paraId="0000000C">
      <w:pPr>
        <w:pageBreakBefore w:val="0"/>
        <w:rPr>
          <w:b w:val="1"/>
          <w:bCs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Economic Complexity…………………………………………….</w:t>
      </w:r>
      <w:r w:rsidDel="00000000" w:rsidR="00000000" w:rsidRPr="00000000">
        <w:rPr>
          <w:sz w:val="28"/>
          <w:szCs w:val="28"/>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Production Matrix…………………………………………………</w:t>
      </w:r>
      <w:r w:rsidDel="00000000" w:rsidR="00000000" w:rsidRPr="00000000">
        <w:rPr>
          <w:sz w:val="28"/>
          <w:szCs w:val="28"/>
          <w:rtl w:val="0"/>
        </w:rPr>
        <w:t xml:space="preserve">4</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Diversity and Ubiquity…………………………………………….5</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Economic Complexity Index and Product Complexity Index…….6</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Proximity and Distance……………………………………………6</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Opportunity Gain………………………………………………….</w:t>
      </w:r>
      <w:r w:rsidDel="00000000" w:rsidR="00000000" w:rsidRPr="00000000">
        <w:rPr>
          <w:sz w:val="28"/>
          <w:szCs w:val="28"/>
          <w:rtl w:val="0"/>
        </w:rPr>
        <w:t xml:space="preserve">7</w:t>
      </w:r>
      <w:r w:rsidDel="00000000" w:rsidR="00000000" w:rsidRPr="00000000">
        <w:rPr>
          <w:rtl w:val="0"/>
        </w:rPr>
      </w:r>
    </w:p>
    <w:p w:rsidR="00000000" w:rsidDel="00000000" w:rsidP="00000000" w:rsidRDefault="00000000" w:rsidRPr="00000000" w14:paraId="00000013">
      <w:pPr>
        <w:pageBreakBefore w:val="0"/>
        <w:rPr>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Production Analysis                                                                                 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 Categorization…………………………………………….7</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Realized Industry Development………………………..………….</w:t>
      </w:r>
      <w:r w:rsidDel="00000000" w:rsidR="00000000" w:rsidRPr="00000000">
        <w:rPr>
          <w:sz w:val="28"/>
          <w:szCs w:val="28"/>
          <w:rtl w:val="0"/>
        </w:rPr>
        <w:t xml:space="preserve">9</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Regional and Global Comparison</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sz w:val="28"/>
          <w:szCs w:val="28"/>
          <w:rtl w:val="0"/>
        </w:rPr>
        <w:t xml:space="preserve">10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Product Space Design                                                                             1</w:t>
      </w: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Suggested Development Vector………………………………….1</w:t>
      </w:r>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8"/>
          <w:szCs w:val="28"/>
          <w:shd w:fill="auto" w:val="clear"/>
          <w:vertAlign w:val="baseline"/>
        </w:rPr>
      </w:pPr>
      <w:r w:rsidDel="00000000" w:rsidR="00000000" w:rsidRPr="00000000">
        <w:rPr>
          <w:sz w:val="28"/>
          <w:szCs w:val="28"/>
          <w:rtl w:val="0"/>
        </w:rPr>
        <w:t xml:space="preserve">Budgeted Industry Development Strategy </w:t>
      </w:r>
      <w:r w:rsidDel="00000000" w:rsidR="00000000" w:rsidRPr="00000000">
        <w:rPr>
          <w:i w:val="0"/>
          <w:iCs w:val="0"/>
          <w:smallCaps w:val="0"/>
          <w:strike w:val="0"/>
          <w:color w:val="000000"/>
          <w:sz w:val="28"/>
          <w:szCs w:val="28"/>
          <w:u w:val="none"/>
          <w:shd w:fill="auto" w:val="clear"/>
          <w:vertAlign w:val="baseline"/>
          <w:rtl w:val="0"/>
        </w:rPr>
        <w:t xml:space="preserve">…..…………………..11</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Sensitivity Analysis………………………………………………1</w:t>
      </w:r>
      <w:r w:rsidDel="00000000" w:rsidR="00000000" w:rsidRPr="00000000">
        <w:rPr>
          <w:sz w:val="28"/>
          <w:szCs w:val="28"/>
          <w:rtl w:val="0"/>
        </w:rPr>
        <w:t xml:space="preserve">3</w:t>
      </w:r>
      <w:r w:rsidDel="00000000" w:rsidR="00000000" w:rsidRPr="00000000">
        <w:rPr>
          <w:rtl w:val="0"/>
        </w:rPr>
      </w:r>
    </w:p>
    <w:p w:rsidR="00000000" w:rsidDel="00000000" w:rsidP="00000000" w:rsidRDefault="00000000" w:rsidRPr="00000000" w14:paraId="0000001F">
      <w:pPr>
        <w:pageBreakBefore w:val="0"/>
        <w:numPr>
          <w:ilvl w:val="0"/>
          <w:numId w:val="3"/>
        </w:numPr>
        <w:ind w:left="1440" w:hanging="360"/>
        <w:rPr>
          <w:sz w:val="28"/>
          <w:szCs w:val="28"/>
        </w:rPr>
      </w:pPr>
      <w:r w:rsidDel="00000000" w:rsidR="00000000" w:rsidRPr="00000000">
        <w:rPr>
          <w:sz w:val="28"/>
          <w:szCs w:val="28"/>
          <w:rtl w:val="0"/>
        </w:rPr>
        <w:t xml:space="preserve">Contingency Plan  ……………………………………………… 17</w:t>
      </w:r>
      <w:r w:rsidDel="00000000" w:rsidR="00000000" w:rsidRPr="00000000">
        <w:rPr>
          <w:rtl w:val="0"/>
        </w:rPr>
      </w:r>
    </w:p>
    <w:p w:rsidR="00000000" w:rsidDel="00000000" w:rsidP="00000000" w:rsidRDefault="00000000" w:rsidRPr="00000000" w14:paraId="00000020">
      <w:pPr>
        <w:pageBreakBefore w:val="0"/>
        <w:ind w:left="1080"/>
        <w:rPr>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Macro-level Predictions                                                                         19</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Structural Optimality Index (SOI) ………………………………</w:t>
      </w:r>
      <w:r w:rsidDel="00000000" w:rsidR="00000000" w:rsidRPr="00000000">
        <w:rPr>
          <w:sz w:val="28"/>
          <w:szCs w:val="28"/>
          <w:rtl w:val="0"/>
        </w:rPr>
        <w:t xml:space="preserve">19</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SOI Examples and Implications………………………………….20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Concluding Remarks                                                                              2</w:t>
      </w:r>
      <w:r w:rsidDel="00000000" w:rsidR="00000000" w:rsidRPr="00000000">
        <w:rPr>
          <w:b w:val="1"/>
          <w:bCs w:val="1"/>
          <w:sz w:val="28"/>
          <w:szCs w:val="28"/>
          <w:rtl w:val="0"/>
        </w:rPr>
        <w:t xml:space="preserve">2</w:t>
      </w:r>
      <w:r w:rsidDel="00000000" w:rsidR="00000000" w:rsidRPr="00000000">
        <w:rPr>
          <w:rtl w:val="0"/>
        </w:rPr>
      </w:r>
    </w:p>
    <w:p w:rsidR="00000000" w:rsidDel="00000000" w:rsidP="00000000" w:rsidRDefault="00000000" w:rsidRPr="00000000" w14:paraId="00000027">
      <w:pPr>
        <w:pageBreakBefore w:val="0"/>
        <w:ind w:left="360"/>
        <w:rPr>
          <w:b w:val="1"/>
          <w:bCs w:val="1"/>
          <w:sz w:val="28"/>
          <w:szCs w:val="28"/>
        </w:rPr>
      </w:pPr>
      <w:r w:rsidDel="00000000" w:rsidR="00000000" w:rsidRPr="00000000">
        <w:rPr>
          <w:rtl w:val="0"/>
        </w:rPr>
      </w:r>
    </w:p>
    <w:p w:rsidR="00000000" w:rsidDel="00000000" w:rsidP="00000000" w:rsidRDefault="00000000" w:rsidRPr="00000000" w14:paraId="00000028">
      <w:pPr>
        <w:pageBreakBefore w:val="0"/>
        <w:ind w:left="360"/>
        <w:rPr>
          <w:b w:val="1"/>
          <w:bCs w:val="1"/>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                                                                                               23</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Title"/>
        <w:pageBreakBefore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 Overview of Complexity-based </w:t>
      </w:r>
    </w:p>
    <w:p w:rsidR="00000000" w:rsidDel="00000000" w:rsidP="00000000" w:rsidRDefault="00000000" w:rsidRPr="00000000" w14:paraId="0000002D">
      <w:pPr>
        <w:pStyle w:val="Title"/>
        <w:pageBreakBefore w:val="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Economic Report and Production Analysis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Contents Overview</w:t>
      </w:r>
    </w:p>
    <w:p w:rsidR="00000000" w:rsidDel="00000000" w:rsidP="00000000" w:rsidRDefault="00000000" w:rsidRPr="00000000" w14:paraId="00000030">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pPr>
      <w:r w:rsidDel="00000000" w:rsidR="00000000" w:rsidRPr="00000000">
        <w:rPr>
          <w:rtl w:val="0"/>
        </w:rPr>
        <w:t xml:space="preserve">Centuries of scientific exploration and technological progress have led the world into the </w:t>
      </w:r>
      <w:r w:rsidDel="00000000" w:rsidR="00000000" w:rsidRPr="00000000">
        <w:rPr>
          <w:rtl w:val="0"/>
        </w:rPr>
        <w:t xml:space="preserve">era of globalization. With international trade and communication at their </w:t>
      </w:r>
      <w:r w:rsidDel="00000000" w:rsidR="00000000" w:rsidRPr="00000000">
        <w:rPr>
          <w:rtl w:val="0"/>
        </w:rPr>
        <w:t xml:space="preserve">highest, </w:t>
      </w:r>
      <w:r w:rsidDel="00000000" w:rsidR="00000000" w:rsidRPr="00000000">
        <w:rPr>
          <w:rtl w:val="0"/>
        </w:rPr>
        <w:t xml:space="preserve">diversification dominates </w:t>
      </w:r>
      <w:r w:rsidDel="00000000" w:rsidR="00000000" w:rsidRPr="00000000">
        <w:rPr>
          <w:rtl w:val="0"/>
        </w:rPr>
        <w:t xml:space="preserve">production patterns on a global scale. </w:t>
      </w:r>
      <w:r w:rsidDel="00000000" w:rsidR="00000000" w:rsidRPr="00000000">
        <w:rPr>
          <w:rtl w:val="0"/>
        </w:rPr>
        <w:t xml:space="preserve">National specialization begets diversity at a global level. For geopolitical and historical reasons, countries face different economic obstacles for which they have developed their own strategic solutions through trials. To ensure the </w:t>
      </w:r>
      <w:r w:rsidDel="00000000" w:rsidR="00000000" w:rsidRPr="00000000">
        <w:rPr>
          <w:rtl w:val="0"/>
        </w:rPr>
        <w:t xml:space="preserve">economic wellbeing of their country, g</w:t>
      </w:r>
      <w:r w:rsidDel="00000000" w:rsidR="00000000" w:rsidRPr="00000000">
        <w:rPr>
          <w:rtl w:val="0"/>
        </w:rPr>
        <w:t xml:space="preserve">overnments require a reliable metric to assess their strategy so that they can make proper adjustments promptly. This report aims to </w:t>
      </w:r>
      <w:r w:rsidDel="00000000" w:rsidR="00000000" w:rsidRPr="00000000">
        <w:rPr>
          <w:rtl w:val="0"/>
        </w:rPr>
        <w:t xml:space="preserve">foreground such a metric by</w:t>
      </w:r>
      <w:r w:rsidDel="00000000" w:rsidR="00000000" w:rsidRPr="00000000">
        <w:rPr>
          <w:rtl w:val="0"/>
        </w:rPr>
        <w:t xml:space="preserve"> tracing countries’ economic paths and </w:t>
      </w:r>
      <w:r w:rsidDel="00000000" w:rsidR="00000000" w:rsidRPr="00000000">
        <w:rPr>
          <w:rtl w:val="0"/>
        </w:rPr>
        <w:t xml:space="preserve">accordingly </w:t>
      </w:r>
      <w:r w:rsidDel="00000000" w:rsidR="00000000" w:rsidRPr="00000000">
        <w:rPr>
          <w:rtl w:val="0"/>
        </w:rPr>
        <w:t xml:space="preserve">putting forward macro-level strategies and contingency plans.  </w:t>
      </w:r>
    </w:p>
    <w:p w:rsidR="00000000" w:rsidDel="00000000" w:rsidP="00000000" w:rsidRDefault="00000000" w:rsidRPr="00000000" w14:paraId="00000032">
      <w:pPr>
        <w:pageBreakBefore w:val="0"/>
        <w:jc w:val="both"/>
        <w:rPr>
          <w:rFonts w:ascii="CaeciliaLTStd-Light" w:cs="CaeciliaLTStd-Light" w:eastAsia="CaeciliaLTStd-Light" w:hAnsi="CaeciliaLTStd-Light"/>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W</w:t>
      </w:r>
      <w:r w:rsidDel="00000000" w:rsidR="00000000" w:rsidRPr="00000000">
        <w:rPr>
          <w:rtl w:val="0"/>
        </w:rPr>
        <w:t xml:space="preserve">e examine the period of 2013 to 2018 from the perspective of Gross Domestic Production per Capita and product space. GDP per Capita, a monetary measure of the market value of all final goods and services produced divided by population, reflects countries’ production capability, but fails to take into account the structure of the product space. The product space is the set of industries a country has productive knowledge on, weighted by the relative abundance of such knowledge. Equivalently, we can define the product space as the set of products a country is capable of producing, such that it can determine the potential and </w:t>
      </w:r>
      <w:r w:rsidDel="00000000" w:rsidR="00000000" w:rsidRPr="00000000">
        <w:rPr>
          <w:rtl w:val="0"/>
        </w:rPr>
        <w:t xml:space="preserve">sustainability of an economy.</w:t>
      </w:r>
      <w:r w:rsidDel="00000000" w:rsidR="00000000" w:rsidRPr="00000000">
        <w:rPr>
          <w:rtl w:val="0"/>
        </w:rPr>
        <w:t xml:space="preserve"> The structure of the product space indicates the amount, quality and “shape” of productive knowledge amassed by countries. Concretely, we can observe the prolonged challenges of Arab oil-exporting countries due to their heavy dependence on oil production and relative lack of other productive knowledge, which has shown to induce unemployment, vulnerability to oil prices changes, unsustainability of economic growth, and difficulty of shifting to high-end industries. </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As in the case of oil-exporting countries, others  have each accumulated specific production knowledge and industrial infrastructure. Consequently, the underlying cost of developing an industry, as well as the profitability of investing in an unfamiliar product, can vary extensively across countries. If a country does not  have a robust machinery manufacturing industry as support, it has to invest enormously to excel at developing high complexity products. We maintain that the productive knowledge embedded in an industry has the potential to enable a country’s expansion into a wide variety of higher-complexity products and thus carries a significance far greater than the monetary benefits added to GDP per Capita.</w:t>
      </w:r>
    </w:p>
    <w:p w:rsidR="00000000" w:rsidDel="00000000" w:rsidP="00000000" w:rsidRDefault="00000000" w:rsidRPr="00000000" w14:paraId="00000036">
      <w:pPr>
        <w:pageBreakBefore w:val="0"/>
        <w:jc w:val="both"/>
        <w:rPr>
          <w:rFonts w:ascii="CaeciliaLTStd-Light" w:cs="CaeciliaLTStd-Light" w:eastAsia="CaeciliaLTStd-Light" w:hAnsi="CaeciliaLTStd-Light"/>
          <w:sz w:val="20"/>
          <w:szCs w:val="20"/>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t xml:space="preserve">Therefore, we implement the Economic Complexity Index framework established in </w:t>
      </w:r>
      <w:r w:rsidDel="00000000" w:rsidR="00000000" w:rsidRPr="00000000">
        <w:rPr>
          <w:i w:val="1"/>
          <w:iCs w:val="1"/>
          <w:rtl w:val="0"/>
        </w:rPr>
        <w:t xml:space="preserve">The Atlas of Economic Complexity Index Mapping Paths to Prosperity</w:t>
      </w:r>
      <w:r w:rsidDel="00000000" w:rsidR="00000000" w:rsidRPr="00000000">
        <w:rPr>
          <w:rtl w:val="0"/>
        </w:rPr>
        <w:t xml:space="preserve"> to evaluate the structure of product space and industries for countries. These are calculated as Economic Complexity Index (ECI) and Product Complexity Index (PCI), respectively. Their specific mathematical definition and derivation will be covered in Section 2.</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Subsequent sections discuss how we construct the ECI </w:t>
      </w:r>
      <w:r w:rsidDel="00000000" w:rsidR="00000000" w:rsidRPr="00000000">
        <w:rPr>
          <w:rtl w:val="0"/>
        </w:rPr>
        <w:t xml:space="preserve">framework from which we derive an optimal industry development strategy and prove its relaxed optimality by contrasting it with the real-world industry development strategy. We put forward the optimal budgeted industry development strategy for less developed countries to optimize the expansion process of their product space. </w:t>
      </w:r>
      <w:r w:rsidDel="00000000" w:rsidR="00000000" w:rsidRPr="00000000">
        <w:rPr>
          <w:rtl w:val="0"/>
        </w:rPr>
        <w:t xml:space="preserve">Furthermore, we </w:t>
      </w:r>
      <w:r w:rsidDel="00000000" w:rsidR="00000000" w:rsidRPr="00000000">
        <w:rPr>
          <w:rtl w:val="0"/>
        </w:rPr>
        <w:t xml:space="preserve">conduct sensitivity analysis to prepare developed and fast developing countries for upheavals in their product space, such as a </w:t>
      </w:r>
      <w:r w:rsidDel="00000000" w:rsidR="00000000" w:rsidRPr="00000000">
        <w:rPr>
          <w:rtl w:val="0"/>
        </w:rPr>
        <w:t xml:space="preserve">potential </w:t>
      </w:r>
      <w:r w:rsidDel="00000000" w:rsidR="00000000" w:rsidRPr="00000000">
        <w:rPr>
          <w:rtl w:val="0"/>
        </w:rPr>
        <w:t xml:space="preserve">collapse of their cornerstone industries.</w:t>
      </w:r>
    </w:p>
    <w:p w:rsidR="00000000" w:rsidDel="00000000" w:rsidP="00000000" w:rsidRDefault="00000000" w:rsidRPr="00000000" w14:paraId="0000003A">
      <w:pPr>
        <w:pageBreakBefore w:val="0"/>
        <w:jc w:val="both"/>
        <w:rPr/>
      </w:pPr>
      <w:r w:rsidDel="00000000" w:rsidR="00000000" w:rsidRPr="00000000">
        <w:rPr>
          <w:rtl w:val="0"/>
        </w:rPr>
        <w:t xml:space="preserve"> </w:t>
      </w:r>
    </w:p>
    <w:p w:rsidR="00000000" w:rsidDel="00000000" w:rsidP="00000000" w:rsidRDefault="00000000" w:rsidRPr="00000000" w14:paraId="0000003B">
      <w:pPr>
        <w:pageBreakBefore w:val="0"/>
        <w:jc w:val="both"/>
        <w:rPr/>
      </w:pPr>
      <w:r w:rsidDel="00000000" w:rsidR="00000000" w:rsidRPr="00000000">
        <w:rPr>
          <w:rtl w:val="0"/>
        </w:rPr>
        <w:t xml:space="preserve"> The path of economic development is rife with uncertainty and misleading signals. All strategies and descriptions derived in national reports are not one hundred percent precise or determined; thus, the </w:t>
      </w:r>
      <w:r w:rsidDel="00000000" w:rsidR="00000000" w:rsidRPr="00000000">
        <w:rPr>
          <w:rtl w:val="0"/>
        </w:rPr>
        <w:t xml:space="preserve">report includes </w:t>
      </w:r>
      <w:r w:rsidDel="00000000" w:rsidR="00000000" w:rsidRPr="00000000">
        <w:rPr>
          <w:rtl w:val="0"/>
        </w:rPr>
        <w:t xml:space="preserve">key hindrances that may engender such bias. </w:t>
      </w:r>
      <w:r w:rsidDel="00000000" w:rsidR="00000000" w:rsidRPr="00000000">
        <w:rPr>
          <w:rtl w:val="0"/>
        </w:rPr>
        <w:t xml:space="preserve">Notwithstanding, the aim is for our report to provide valuable reference as to the effectiveness of economic development from a structural perspective.</w:t>
      </w:r>
      <w:r w:rsidDel="00000000" w:rsidR="00000000" w:rsidRPr="00000000">
        <w:rPr>
          <w:rtl w:val="0"/>
        </w:rPr>
      </w:r>
    </w:p>
    <w:p w:rsidR="00000000" w:rsidDel="00000000" w:rsidP="00000000" w:rsidRDefault="00000000" w:rsidRPr="00000000" w14:paraId="0000003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Economic Complexity Index Framework</w:t>
      </w:r>
    </w:p>
    <w:p w:rsidR="00000000" w:rsidDel="00000000" w:rsidP="00000000" w:rsidRDefault="00000000" w:rsidRPr="00000000" w14:paraId="0000003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F">
      <w:pPr>
        <w:pageBreakBefore w:val="0"/>
        <w:jc w:val="both"/>
        <w:rPr>
          <w:b w:val="1"/>
          <w:bCs w:val="1"/>
        </w:rPr>
      </w:pPr>
      <w:r w:rsidDel="00000000" w:rsidR="00000000" w:rsidRPr="00000000">
        <w:rPr>
          <w:b w:val="1"/>
          <w:bCs w:val="1"/>
          <w:rtl w:val="0"/>
        </w:rPr>
        <w:t xml:space="preserve">2.1.1 Economic Complexity</w:t>
      </w:r>
    </w:p>
    <w:p w:rsidR="00000000" w:rsidDel="00000000" w:rsidP="00000000" w:rsidRDefault="00000000" w:rsidRPr="00000000" w14:paraId="00000040">
      <w:pPr>
        <w:pageBreakBefore w:val="0"/>
        <w:jc w:val="both"/>
        <w:rPr/>
      </w:pPr>
      <w:r w:rsidDel="00000000" w:rsidR="00000000" w:rsidRPr="00000000">
        <w:rPr>
          <w:rtl w:val="0"/>
        </w:rPr>
        <w:t xml:space="preserve">The production of goods can be decomposed into a bundle of productive knowledge pieces.  For instance, the production of a book requires papers and ink, etc. To further break it down, the production of paper relies on the agricultural knowledge of planting trees, machinery knowledge of building printers, and a wide range of expertise, such as papermaking. We can treat a product as a composition of relative productive knowledge, just as a manufactured combination of raw materials.  The total quantity and range of productive knowledge determines the product space and productivity of a country. The complexity of an economy is, therefore, related to the multiplicity of productive knowledge amassed. To be more specific, Economic Complexity is a measure of the capability for an economy to structure and utilize the productive knowledge it has acquired. </w:t>
      </w:r>
    </w:p>
    <w:p w:rsidR="00000000" w:rsidDel="00000000" w:rsidP="00000000" w:rsidRDefault="00000000" w:rsidRPr="00000000" w14:paraId="0000004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2">
      <w:pPr>
        <w:pageBreakBefore w:val="0"/>
        <w:jc w:val="both"/>
        <w:rPr>
          <w:b w:val="1"/>
          <w:bCs w:val="1"/>
        </w:rPr>
      </w:pPr>
      <w:r w:rsidDel="00000000" w:rsidR="00000000" w:rsidRPr="00000000">
        <w:rPr>
          <w:b w:val="1"/>
          <w:bCs w:val="1"/>
          <w:rtl w:val="0"/>
        </w:rPr>
        <w:t xml:space="preserve">2.1.2 Explicit and Tacit Knowledge</w:t>
      </w:r>
    </w:p>
    <w:p w:rsidR="00000000" w:rsidDel="00000000" w:rsidP="00000000" w:rsidRDefault="00000000" w:rsidRPr="00000000" w14:paraId="00000043">
      <w:pPr>
        <w:pageBreakBefore w:val="0"/>
        <w:jc w:val="both"/>
        <w:rPr/>
      </w:pPr>
      <w:r w:rsidDel="00000000" w:rsidR="00000000" w:rsidRPr="00000000">
        <w:rPr>
          <w:rtl w:val="0"/>
        </w:rPr>
        <w:t xml:space="preserve">Productive knowledge can be classified into two categories based on the difficulty of transferring such knowledge. Explicit knowledge is the knowledge that can be transferred easily by reading and listening, while tacit knowledge requires systematic teaching and learning process. For instance, weather forecasting and bus schedules are typical explicit knowledge. In contrast, semiconductor manufacturing and shell oil drilling are examples of tacit knowledge. A lack of tacit knowledge is the source of hindrance that an economy faces in its development and growth. Embedding tacit knowledge is a long and costly process, so people are trained for specific tasks and organizations are geared towards specific goals.</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pageBreakBefore w:val="0"/>
        <w:jc w:val="both"/>
        <w:rPr>
          <w:rFonts w:ascii="Times" w:cs="Times" w:eastAsia="Times" w:hAnsi="Times"/>
          <w:b w:val="1"/>
          <w:bCs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pageBreakBefore w:val="0"/>
        <w:jc w:val="both"/>
        <w:rPr>
          <w:b w:val="1"/>
          <w:bCs w:val="1"/>
        </w:rPr>
      </w:pPr>
      <w:r w:rsidDel="00000000" w:rsidR="00000000" w:rsidRPr="00000000">
        <w:rPr>
          <w:b w:val="1"/>
          <w:bCs w:val="1"/>
          <w:rtl w:val="0"/>
        </w:rPr>
        <w:t xml:space="preserve">2.1.3 Capability </w:t>
      </w:r>
    </w:p>
    <w:p w:rsidR="00000000" w:rsidDel="00000000" w:rsidP="00000000" w:rsidRDefault="00000000" w:rsidRPr="00000000" w14:paraId="00000047">
      <w:pPr>
        <w:pageBreakBefore w:val="0"/>
        <w:jc w:val="both"/>
        <w:rPr/>
      </w:pPr>
      <w:r w:rsidDel="00000000" w:rsidR="00000000" w:rsidRPr="00000000">
        <w:rPr>
          <w:rtl w:val="0"/>
        </w:rPr>
        <w:t xml:space="preserve">We define capability as modularized chunks of knowledge that are fully necessary for someone to perform certain functions. Nowadays, the society coins more capability modules and further breaks down existing modules into branches to follow the rapid technological development. As an analogy, to respond to the increasing knowledge and complexity of jobs, the university system doesn’t lengthen the time it takes to get a college degree. Instead, the universities are splitting majors into more specific branches. For instance, breaking the natural philosophy into physics, chemistry, mathematics, etc. Moreover, the university is adding new subjects, such as financial engineering.</w:t>
      </w:r>
    </w:p>
    <w:p w:rsidR="00000000" w:rsidDel="00000000" w:rsidP="00000000" w:rsidRDefault="00000000" w:rsidRPr="00000000" w14:paraId="0000004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9">
      <w:pPr>
        <w:pageBreakBefore w:val="0"/>
        <w:jc w:val="both"/>
        <w:rPr>
          <w:b w:val="1"/>
          <w:bCs w:val="1"/>
        </w:rPr>
      </w:pPr>
      <w:r w:rsidDel="00000000" w:rsidR="00000000" w:rsidRPr="00000000">
        <w:rPr>
          <w:b w:val="1"/>
          <w:bCs w:val="1"/>
          <w:rtl w:val="0"/>
        </w:rPr>
        <w:t xml:space="preserve">2.1.4 Personbyte </w:t>
      </w:r>
    </w:p>
    <w:p w:rsidR="00000000" w:rsidDel="00000000" w:rsidP="00000000" w:rsidRDefault="00000000" w:rsidRPr="00000000" w14:paraId="0000004A">
      <w:pPr>
        <w:pageBreakBefore w:val="0"/>
        <w:jc w:val="both"/>
        <w:rPr/>
      </w:pPr>
      <w:r w:rsidDel="00000000" w:rsidR="00000000" w:rsidRPr="00000000">
        <w:rPr>
          <w:rtl w:val="0"/>
        </w:rPr>
        <w:t xml:space="preserve">Most products, nevertheless, require more knowledge than that can be mastered by any individual. Therefore, those products require that individuals with different capabilities interact. A product that requires 100 different personbytes cannot be made by a micro-entrepreneur working on her own. Instead, it has to be made collectively either by an organization with at least 100 individuals or by a network of organizations that can aggregate these 100 personbytes of knowledge. A deep division of labor enables individuals to become experts in small pieces of the available knowledge. Then, the labor forces aggregate their personbytes into </w:t>
      </w:r>
      <w:r w:rsidDel="00000000" w:rsidR="00000000" w:rsidRPr="00000000">
        <w:rPr>
          <w:i w:val="1"/>
          <w:iCs w:val="1"/>
          <w:rtl w:val="0"/>
        </w:rPr>
        <w:t xml:space="preserve">peoplebytes </w:t>
      </w:r>
      <w:r w:rsidDel="00000000" w:rsidR="00000000" w:rsidRPr="00000000">
        <w:rPr>
          <w:rtl w:val="0"/>
        </w:rPr>
        <w:t xml:space="preserve">through cooperation across organizations.</w:t>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both"/>
        <w:rPr>
          <w:b w:val="1"/>
          <w:bCs w:val="1"/>
        </w:rPr>
      </w:pPr>
      <w:r w:rsidDel="00000000" w:rsidR="00000000" w:rsidRPr="00000000">
        <w:rPr>
          <w:b w:val="1"/>
          <w:bCs w:val="1"/>
          <w:rtl w:val="0"/>
        </w:rPr>
        <w:t xml:space="preserve">2.1.5 Economic Complexity Index</w:t>
      </w:r>
    </w:p>
    <w:p w:rsidR="00000000" w:rsidDel="00000000" w:rsidP="00000000" w:rsidRDefault="00000000" w:rsidRPr="00000000" w14:paraId="0000004D">
      <w:pPr>
        <w:pageBreakBefore w:val="0"/>
        <w:jc w:val="both"/>
        <w:rPr/>
      </w:pPr>
      <w:r w:rsidDel="00000000" w:rsidR="00000000" w:rsidRPr="00000000">
        <w:rPr>
          <w:rtl w:val="0"/>
        </w:rPr>
        <w:t xml:space="preserve">As aforementioned, the Economic Complexity Index is a standardized measure of  the capacity of a country to hold and combine knowledge. Economic Complexity Index (ECI) can account for a significant fraction of the cross-country variation in income per capita and economic growth, and that the ECI is a much stronger predictor of growth than other</w:t>
      </w:r>
    </w:p>
    <w:p w:rsidR="00000000" w:rsidDel="00000000" w:rsidP="00000000" w:rsidRDefault="00000000" w:rsidRPr="00000000" w14:paraId="0000004E">
      <w:pPr>
        <w:pageBreakBefore w:val="0"/>
        <w:jc w:val="both"/>
        <w:rPr/>
      </w:pPr>
      <w:r w:rsidDel="00000000" w:rsidR="00000000" w:rsidRPr="00000000">
        <w:rPr>
          <w:rtl w:val="0"/>
        </w:rPr>
        <w:t xml:space="preserve">commonly used indicators that measure human capital, governance or competitiveness.</w:t>
      </w:r>
    </w:p>
    <w:p w:rsidR="00000000" w:rsidDel="00000000" w:rsidP="00000000" w:rsidRDefault="00000000" w:rsidRPr="00000000" w14:paraId="0000004F">
      <w:pPr>
        <w:pageBreakBefore w:val="0"/>
        <w:jc w:val="both"/>
        <w:rPr/>
      </w:pPr>
      <w:r w:rsidDel="00000000" w:rsidR="00000000" w:rsidRPr="00000000">
        <w:rPr>
          <w:rtl w:val="0"/>
        </w:rPr>
      </w:r>
    </w:p>
    <w:p w:rsidR="00000000" w:rsidDel="00000000" w:rsidP="00000000" w:rsidRDefault="00000000" w:rsidRPr="00000000" w14:paraId="00000050">
      <w:pPr>
        <w:pageBreakBefore w:val="0"/>
        <w:jc w:val="both"/>
        <w:rPr>
          <w:b w:val="1"/>
          <w:bCs w:val="1"/>
        </w:rPr>
      </w:pPr>
      <w:r w:rsidDel="00000000" w:rsidR="00000000" w:rsidRPr="00000000">
        <w:rPr>
          <w:rtl w:val="0"/>
        </w:rPr>
      </w:r>
    </w:p>
    <w:p w:rsidR="00000000" w:rsidDel="00000000" w:rsidP="00000000" w:rsidRDefault="00000000" w:rsidRPr="00000000" w14:paraId="00000051">
      <w:pPr>
        <w:pageBreakBefore w:val="0"/>
        <w:jc w:val="both"/>
        <w:rPr>
          <w:b w:val="1"/>
          <w:bCs w:val="1"/>
        </w:rPr>
      </w:pPr>
      <w:r w:rsidDel="00000000" w:rsidR="00000000" w:rsidRPr="00000000">
        <w:rPr>
          <w:b w:val="1"/>
          <w:bCs w:val="1"/>
          <w:rtl w:val="0"/>
        </w:rPr>
        <w:t xml:space="preserve">2.2 Production Matrix: M</w:t>
      </w:r>
      <w:r w:rsidDel="00000000" w:rsidR="00000000" w:rsidRPr="00000000">
        <w:rPr>
          <w:b w:val="1"/>
          <w:bCs w:val="1"/>
          <w:vertAlign w:val="subscript"/>
          <w:rtl w:val="0"/>
        </w:rPr>
        <w:t xml:space="preserve">cp</w:t>
      </w:r>
      <w:r w:rsidDel="00000000" w:rsidR="00000000" w:rsidRPr="00000000">
        <w:rPr>
          <w:b w:val="1"/>
          <w:bCs w:val="1"/>
          <w:rtl w:val="0"/>
        </w:rPr>
        <w:t xml:space="preserve"> </w:t>
      </w:r>
    </w:p>
    <w:p w:rsidR="00000000" w:rsidDel="00000000" w:rsidP="00000000" w:rsidRDefault="00000000" w:rsidRPr="00000000" w14:paraId="00000052">
      <w:pPr>
        <w:pageBreakBefore w:val="0"/>
        <w:jc w:val="both"/>
        <w:rPr/>
      </w:pPr>
      <w:r w:rsidDel="00000000" w:rsidR="00000000" w:rsidRPr="00000000">
        <w:rPr>
          <w:rtl w:val="0"/>
        </w:rPr>
        <w:t xml:space="preserve">With no authoritative and universal data source regarding production by industries, we estimate the production by volume of export provided by UN COMTRADE.  This rough approximation is a major source of discrepancy. Export is affected by political, geographical and all kinds of factors, hence cannot precisely represent the production. In the scope of the report, the production and export are the same measurement. For those readers who indeed have access to the production data, replacing the export by production dataset should enhance the performance of the metric to a great extent.</w:t>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t xml:space="preserve">Instead of absolute advantage in production, we are more interested in the comparative advantage when we discuss how dominant a country is with respect to a product. Due to the size and population, China is likely to have a larger volume of export in almost every product compared to Cambodia. However, in practice, Cambodia is always comparatively dominant in some products of which the national production divided by the sum of national production of all products are higher than China. Similarly, we use comparative measure to offset the fact that some products are always produced in a larger quantity across countries. </w:t>
      </w:r>
    </w:p>
    <w:p w:rsidR="00000000" w:rsidDel="00000000" w:rsidP="00000000" w:rsidRDefault="00000000" w:rsidRPr="00000000" w14:paraId="00000055">
      <w:pPr>
        <w:pageBreakBefore w:val="0"/>
        <w:jc w:val="both"/>
        <w:rPr/>
      </w:pPr>
      <w:r w:rsidDel="00000000" w:rsidR="00000000" w:rsidRPr="00000000">
        <w:rPr>
          <w:rtl w:val="0"/>
        </w:rPr>
      </w:r>
    </w:p>
    <w:p w:rsidR="00000000" w:rsidDel="00000000" w:rsidP="00000000" w:rsidRDefault="00000000" w:rsidRPr="00000000" w14:paraId="00000056">
      <w:pPr>
        <w:pageBreakBefore w:val="0"/>
        <w:jc w:val="both"/>
        <w:rPr>
          <w:i w:val="1"/>
          <w:iCs w:val="1"/>
        </w:rPr>
      </w:pPr>
      <w:r w:rsidDel="00000000" w:rsidR="00000000" w:rsidRPr="00000000">
        <w:rPr>
          <w:rtl w:val="0"/>
        </w:rPr>
        <w:t xml:space="preserve">Balassa defines Revealed Comparative Advantage (RCA) as </w:t>
      </w:r>
      <w:r w:rsidDel="00000000" w:rsidR="00000000" w:rsidRPr="00000000">
        <w:rPr>
          <w:i w:val="1"/>
          <w:iCs w:val="1"/>
          <w:rtl w:val="0"/>
        </w:rPr>
        <w:t xml:space="preserve">“a country has Revealed Comparative Advantage in a product if it exports more than its “fair” share, that is, a share that is equal to the share of total world trade that the product represents.” </w:t>
      </w:r>
    </w:p>
    <w:p w:rsidR="00000000" w:rsidDel="00000000" w:rsidP="00000000" w:rsidRDefault="00000000" w:rsidRPr="00000000" w14:paraId="00000057">
      <w:pPr>
        <w:pageBreakBefore w:val="0"/>
        <w:jc w:val="both"/>
        <w:rPr/>
      </w:pPr>
      <w:r w:rsidDel="00000000" w:rsidR="00000000" w:rsidRPr="00000000">
        <w:rPr>
          <w:rtl w:val="0"/>
        </w:rPr>
        <w:t xml:space="preserve">Formally, given the volume of production for a pair of country c and product p, we define RCA</w:t>
      </w:r>
      <w:r w:rsidDel="00000000" w:rsidR="00000000" w:rsidRPr="00000000">
        <w:rPr>
          <w:vertAlign w:val="subscript"/>
          <w:rtl w:val="0"/>
        </w:rPr>
        <w:t xml:space="preserve">cp</w:t>
      </w:r>
      <w:r w:rsidDel="00000000" w:rsidR="00000000" w:rsidRPr="00000000">
        <w:rPr>
          <w:rtl w:val="0"/>
        </w:rPr>
        <w:t xml:space="preserve"> as </w:t>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RCA</m:t>
            </m:r>
          </m:e>
          <m:sub>
            <m:r>
              <w:rPr>
                <w:rFonts w:ascii="Cambria Math" w:cs="Cambria Math" w:eastAsia="Cambria Math" w:hAnsi="Cambria Math"/>
              </w:rPr>
              <m:t xml:space="preserve">cp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den>
        </m:f>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c,p</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cp</m:t>
                </m:r>
              </m:sub>
            </m:sSub>
          </m:den>
        </m:f>
      </m:oMath>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t xml:space="preserve">Accordingly, we define the matrix of comparative advantage in production for countries and products. “1” indicates the advantage, while “0” indicates the opposite.</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t>
        </m:r>
        <m:r>
          <w:rPr/>
          <m:t xml:space="preserve">{</m:t>
        </m:r>
        <m:r>
          <w:rPr>
            <w:rFonts w:ascii="Cambria Math" w:cs="Cambria Math" w:eastAsia="Cambria Math" w:hAnsi="Cambria Math"/>
          </w:rPr>
          <m:t xml:space="preserve"> 1  </m:t>
        </m:r>
        <m:sSub>
          <m:sSubPr>
            <m:ctrlPr>
              <w:rPr>
                <w:rFonts w:ascii="Cambria Math" w:cs="Cambria Math" w:eastAsia="Cambria Math" w:hAnsi="Cambria Math"/>
              </w:rPr>
            </m:ctrlPr>
          </m:sSubPr>
          <m:e>
            <m:r>
              <w:rPr>
                <w:rFonts w:ascii="Cambria Math" w:cs="Cambria Math" w:eastAsia="Cambria Math" w:hAnsi="Cambria Math"/>
              </w:rPr>
              <m:t xml:space="preserve">    RCA</m:t>
            </m:r>
          </m:e>
          <m:sub>
            <m:r>
              <w:rPr>
                <w:rFonts w:ascii="Cambria Math" w:cs="Cambria Math" w:eastAsia="Cambria Math" w:hAnsi="Cambria Math"/>
              </w:rPr>
              <m:t xml:space="preserve">cp</m:t>
            </m:r>
          </m:sub>
        </m:sSub>
        <m:r>
          <w:rPr>
            <w:rFonts w:ascii="Cambria Math" w:cs="Cambria Math" w:eastAsia="Cambria Math" w:hAnsi="Cambria Math"/>
          </w:rPr>
          <m:t xml:space="preserve">≥1</m:t>
        </m:r>
        <m:r>
          <w:rPr/>
          <m:t xml:space="preserve"> </m:t>
        </m:r>
        <m:r>
          <w:rPr>
            <w:rFonts w:ascii="Cambria Math" w:cs="Cambria Math" w:eastAsia="Cambria Math" w:hAnsi="Cambria Math"/>
          </w:rPr>
          <m:t xml:space="preserve">  0      Otherwise</m:t>
        </m:r>
        <m:r>
          <w:rPr/>
          <m:t xml:space="preserve"> </m:t>
        </m:r>
      </m:oMath>
      <w:r w:rsidDel="00000000" w:rsidR="00000000" w:rsidRPr="00000000">
        <w:rPr>
          <w:rtl w:val="0"/>
        </w:rPr>
      </w:r>
    </w:p>
    <w:p w:rsidR="00000000" w:rsidDel="00000000" w:rsidP="00000000" w:rsidRDefault="00000000" w:rsidRPr="00000000" w14:paraId="0000005E">
      <w:pPr>
        <w:pageBreakBefore w:val="0"/>
        <w:jc w:val="both"/>
        <w:rPr>
          <w:b w:val="1"/>
          <w:bCs w:val="1"/>
        </w:rPr>
      </w:pPr>
      <w:r w:rsidDel="00000000" w:rsidR="00000000" w:rsidRPr="00000000">
        <w:rPr>
          <w:rtl w:val="0"/>
        </w:rPr>
      </w:r>
    </w:p>
    <w:p w:rsidR="00000000" w:rsidDel="00000000" w:rsidP="00000000" w:rsidRDefault="00000000" w:rsidRPr="00000000" w14:paraId="0000005F">
      <w:pPr>
        <w:pageBreakBefore w:val="0"/>
        <w:jc w:val="both"/>
        <w:rPr>
          <w:b w:val="1"/>
          <w:bCs w:val="1"/>
        </w:rPr>
      </w:pPr>
      <w:r w:rsidDel="00000000" w:rsidR="00000000" w:rsidRPr="00000000">
        <w:rPr>
          <w:b w:val="1"/>
          <w:bCs w:val="1"/>
          <w:rtl w:val="0"/>
        </w:rPr>
        <w:t xml:space="preserve">2.3 Diversity and Ubiquity</w:t>
      </w:r>
    </w:p>
    <w:p w:rsidR="00000000" w:rsidDel="00000000" w:rsidP="00000000" w:rsidRDefault="00000000" w:rsidRPr="00000000" w14:paraId="00000060">
      <w:pPr>
        <w:pageBreakBefore w:val="0"/>
        <w:jc w:val="both"/>
        <w:rPr/>
      </w:pPr>
      <w:r w:rsidDel="00000000" w:rsidR="00000000" w:rsidRPr="00000000">
        <w:rPr>
          <w:rtl w:val="0"/>
        </w:rPr>
        <w:t xml:space="preserve">We definitely can use a sword to peel an apple, since the sword is sharp, portable and qualified in all extents for peeling an apple. Analogically, a sword has all the ‘productive knowledge’ required to peel an apple. In contrast, your laptop or Calculus textbook may not be good choices.</w:t>
      </w:r>
    </w:p>
    <w:p w:rsidR="00000000" w:rsidDel="00000000" w:rsidP="00000000" w:rsidRDefault="00000000" w:rsidRPr="00000000" w14:paraId="00000061">
      <w:pPr>
        <w:pageBreakBefore w:val="0"/>
        <w:jc w:val="both"/>
        <w:rPr/>
      </w:pPr>
      <w:r w:rsidDel="00000000" w:rsidR="00000000" w:rsidRPr="00000000">
        <w:rPr>
          <w:rtl w:val="0"/>
        </w:rPr>
        <w:t xml:space="preserve">In contrast, as long as we have access to handy peelers and knives, we are less likely to use the sword, because peeling an apple doesn’t seem to be a difficult task and we have tons of options. However, if we live in a world with only a sword, laptop, Calculus textbook, and apples, then sword suddenly becomes the most “elegant” apple peeler.  Whether a sword is good at peeling apples also depends on the amount and competitiveness of other candidates. </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Analogically, when we want to determine how dominant a country is in making a certain product, we have to consider the variety of productive knowledge the country holds, and the difficulty of making the product defined by the productive knowledge required in production.</w:t>
      </w:r>
    </w:p>
    <w:p w:rsidR="00000000" w:rsidDel="00000000" w:rsidP="00000000" w:rsidRDefault="00000000" w:rsidRPr="00000000" w14:paraId="00000064">
      <w:pPr>
        <w:pageBreakBefore w:val="0"/>
        <w:jc w:val="both"/>
        <w:rPr/>
      </w:pPr>
      <w:r w:rsidDel="00000000" w:rsidR="00000000" w:rsidRPr="00000000">
        <w:rPr>
          <w:rtl w:val="0"/>
        </w:rPr>
        <w:t xml:space="preserve">Diversity and Ubiquity are respectively such crude estimators that are formally defined below:</w:t>
      </w:r>
    </w:p>
    <w:p w:rsidR="00000000" w:rsidDel="00000000" w:rsidP="00000000" w:rsidRDefault="00000000" w:rsidRPr="00000000" w14:paraId="00000065">
      <w:pPr>
        <w:pageBreakBefore w:val="0"/>
        <w:jc w:val="center"/>
        <w:rPr/>
      </w:pPr>
      <w:r w:rsidDel="00000000" w:rsidR="00000000" w:rsidRPr="00000000">
        <w:rPr>
          <w:rtl w:val="0"/>
        </w:rPr>
      </w:r>
    </w:p>
    <w:p w:rsidR="00000000" w:rsidDel="00000000" w:rsidP="00000000" w:rsidRDefault="00000000" w:rsidRPr="00000000" w14:paraId="00000066">
      <w:pPr>
        <w:pageBreakBefore w:val="0"/>
        <w:jc w:val="center"/>
        <w:rPr/>
      </w:pPr>
      <m:oMath>
        <m:r>
          <w:rPr>
            <w:rFonts w:ascii="Cambria Math" w:cs="Cambria Math" w:eastAsia="Cambria Math" w:hAnsi="Cambria Math"/>
          </w:rPr>
          <m:t xml:space="preserve">Diversity=</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oMath>
      <w:r w:rsidDel="00000000" w:rsidR="00000000" w:rsidRPr="00000000">
        <w:rPr>
          <w:rtl w:val="0"/>
        </w:rPr>
        <w:tab/>
        <w:tab/>
        <w:tab/>
        <w:t xml:space="preserve">(1)</w:t>
      </w:r>
    </w:p>
    <w:p w:rsidR="00000000" w:rsidDel="00000000" w:rsidP="00000000" w:rsidRDefault="00000000" w:rsidRPr="00000000" w14:paraId="00000067">
      <w:pPr>
        <w:pageBreakBefore w:val="0"/>
        <w:jc w:val="center"/>
        <w:rPr/>
      </w:pPr>
      <m:oMath>
        <m:r>
          <w:rPr>
            <w:rFonts w:ascii="Cambria Math" w:cs="Cambria Math" w:eastAsia="Cambria Math" w:hAnsi="Cambria Math"/>
          </w:rPr>
          <m:t xml:space="preserve">Ubiquity=</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oMath>
      <w:r w:rsidDel="00000000" w:rsidR="00000000" w:rsidRPr="00000000">
        <w:rPr>
          <w:rtl w:val="0"/>
        </w:rPr>
        <w:t xml:space="preserve">                            (2)</w:t>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t xml:space="preserve">As shown in the apple peeler analogy, the Diversity and Ubiquity are a pair of complements and can be used to iteratively correct each other. For a country with high Diversity, we go through the Ubiquity of all products the country makes to determine whether the high Diversity attributes to exceptional productivity or a mass production of low-end products. For a product with high Ubiquity, we examine the Diversity of all its production sources to determine whether the high Ubiquity indicates the product to be high-end or just less demanded. In a few iterations, the effectiveness of correction converges to zero and the cross-correction process terminates. </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 k</m:t>
            </m:r>
          </m:e>
          <m:sub>
            <m:r>
              <w:rPr>
                <w:rFonts w:ascii="Cambria Math" w:cs="Cambria Math" w:eastAsia="Cambria Math" w:hAnsi="Cambria Math"/>
              </w:rPr>
              <m:t xml:space="preserve">p,N-1</m:t>
            </m:r>
          </m:sub>
        </m:sSub>
        <m:r>
          <w:rPr>
            <w:rFonts w:ascii="Cambria Math" w:cs="Cambria Math" w:eastAsia="Cambria Math" w:hAnsi="Cambria Math"/>
          </w:rPr>
          <m:t xml:space="preserve"> </m:t>
        </m:r>
      </m:oMath>
      <w:r w:rsidDel="00000000" w:rsidR="00000000" w:rsidRPr="00000000">
        <w:rPr>
          <w:rtl w:val="0"/>
        </w:rPr>
        <w:t xml:space="preserve"> </w:t>
        <w:tab/>
        <w:tab/>
        <w:tab/>
        <w:t xml:space="preserve">(3)</w:t>
      </w:r>
    </w:p>
    <w:p w:rsidR="00000000" w:rsidDel="00000000" w:rsidP="00000000" w:rsidRDefault="00000000" w:rsidRPr="00000000" w14:paraId="0000006C">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p,N</m:t>
            </m:r>
          </m:sub>
        </m:sSub>
        <m:r>
          <w:rPr>
            <w:rFonts w:ascii="Cambria Math" w:cs="Cambria Math" w:eastAsia="Cambria Math" w:hAnsi="Cambria Math"/>
          </w:rPr>
          <m:t xml:space="preserve">=</m:t>
        </m:r>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 k</m:t>
            </m:r>
          </m:e>
          <m:sub>
            <m:r>
              <w:rPr>
                <w:rFonts w:ascii="Cambria Math" w:cs="Cambria Math" w:eastAsia="Cambria Math" w:hAnsi="Cambria Math"/>
              </w:rPr>
              <m:t xml:space="preserve">c,N-1</m:t>
            </m:r>
          </m:sub>
        </m:sSub>
      </m:oMath>
      <w:r w:rsidDel="00000000" w:rsidR="00000000" w:rsidRPr="00000000">
        <w:rPr>
          <w:rtl w:val="0"/>
        </w:rPr>
        <w:tab/>
        <w:tab/>
        <w:tab/>
        <w:t xml:space="preserve">(4)</w:t>
      </w:r>
    </w:p>
    <w:p w:rsidR="00000000" w:rsidDel="00000000" w:rsidP="00000000" w:rsidRDefault="00000000" w:rsidRPr="00000000" w14:paraId="0000006D">
      <w:pPr>
        <w:pageBreakBefore w:val="0"/>
        <w:jc w:val="both"/>
        <w:rPr/>
      </w:pPr>
      <w:r w:rsidDel="00000000" w:rsidR="00000000" w:rsidRPr="00000000">
        <w:rPr>
          <w:rtl w:val="0"/>
        </w:rPr>
      </w:r>
    </w:p>
    <w:p w:rsidR="00000000" w:rsidDel="00000000" w:rsidP="00000000" w:rsidRDefault="00000000" w:rsidRPr="00000000" w14:paraId="0000006E">
      <w:pPr>
        <w:pageBreakBefore w:val="0"/>
        <w:jc w:val="both"/>
        <w:rPr/>
      </w:pPr>
      <w:r w:rsidDel="00000000" w:rsidR="00000000" w:rsidRPr="00000000">
        <w:rPr>
          <w:rtl w:val="0"/>
        </w:rPr>
        <w:t xml:space="preserve">Plug the value of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p,N</m:t>
            </m:r>
          </m:sub>
        </m:sSub>
      </m:oMath>
      <w:r w:rsidDel="00000000" w:rsidR="00000000" w:rsidRPr="00000000">
        <w:rPr>
          <w:rtl w:val="0"/>
        </w:rPr>
        <w:t xml:space="preserve"> into the equation of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oMath>
      <w:r w:rsidDel="00000000" w:rsidR="00000000" w:rsidRPr="00000000">
        <w:rPr>
          <w:rtl w:val="0"/>
        </w:rPr>
        <w:t xml:space="preserve">, we derive</w:t>
      </w:r>
    </w:p>
    <w:p w:rsidR="00000000" w:rsidDel="00000000" w:rsidP="00000000" w:rsidRDefault="00000000" w:rsidRPr="00000000" w14:paraId="0000006F">
      <w:pPr>
        <w:pageBreakBefore w:val="0"/>
        <w:jc w:val="center"/>
        <w:rPr/>
      </w:pPr>
      <w:r w:rsidDel="00000000" w:rsidR="00000000" w:rsidRPr="00000000">
        <w:rPr>
          <w:rtl w:val="0"/>
        </w:rPr>
      </w:r>
    </w:p>
    <w:p w:rsidR="00000000" w:rsidDel="00000000" w:rsidP="00000000" w:rsidRDefault="00000000" w:rsidRPr="00000000" w14:paraId="00000070">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sSub>
          <m:sSubPr>
            <m:ctrlPr>
              <w:rPr>
                <w:rFonts w:ascii="Cambria Math" w:cs="Cambria Math" w:eastAsia="Cambria Math" w:hAnsi="Cambria Math"/>
              </w:rPr>
            </m:ctrlPr>
          </m:sSubPr>
          <m:e>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 k</m:t>
            </m:r>
          </m:e>
          <m:sub>
            <m:r>
              <w:rPr>
                <w:rFonts w:ascii="Cambria Math" w:cs="Cambria Math" w:eastAsia="Cambria Math" w:hAnsi="Cambria Math"/>
              </w:rPr>
              <m:t xml:space="preserve">c',N-2</m:t>
            </m:r>
          </m:sub>
        </m:sSub>
      </m:oMath>
      <w:r w:rsidDel="00000000" w:rsidR="00000000" w:rsidRPr="00000000">
        <w:rPr>
          <w:rtl w:val="0"/>
        </w:rPr>
        <w:t xml:space="preserve"> </w:t>
        <w:tab/>
        <w:t xml:space="preserve">(5)</w:t>
      </w:r>
    </w:p>
    <w:p w:rsidR="00000000" w:rsidDel="00000000" w:rsidP="00000000" w:rsidRDefault="00000000" w:rsidRPr="00000000" w14:paraId="00000071">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k</m:t>
            </m:r>
          </m:e>
          <m: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m:t>
                </m:r>
              </m:sup>
            </m:sSup>
            <m:r>
              <w:rPr>
                <w:rFonts w:ascii="Cambria Math" w:cs="Cambria Math" w:eastAsia="Cambria Math" w:hAnsi="Cambria Math"/>
              </w:rPr>
              <m:t xml:space="preserve">,N-2</m:t>
            </m:r>
          </m:sub>
        </m:sSub>
        <m:nary>
          <m:naryPr>
            <m:chr m:val="∑"/>
            <m:ctrlPr>
              <w:rPr>
                <w:rFonts w:ascii="Cambria Math" w:cs="Cambria Math" w:eastAsia="Cambria Math" w:hAnsi="Cambria Math"/>
              </w:rPr>
            </m:ctrlPr>
          </m:naryPr>
          <m:sub/>
          <m:sup/>
        </m:nary>
        <m:f>
          <m:fPr>
            <m:ctrlPr>
              <w:rPr>
                <w:rFonts w:ascii="Cambria Math" w:cs="Cambria Math" w:eastAsia="Cambria Math" w:hAnsi="Cambria Math"/>
              </w:rPr>
            </m:ctrlPr>
          </m:fPr>
          <m:num>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oMath>
      <w:r w:rsidDel="00000000" w:rsidR="00000000" w:rsidRPr="00000000">
        <w:rPr>
          <w:rtl w:val="0"/>
        </w:rPr>
        <w:t xml:space="preserve">  </w:t>
        <w:tab/>
        <w:tab/>
        <w:tab/>
        <w:t xml:space="preserve">(6)</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both"/>
        <w:rPr/>
      </w:pPr>
      <w:r w:rsidDel="00000000" w:rsidR="00000000" w:rsidRPr="00000000">
        <w:rPr>
          <w:rtl w:val="0"/>
        </w:rPr>
        <w:t xml:space="preserve">Or for simplicity,</w:t>
      </w:r>
    </w:p>
    <w:p w:rsidR="00000000" w:rsidDel="00000000" w:rsidP="00000000" w:rsidRDefault="00000000" w:rsidRPr="00000000" w14:paraId="00000074">
      <w:pPr>
        <w:pageBreakBefore w:val="0"/>
        <w:jc w:val="center"/>
        <w:rPr/>
      </w:pPr>
      <w:r w:rsidDel="00000000" w:rsidR="00000000" w:rsidRPr="00000000">
        <w:rPr>
          <w:rtl w:val="0"/>
        </w:rPr>
      </w:r>
    </w:p>
    <w:p w:rsidR="00000000" w:rsidDel="00000000" w:rsidP="00000000" w:rsidRDefault="00000000" w:rsidRPr="00000000" w14:paraId="00000075">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cc'</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m:t>
                </m:r>
              </m:sup>
            </m:sSup>
            <m:r>
              <w:rPr>
                <w:rFonts w:ascii="Cambria Math" w:cs="Cambria Math" w:eastAsia="Cambria Math" w:hAnsi="Cambria Math"/>
              </w:rPr>
              <m:t xml:space="preserve">,N-2</m:t>
            </m:r>
          </m:sub>
        </m:sSub>
      </m:oMath>
      <w:r w:rsidDel="00000000" w:rsidR="00000000" w:rsidRPr="00000000">
        <w:rPr>
          <w:rtl w:val="0"/>
        </w:rPr>
        <w:t xml:space="preserve"> </w:t>
        <w:tab/>
        <w:tab/>
        <w:tab/>
        <w:t xml:space="preserve">(7)</w:t>
      </w:r>
    </w:p>
    <w:p w:rsidR="00000000" w:rsidDel="00000000" w:rsidP="00000000" w:rsidRDefault="00000000" w:rsidRPr="00000000" w14:paraId="00000076">
      <w:pPr>
        <w:pageBreakBefore w:val="0"/>
        <w:jc w:val="center"/>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cc'</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f>
          <m:fPr>
            <m:ctrlPr>
              <w:rPr>
                <w:rFonts w:ascii="Cambria Math" w:cs="Cambria Math" w:eastAsia="Cambria Math" w:hAnsi="Cambria Math"/>
              </w:rPr>
            </m:ctrlPr>
          </m:fPr>
          <m:num>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c,0</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oMath>
      <w:r w:rsidDel="00000000" w:rsidR="00000000" w:rsidRPr="00000000">
        <w:rPr>
          <w:rtl w:val="0"/>
        </w:rPr>
        <w:t xml:space="preserve"> </w:t>
        <w:tab/>
        <w:tab/>
        <w:t xml:space="preserve">             (8)</w:t>
      </w:r>
    </w:p>
    <w:p w:rsidR="00000000" w:rsidDel="00000000" w:rsidP="00000000" w:rsidRDefault="00000000" w:rsidRPr="00000000" w14:paraId="00000078">
      <w:pPr>
        <w:pageBreakBefore w:val="0"/>
        <w:jc w:val="both"/>
        <w:rPr/>
      </w:pPr>
      <w:r w:rsidDel="00000000" w:rsidR="00000000" w:rsidRPr="00000000">
        <w:rPr>
          <w:rtl w:val="0"/>
        </w:rPr>
      </w:r>
    </w:p>
    <w:p w:rsidR="00000000" w:rsidDel="00000000" w:rsidP="00000000" w:rsidRDefault="00000000" w:rsidRPr="00000000" w14:paraId="00000079">
      <w:pPr>
        <w:pageBreakBefore w:val="0"/>
        <w:jc w:val="both"/>
        <w:rPr>
          <w:b w:val="1"/>
          <w:bCs w:val="1"/>
        </w:rPr>
      </w:pPr>
      <w:r w:rsidDel="00000000" w:rsidR="00000000" w:rsidRPr="00000000">
        <w:rPr>
          <w:b w:val="1"/>
          <w:bCs w:val="1"/>
          <w:rtl w:val="0"/>
        </w:rPr>
        <w:t xml:space="preserve">2.4 Economic Complexity Index and Product Complexity Index</w:t>
      </w:r>
    </w:p>
    <w:p w:rsidR="00000000" w:rsidDel="00000000" w:rsidP="00000000" w:rsidRDefault="00000000" w:rsidRPr="00000000" w14:paraId="0000007A">
      <w:pPr>
        <w:pageBreakBefore w:val="0"/>
        <w:jc w:val="both"/>
        <w:rPr/>
      </w:pPr>
      <w:r w:rsidDel="00000000" w:rsidR="00000000" w:rsidRPr="00000000">
        <w:rPr>
          <w:rtl w:val="0"/>
        </w:rPr>
        <w:t xml:space="preserve">The largest eigenvector of M</w:t>
      </w:r>
      <w:r w:rsidDel="00000000" w:rsidR="00000000" w:rsidRPr="00000000">
        <w:rPr>
          <w:vertAlign w:val="subscript"/>
          <w:rtl w:val="0"/>
        </w:rPr>
        <w:t xml:space="preserve">cc’</w:t>
      </w:r>
      <w:r w:rsidDel="00000000" w:rsidR="00000000" w:rsidRPr="00000000">
        <w:rPr>
          <w:rtl w:val="0"/>
        </w:rPr>
        <w:t xml:space="preserve"> is a vector of ones, which satisfies equation (7)</w:t>
      </w:r>
    </w:p>
    <w:p w:rsidR="00000000" w:rsidDel="00000000" w:rsidP="00000000" w:rsidRDefault="00000000" w:rsidRPr="00000000" w14:paraId="0000007B">
      <w:pPr>
        <w:pageBreakBefore w:val="0"/>
        <w:jc w:val="both"/>
        <w:rPr/>
      </w:pPr>
      <w:r w:rsidDel="00000000" w:rsidR="00000000" w:rsidRPr="00000000">
        <w:rPr>
          <w:rtl w:val="0"/>
        </w:rPr>
        <w:t xml:space="preserve">By definition, the second largest eigenvector </w:t>
      </w:r>
      <m:oMath>
        <m:acc>
          <m:accPr>
            <m:chr m:val="⃗"/>
            <m:ctrlPr>
              <w:rPr>
                <w:rFonts w:ascii="Cambria Math" w:cs="Cambria Math" w:eastAsia="Cambria Math" w:hAnsi="Cambria Math"/>
              </w:rPr>
            </m:ctrlPr>
          </m:accPr>
          <m:e>
            <m:r>
              <w:rPr>
                <w:rFonts w:ascii="Cambria Math" w:cs="Cambria Math" w:eastAsia="Cambria Math" w:hAnsi="Cambria Math"/>
              </w:rPr>
              <m:t xml:space="preserve">K</m:t>
            </m:r>
          </m:e>
        </m:acc>
      </m:oMath>
      <w:r w:rsidDel="00000000" w:rsidR="00000000" w:rsidRPr="00000000">
        <w:rPr>
          <w:rtl w:val="0"/>
        </w:rPr>
        <w:t xml:space="preserve"> best preserves information on variance of the system. Hence, we define the Economic Complexity Index ( ECI) as:</w:t>
      </w:r>
    </w:p>
    <w:p w:rsidR="00000000" w:rsidDel="00000000" w:rsidP="00000000" w:rsidRDefault="00000000" w:rsidRPr="00000000" w14:paraId="0000007C">
      <w:pPr>
        <w:pageBreakBefore w:val="0"/>
        <w:jc w:val="both"/>
        <w:rPr/>
      </w:pPr>
      <w:r w:rsidDel="00000000" w:rsidR="00000000" w:rsidRPr="00000000">
        <w:rPr>
          <w:rtl w:val="0"/>
        </w:rPr>
      </w:r>
    </w:p>
    <w:p w:rsidR="00000000" w:rsidDel="00000000" w:rsidP="00000000" w:rsidRDefault="00000000" w:rsidRPr="00000000" w14:paraId="0000007D">
      <w:pPr>
        <w:pageBreakBefore w:val="0"/>
        <w:jc w:val="center"/>
        <w:rPr/>
      </w:pPr>
      <m:oMath>
        <m:r>
          <w:rPr>
            <w:rFonts w:ascii="Cambria Math" w:cs="Cambria Math" w:eastAsia="Cambria Math" w:hAnsi="Cambria Math"/>
          </w:rPr>
          <m:t xml:space="preserve">ECI=</m:t>
        </m:r>
        <m:f>
          <m:fPr>
            <m:ctrlPr>
              <w:rPr>
                <w:rFonts w:ascii="Cambria Math" w:cs="Cambria Math" w:eastAsia="Cambria Math" w:hAnsi="Cambria Math"/>
              </w:rPr>
            </m:ctrlPr>
          </m:fPr>
          <m:num>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-&lt;</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&gt;</m:t>
            </m:r>
          </m:num>
          <m:den>
            <m:r>
              <w:rPr>
                <w:rFonts w:ascii="Cambria Math" w:cs="Cambria Math" w:eastAsia="Cambria Math" w:hAnsi="Cambria Math"/>
              </w:rPr>
              <m:t xml:space="preserve">stdev(</m:t>
            </m:r>
            <m:acc>
              <m:accPr>
                <m:chr m:val="⃗"/>
                <m:ctrlPr>
                  <w:rPr>
                    <w:rFonts w:ascii="Cambria Math" w:cs="Cambria Math" w:eastAsia="Cambria Math" w:hAnsi="Cambria Math"/>
                  </w:rPr>
                </m:ctrlPr>
              </m:accPr>
              <m:e>
                <m:r>
                  <w:rPr>
                    <w:rFonts w:ascii="Cambria Math" w:cs="Cambria Math" w:eastAsia="Cambria Math" w:hAnsi="Cambria Math"/>
                  </w:rPr>
                  <m:t xml:space="preserve">K</m:t>
                </m:r>
              </m:e>
            </m:acc>
            <m:r>
              <w:rPr>
                <w:rFonts w:ascii="Cambria Math" w:cs="Cambria Math" w:eastAsia="Cambria Math" w:hAnsi="Cambria Math"/>
              </w:rPr>
              <m:t xml:space="preserve">)</m:t>
            </m:r>
          </m:den>
        </m:f>
      </m:oMath>
      <w:r w:rsidDel="00000000" w:rsidR="00000000" w:rsidRPr="00000000">
        <w:rPr>
          <w:rtl w:val="0"/>
        </w:rPr>
        <w:t xml:space="preserve"> </w:t>
        <w:tab/>
        <w:tab/>
        <w:tab/>
        <w:tab/>
        <w:t xml:space="preserve">(9)</w:t>
      </w:r>
    </w:p>
    <w:p w:rsidR="00000000" w:rsidDel="00000000" w:rsidP="00000000" w:rsidRDefault="00000000" w:rsidRPr="00000000" w14:paraId="0000007E">
      <w:pPr>
        <w:pageBreakBefore w:val="0"/>
        <w:jc w:val="both"/>
        <w:rPr/>
      </w:pPr>
      <w:r w:rsidDel="00000000" w:rsidR="00000000" w:rsidRPr="00000000">
        <w:rPr>
          <w:rtl w:val="0"/>
        </w:rPr>
      </w:r>
    </w:p>
    <w:p w:rsidR="00000000" w:rsidDel="00000000" w:rsidP="00000000" w:rsidRDefault="00000000" w:rsidRPr="00000000" w14:paraId="0000007F">
      <w:pPr>
        <w:pageBreakBefore w:val="0"/>
        <w:jc w:val="both"/>
        <w:rPr/>
      </w:pPr>
      <w:r w:rsidDel="00000000" w:rsidR="00000000" w:rsidRPr="00000000">
        <w:rPr>
          <w:rtl w:val="0"/>
        </w:rPr>
        <w:t xml:space="preserve">where &lt; &gt; stands for numeric mean, and stdev stands for the standard deviation.</w:t>
      </w:r>
    </w:p>
    <w:p w:rsidR="00000000" w:rsidDel="00000000" w:rsidP="00000000" w:rsidRDefault="00000000" w:rsidRPr="00000000" w14:paraId="00000080">
      <w:pPr>
        <w:pageBreakBefore w:val="0"/>
        <w:jc w:val="both"/>
        <w:rPr/>
      </w:pPr>
      <w:r w:rsidDel="00000000" w:rsidR="00000000" w:rsidRPr="00000000">
        <w:rPr>
          <w:rtl w:val="0"/>
        </w:rPr>
      </w:r>
    </w:p>
    <w:p w:rsidR="00000000" w:rsidDel="00000000" w:rsidP="00000000" w:rsidRDefault="00000000" w:rsidRPr="00000000" w14:paraId="00000081">
      <w:pPr>
        <w:pageBreakBefore w:val="0"/>
        <w:jc w:val="both"/>
        <w:rPr/>
      </w:pPr>
      <w:r w:rsidDel="00000000" w:rsidR="00000000" w:rsidRPr="00000000">
        <w:rPr>
          <w:rtl w:val="0"/>
        </w:rPr>
        <w:t xml:space="preserve">By the same token, we plug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c,N</m:t>
            </m:r>
          </m:sub>
        </m:sSub>
      </m:oMath>
      <w:r w:rsidDel="00000000" w:rsidR="00000000" w:rsidRPr="00000000">
        <w:rPr>
          <w:rtl w:val="0"/>
        </w:rPr>
        <w:t xml:space="preserve"> into the equation of </w:t>
      </w: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p,N</m:t>
            </m:r>
          </m:sub>
        </m:sSub>
      </m:oMath>
      <w:r w:rsidDel="00000000" w:rsidR="00000000" w:rsidRPr="00000000">
        <w:rPr>
          <w:rtl w:val="0"/>
        </w:rPr>
        <w:t xml:space="preserve"> , calculate the second largest eigenvector </w:t>
      </w:r>
      <m:oMath>
        <m:acc>
          <m:accPr>
            <m:chr m:val="⃗"/>
            <m:ctrlPr>
              <w:rPr>
                <w:rFonts w:ascii="Cambria Math" w:cs="Cambria Math" w:eastAsia="Cambria Math" w:hAnsi="Cambria Math"/>
              </w:rPr>
            </m:ctrlPr>
          </m:accPr>
          <m:e>
            <m:r>
              <w:rPr>
                <w:rFonts w:ascii="Cambria Math" w:cs="Cambria Math" w:eastAsia="Cambria Math" w:hAnsi="Cambria Math"/>
              </w:rPr>
              <m:t xml:space="preserve">Q</m:t>
            </m:r>
          </m:e>
        </m:acc>
      </m:oMath>
      <w:r w:rsidDel="00000000" w:rsidR="00000000" w:rsidRPr="00000000">
        <w:rPr>
          <w:rtl w:val="0"/>
        </w:rPr>
        <w:t xml:space="preserve"> of M</w:t>
      </w:r>
      <w:r w:rsidDel="00000000" w:rsidR="00000000" w:rsidRPr="00000000">
        <w:rPr>
          <w:vertAlign w:val="subscript"/>
          <w:rtl w:val="0"/>
        </w:rPr>
        <w:t xml:space="preserve">pp’,</w:t>
      </w:r>
      <w:r w:rsidDel="00000000" w:rsidR="00000000" w:rsidRPr="00000000">
        <w:rPr>
          <w:rtl w:val="0"/>
        </w:rPr>
        <w:t xml:space="preserve"> and define Product Complexity Index ( PCI) as</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center"/>
        <w:rPr/>
      </w:pPr>
      <m:oMath>
        <m:r>
          <w:rPr>
            <w:rFonts w:ascii="Cambria Math" w:cs="Cambria Math" w:eastAsia="Cambria Math" w:hAnsi="Cambria Math"/>
          </w:rPr>
          <m:t xml:space="preserve">PCI=</m:t>
        </m:r>
        <m:f>
          <m:fPr>
            <m:ctrlPr>
              <w:rPr>
                <w:rFonts w:ascii="Cambria Math" w:cs="Cambria Math" w:eastAsia="Cambria Math" w:hAnsi="Cambria Math"/>
              </w:rPr>
            </m:ctrlPr>
          </m:fPr>
          <m:num>
            <m:acc>
              <m:accPr>
                <m:chr m:val="⃗"/>
                <m:ctrlPr>
                  <w:rPr>
                    <w:rFonts w:ascii="Cambria Math" w:cs="Cambria Math" w:eastAsia="Cambria Math" w:hAnsi="Cambria Math"/>
                  </w:rPr>
                </m:ctrlPr>
              </m:accPr>
              <m:e>
                <m:r>
                  <w:rPr>
                    <w:rFonts w:ascii="Cambria Math" w:cs="Cambria Math" w:eastAsia="Cambria Math" w:hAnsi="Cambria Math"/>
                  </w:rPr>
                  <m:t xml:space="preserve">Q</m:t>
                </m:r>
              </m:e>
            </m:acc>
            <m:r>
              <w:rPr>
                <w:rFonts w:ascii="Cambria Math" w:cs="Cambria Math" w:eastAsia="Cambria Math" w:hAnsi="Cambria Math"/>
              </w:rPr>
              <m:t xml:space="preserve">-&lt;</m:t>
            </m:r>
            <m:acc>
              <m:accPr>
                <m:chr m:val="⃗"/>
                <m:ctrlPr>
                  <w:rPr>
                    <w:rFonts w:ascii="Cambria Math" w:cs="Cambria Math" w:eastAsia="Cambria Math" w:hAnsi="Cambria Math"/>
                  </w:rPr>
                </m:ctrlPr>
              </m:accPr>
              <m:e>
                <m:r>
                  <w:rPr>
                    <w:rFonts w:ascii="Cambria Math" w:cs="Cambria Math" w:eastAsia="Cambria Math" w:hAnsi="Cambria Math"/>
                  </w:rPr>
                  <m:t xml:space="preserve">Q</m:t>
                </m:r>
              </m:e>
            </m:acc>
            <m:r>
              <w:rPr>
                <w:rFonts w:ascii="Cambria Math" w:cs="Cambria Math" w:eastAsia="Cambria Math" w:hAnsi="Cambria Math"/>
              </w:rPr>
              <m:t xml:space="preserve">&gt;</m:t>
            </m:r>
          </m:num>
          <m:den>
            <m:r>
              <w:rPr>
                <w:rFonts w:ascii="Cambria Math" w:cs="Cambria Math" w:eastAsia="Cambria Math" w:hAnsi="Cambria Math"/>
              </w:rPr>
              <m:t xml:space="preserve">stdev(</m:t>
            </m:r>
            <m:acc>
              <m:accPr>
                <m:chr m:val="⃗"/>
                <m:ctrlPr>
                  <w:rPr>
                    <w:rFonts w:ascii="Cambria Math" w:cs="Cambria Math" w:eastAsia="Cambria Math" w:hAnsi="Cambria Math"/>
                  </w:rPr>
                </m:ctrlPr>
              </m:accPr>
              <m:e>
                <m:r>
                  <w:rPr>
                    <w:rFonts w:ascii="Cambria Math" w:cs="Cambria Math" w:eastAsia="Cambria Math" w:hAnsi="Cambria Math"/>
                  </w:rPr>
                  <m:t xml:space="preserve">Q</m:t>
                </m:r>
              </m:e>
            </m:acc>
            <m:r>
              <w:rPr>
                <w:rFonts w:ascii="Cambria Math" w:cs="Cambria Math" w:eastAsia="Cambria Math" w:hAnsi="Cambria Math"/>
              </w:rPr>
              <m:t xml:space="preserve">)</m:t>
            </m:r>
          </m:den>
        </m:f>
      </m:oMath>
      <w:r w:rsidDel="00000000" w:rsidR="00000000" w:rsidRPr="00000000">
        <w:rPr>
          <w:rtl w:val="0"/>
        </w:rPr>
        <w:t xml:space="preserve"> </w:t>
        <w:tab/>
        <w:tab/>
        <w:tab/>
        <w:tab/>
        <w:t xml:space="preserve">(10)</w:t>
      </w:r>
    </w:p>
    <w:p w:rsidR="00000000" w:rsidDel="00000000" w:rsidP="00000000" w:rsidRDefault="00000000" w:rsidRPr="00000000" w14:paraId="00000084">
      <w:pPr>
        <w:pageBreakBefore w:val="0"/>
        <w:jc w:val="both"/>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t xml:space="preserve">Where &lt; &gt; stands for numeric mean, and stdev stands for the standard deviation.</w:t>
      </w: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b w:val="1"/>
          <w:bCs w:val="1"/>
          <w:rtl w:val="0"/>
        </w:rPr>
        <w:t xml:space="preserve">2.5 Proximity and Distance</w:t>
      </w:r>
    </w:p>
    <w:p w:rsidR="00000000" w:rsidDel="00000000" w:rsidP="00000000" w:rsidRDefault="00000000" w:rsidRPr="00000000" w14:paraId="00000088">
      <w:pPr>
        <w:pageBreakBefore w:val="0"/>
        <w:jc w:val="both"/>
        <w:rPr/>
      </w:pPr>
      <w:r w:rsidDel="00000000" w:rsidR="00000000" w:rsidRPr="00000000">
        <w:rPr>
          <w:rtl w:val="0"/>
        </w:rPr>
        <w:t xml:space="preserve">As aforementioned, an economy always faces multiple paths in the journey of its development, or equivalently, expansion of product space. While a certain sequence is efficient and reasonable for some countries, it may not be the case for others.  Certain products are close substitute. They share high proximity in a sense that possessing the productive knowledge embedded in their production makes it easier to produce the others. We then define connectedness of z product as the numeric average of proximity of it to all other products.  After calculation, high-end products clearly exhibit high connectedness, while rudimental products tend to be far away from other products. The intuition is to use the joint probability of co-producing two products as the estimator of proximity. However, this doesn’t work out well. Instead, we use the minimum between the conditional probability of exporting product p given the country is currently exporting product p’ and that of exporting p’ given the country is exporting p, as our measure. We choose the minimum of each pair of conditional probability to minimize the false positive rate.</w:t>
      </w:r>
    </w:p>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c</m:t>
                </m:r>
              </m:sub>
              <m:sup/>
            </m:nary>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cp</m:t>
                    </m:r>
                  </m:sub>
                </m:sSub>
                <m:r>
                  <w:rPr>
                    <w:rFonts w:ascii="Cambria Math" w:cs="Cambria Math" w:eastAsia="Cambria Math" w:hAnsi="Cambria Math"/>
                  </w:rPr>
                  <m:t xml:space="preserve">M</m:t>
                </m:r>
              </m:e>
              <m:sub>
                <m:r>
                  <w:rPr>
                    <w:rFonts w:ascii="Cambria Math" w:cs="Cambria Math" w:eastAsia="Cambria Math" w:hAnsi="Cambria Math"/>
                  </w:rPr>
                  <m:t xml:space="preserve">cp'</m:t>
                </m:r>
              </m:sub>
            </m:sSub>
          </m:num>
          <m:den>
            <m:sSub>
              <m:sSubPr>
                <m:ctrlPr>
                  <w:rPr>
                    <w:rFonts w:ascii="Cambria Math" w:cs="Cambria Math" w:eastAsia="Cambria Math" w:hAnsi="Cambria Math"/>
                  </w:rPr>
                </m:ctrlPr>
              </m:sSubPr>
              <m:e>
                <m:r>
                  <w:rPr>
                    <w:rFonts w:ascii="Cambria Math" w:cs="Cambria Math" w:eastAsia="Cambria Math" w:hAnsi="Cambria Math"/>
                  </w:rPr>
                  <m:t xml:space="preserve">max(k</m:t>
                </m:r>
              </m:e>
              <m:sub>
                <m:r>
                  <w:rPr>
                    <w:rFonts w:ascii="Cambria Math" w:cs="Cambria Math" w:eastAsia="Cambria Math" w:hAnsi="Cambria Math"/>
                  </w:rPr>
                  <m:t xml:space="preserve">p,0,</m:t>
                </m:r>
              </m:sub>
            </m:sSub>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p',0)</m:t>
                </m:r>
              </m:sub>
            </m:sSub>
          </m:den>
        </m:f>
      </m:oMath>
      <w:r w:rsidDel="00000000" w:rsidR="00000000" w:rsidRPr="00000000">
        <w:rPr>
          <w:rtl w:val="0"/>
        </w:rPr>
        <w:t xml:space="preserve"> </w:t>
        <w:tab/>
        <w:tab/>
        <w:tab/>
        <w:tab/>
        <w:t xml:space="preserve">(11)</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both"/>
        <w:rPr/>
      </w:pPr>
      <w:r w:rsidDel="00000000" w:rsidR="00000000" w:rsidRPr="00000000">
        <w:rPr>
          <w:rtl w:val="0"/>
        </w:rPr>
        <w:t xml:space="preserve">The difficulty for a country to produce a product outside its product space is simply the connectedness of the product to all products currently in the product space. We normalize this measure and formally define Distance as follows. </w:t>
      </w:r>
    </w:p>
    <w:p w:rsidR="00000000" w:rsidDel="00000000" w:rsidP="00000000" w:rsidRDefault="00000000" w:rsidRPr="00000000" w14:paraId="0000008D">
      <w:pPr>
        <w:pageBreakBefore w:val="0"/>
        <w:jc w:val="center"/>
        <w:rPr/>
      </w:pPr>
      <w:r w:rsidDel="00000000" w:rsidR="00000000" w:rsidRPr="00000000">
        <w:rPr>
          <w:rtl w:val="0"/>
        </w:rPr>
      </w:r>
    </w:p>
    <w:p w:rsidR="00000000" w:rsidDel="00000000" w:rsidP="00000000" w:rsidRDefault="00000000" w:rsidRPr="00000000" w14:paraId="0000008E">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cp</m:t>
            </m:r>
          </m:sub>
        </m:sSub>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(1-M</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den>
        </m:f>
      </m:oMath>
      <w:r w:rsidDel="00000000" w:rsidR="00000000" w:rsidRPr="00000000">
        <w:rPr>
          <w:rtl w:val="0"/>
        </w:rPr>
        <w:t xml:space="preserve"> </w:t>
        <w:tab/>
        <w:tab/>
        <w:tab/>
        <w:tab/>
        <w:t xml:space="preserve">(12)</w:t>
      </w:r>
    </w:p>
    <w:p w:rsidR="00000000" w:rsidDel="00000000" w:rsidP="00000000" w:rsidRDefault="00000000" w:rsidRPr="00000000" w14:paraId="0000008F">
      <w:pPr>
        <w:pageBreakBefore w:val="0"/>
        <w:jc w:val="center"/>
        <w:rPr/>
      </w:pP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2.6 Opportunity Gain</w:t>
      </w:r>
    </w:p>
    <w:p w:rsidR="00000000" w:rsidDel="00000000" w:rsidP="00000000" w:rsidRDefault="00000000" w:rsidRPr="00000000" w14:paraId="00000092">
      <w:pPr>
        <w:pageBreakBefore w:val="0"/>
        <w:jc w:val="both"/>
        <w:rPr/>
      </w:pPr>
      <w:r w:rsidDel="00000000" w:rsidR="00000000" w:rsidRPr="00000000">
        <w:rPr>
          <w:rtl w:val="0"/>
        </w:rPr>
        <w:t xml:space="preserve">We are still in need of an estimator of profitability. Again, the profit of exploring a new product is not limited to the increase of GDP, or any figures on fiscal report. It’s more about the decrement of Distance to all other products far away from the product space. Such products should not be weighted uniformly. The more complex a product is, the higher value it should be assigned with. We first calculate the total unexploited value for a country c, before and after the advance of a new product. The difference should be the “revenue” for the country c to develop product p. The “cost” is just a measurement of the difficulty of developing the product. The Opportunity Gain is simply the “revenue” net of “cost”. There is a trade-off between the increment of Total Unexploited Value and the difficulty of developing the product. While the advance of a new product draws all products closer to the product space, the low complexity and huge distance of the product also incur a cost. If the product is an extreme outlier far from the product space, and is loosely connected to other products, the Opportunity Gain can even go negative.</w:t>
      </w:r>
    </w:p>
    <w:p w:rsidR="00000000" w:rsidDel="00000000" w:rsidP="00000000" w:rsidRDefault="00000000" w:rsidRPr="00000000" w14:paraId="00000093">
      <w:pPr>
        <w:pageBreakBefore w:val="0"/>
        <w:jc w:val="both"/>
        <w:rPr/>
      </w:pPr>
      <w:r w:rsidDel="00000000" w:rsidR="00000000" w:rsidRPr="00000000">
        <w:rPr>
          <w:rtl w:val="0"/>
        </w:rPr>
      </w:r>
    </w:p>
    <w:p w:rsidR="00000000" w:rsidDel="00000000" w:rsidP="00000000" w:rsidRDefault="00000000" w:rsidRPr="00000000" w14:paraId="00000094">
      <w:pPr>
        <w:pageBreakBefore w:val="0"/>
        <w:jc w:val="center"/>
        <w:rPr/>
      </w:pPr>
      <m:oMath>
        <m:r>
          <w:rPr>
            <w:rFonts w:ascii="Cambria Math" w:cs="Cambria Math" w:eastAsia="Cambria Math" w:hAnsi="Cambria Math"/>
          </w:rPr>
          <m:t xml:space="preserve">Total Unexploited Value=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(1-d</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(1-M</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PCI</m:t>
            </m:r>
          </m:e>
          <m:sub>
            <m:r>
              <w:rPr>
                <w:rFonts w:ascii="Cambria Math" w:cs="Cambria Math" w:eastAsia="Cambria Math" w:hAnsi="Cambria Math"/>
              </w:rPr>
              <m:t xml:space="preserve">p'</m:t>
            </m:r>
          </m:sub>
        </m:sSub>
        <m:r>
          <w:rPr>
            <w:rFonts w:ascii="Cambria Math" w:cs="Cambria Math" w:eastAsia="Cambria Math" w:hAnsi="Cambria Math"/>
          </w:rPr>
          <m:t xml:space="preserve">            </m:t>
        </m:r>
      </m:oMath>
      <w:r w:rsidDel="00000000" w:rsidR="00000000" w:rsidRPr="00000000">
        <w:rPr>
          <w:rtl w:val="0"/>
        </w:rPr>
        <w:t xml:space="preserve">                    (13)</w:t>
      </w:r>
    </w:p>
    <w:p w:rsidR="00000000" w:rsidDel="00000000" w:rsidP="00000000" w:rsidRDefault="00000000" w:rsidRPr="00000000" w14:paraId="00000095">
      <w:pPr>
        <w:pageBreakBefore w:val="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Opportunity Gain</m:t>
            </m:r>
          </m:e>
          <m:sub>
            <m:r>
              <w:rPr>
                <w:rFonts w:ascii="Cambria Math" w:cs="Cambria Math" w:eastAsia="Cambria Math" w:hAnsi="Cambria Math"/>
              </w:rPr>
              <m:t xml:space="preserve">cp</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p''</m:t>
                    </m:r>
                  </m:sub>
                  <m:sup/>
                </m:nary>
                <m:sSub>
                  <m:sSubPr>
                    <m:ctrlPr>
                      <w:rPr>
                        <w:rFonts w:ascii="Cambria Math" w:cs="Cambria Math" w:eastAsia="Cambria Math" w:hAnsi="Cambria Math"/>
                      </w:rPr>
                    </m:ctrlPr>
                  </m:sSubPr>
                  <m:e>
                    <m:r>
                      <w:rPr>
                        <w:rFonts w:ascii="Cambria Math" w:cs="Cambria Math" w:eastAsia="Cambria Math" w:hAnsi="Cambria Math"/>
                      </w:rPr>
                      <m:t xml:space="preserve">∅</m:t>
                    </m:r>
                  </m:e>
                  <m:sub>
                    <m:r>
                      <w:rPr>
                        <w:rFonts w:ascii="Cambria Math" w:cs="Cambria Math" w:eastAsia="Cambria Math" w:hAnsi="Cambria Math"/>
                      </w:rPr>
                      <m:t xml:space="preserve">p''p'</m:t>
                    </m:r>
                  </m:sub>
                </m:sSub>
              </m:den>
            </m:f>
            <m:r>
              <w:rPr>
                <w:rFonts w:ascii="Cambria Math" w:cs="Cambria Math" w:eastAsia="Cambria Math" w:hAnsi="Cambria Math"/>
              </w:rPr>
              <m:t xml:space="preserve"> (1-M</m:t>
            </m:r>
          </m:e>
          <m:sub>
            <m:r>
              <w:rPr>
                <w:rFonts w:ascii="Cambria Math" w:cs="Cambria Math" w:eastAsia="Cambria Math" w:hAnsi="Cambria Math"/>
              </w:rPr>
              <m:t xml:space="preserve">cp'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PCI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(1-d</m:t>
            </m:r>
          </m:e>
          <m:sub>
            <m:r>
              <w:rPr>
                <w:rFonts w:ascii="Cambria Math" w:cs="Cambria Math" w:eastAsia="Cambria Math" w:hAnsi="Cambria Math"/>
              </w:rPr>
              <m:t xml:space="preserve">cp</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PCI</m:t>
            </m:r>
          </m:e>
          <m:sub>
            <m:r>
              <w:rPr>
                <w:rFonts w:ascii="Cambria Math" w:cs="Cambria Math" w:eastAsia="Cambria Math" w:hAnsi="Cambria Math"/>
              </w:rPr>
              <m:t xml:space="preserve">p</m:t>
            </m:r>
          </m:sub>
        </m:sSub>
      </m:oMath>
      <w:r w:rsidDel="00000000" w:rsidR="00000000" w:rsidRPr="00000000">
        <w:rPr>
          <w:rtl w:val="0"/>
        </w:rPr>
        <w:t xml:space="preserve">           (14)</w:t>
      </w:r>
    </w:p>
    <w:p w:rsidR="00000000" w:rsidDel="00000000" w:rsidP="00000000" w:rsidRDefault="00000000" w:rsidRPr="00000000" w14:paraId="00000096">
      <w:pPr>
        <w:pageBreakBefore w:val="0"/>
        <w:jc w:val="both"/>
        <w:rPr/>
      </w:pPr>
      <w:r w:rsidDel="00000000" w:rsidR="00000000" w:rsidRPr="00000000">
        <w:rPr>
          <w:rtl w:val="0"/>
        </w:rPr>
      </w:r>
    </w:p>
    <w:p w:rsidR="00000000" w:rsidDel="00000000" w:rsidP="00000000" w:rsidRDefault="00000000" w:rsidRPr="00000000" w14:paraId="00000097">
      <w:pPr>
        <w:pageBreakBefore w:val="0"/>
        <w:jc w:val="both"/>
        <w:rPr/>
      </w:pPr>
      <w:r w:rsidDel="00000000" w:rsidR="00000000" w:rsidRPr="00000000">
        <w:rPr>
          <w:rtl w:val="0"/>
        </w:rPr>
        <w:t xml:space="preserve">The concept of Opportunity Gain, as well as ECI, is the foundation of the metrics we introduce in the report. It’s important for us to understand that Opportunity Gain is only a conceptual estimate of the net gain of developing a product. It’s not measured in dollars or any real-world units. It is expressed in terms of productive knowledge, and is too conceptual to be implemented in strategy-making process directly. That’s why we further elaborate on the Opportunity Gain to calculate the marginal Opportunity Gain later in Section 4.</w:t>
      </w:r>
    </w:p>
    <w:p w:rsidR="00000000" w:rsidDel="00000000" w:rsidP="00000000" w:rsidRDefault="00000000" w:rsidRPr="00000000" w14:paraId="00000098">
      <w:pPr>
        <w:pageBreakBefore w:val="0"/>
        <w:jc w:val="both"/>
        <w:rPr>
          <w:b w:val="1"/>
          <w:bCs w:val="1"/>
        </w:rPr>
      </w:pPr>
      <w:r w:rsidDel="00000000" w:rsidR="00000000" w:rsidRPr="00000000">
        <w:rPr>
          <w:rtl w:val="0"/>
        </w:rPr>
      </w:r>
    </w:p>
    <w:p w:rsidR="00000000" w:rsidDel="00000000" w:rsidP="00000000" w:rsidRDefault="00000000" w:rsidRPr="00000000" w14:paraId="0000009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9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B">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9C">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data on an annual basis, including highly specific export data for more than 5000 categories of products. In order to have a holistic vision of the product space of a country, however, a level of categorization is required. Product groups in UN Comtrade are labelled from 010000-999999, with the first two-digits representing a general category to which the product belongs. Based on the 99 categories as extracted from the label, we further group the products into 18 major and widely-accepted industry categories, as summarized in Table 1.</w:t>
      </w:r>
    </w:p>
    <w:p w:rsidR="00000000" w:rsidDel="00000000" w:rsidP="00000000" w:rsidRDefault="00000000" w:rsidRPr="00000000" w14:paraId="0000009D">
      <w:pPr>
        <w:pageBreakBefore w:val="0"/>
        <w:jc w:val="both"/>
        <w:rPr/>
      </w:pPr>
      <w:r w:rsidDel="00000000" w:rsidR="00000000" w:rsidRPr="00000000">
        <w:rPr>
          <w:rtl w:val="0"/>
        </w:rPr>
      </w:r>
    </w:p>
    <w:p w:rsidR="00000000" w:rsidDel="00000000" w:rsidP="00000000" w:rsidRDefault="00000000" w:rsidRPr="00000000" w14:paraId="0000009E">
      <w:pPr>
        <w:pageBreakBefore w:val="0"/>
        <w:jc w:val="both"/>
        <w:rPr/>
      </w:pPr>
      <w:r w:rsidDel="00000000" w:rsidR="00000000" w:rsidRPr="00000000">
        <w:rPr>
          <w:rtl w:val="0"/>
        </w:rPr>
        <w:t xml:space="preserve">Note that the high-complexity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(i.e., Product Family Complexity Index, an equivalent concept of PCI calculated based on the 18 categorized product families), high-complexity industry has the highest PfCI among all industry families. </w:t>
      </w:r>
    </w:p>
    <w:p w:rsidR="00000000" w:rsidDel="00000000" w:rsidP="00000000" w:rsidRDefault="00000000" w:rsidRPr="00000000" w14:paraId="0000009F">
      <w:pPr>
        <w:pageBreakBefore w:val="0"/>
        <w:jc w:val="both"/>
        <w:rPr/>
      </w:pPr>
      <w:r w:rsidDel="00000000" w:rsidR="00000000" w:rsidRPr="00000000">
        <w:rPr>
          <w:rtl w:val="0"/>
        </w:rPr>
      </w:r>
    </w:p>
    <w:tbl>
      <w:tblPr>
        <w:tblStyle w:val="Table1"/>
        <w:tblW w:w="9010.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A0">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A1">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AD">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AE">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AF">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B0">
            <w:pPr>
              <w:pageBreakBefore w:val="0"/>
              <w:jc w:val="both"/>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BC">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CC">
            <w:pPr>
              <w:pageBreakBefore w:val="0"/>
              <w:jc w:val="center"/>
              <w:rPr/>
            </w:pPr>
            <w:r w:rsidDel="00000000" w:rsidR="00000000" w:rsidRPr="00000000">
              <w:rPr>
                <w:rtl w:val="0"/>
              </w:rPr>
            </w:r>
          </w:p>
        </w:tc>
        <w:tc>
          <w:tcPr/>
          <w:p w:rsidR="00000000" w:rsidDel="00000000" w:rsidP="00000000" w:rsidRDefault="00000000" w:rsidRPr="00000000" w14:paraId="000000C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C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C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D0">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D1">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D2">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D3">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D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D5">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D6">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D7">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D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D9">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D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DB">
            <w:pPr>
              <w:pageBreakBefore w:val="0"/>
              <w:jc w:val="center"/>
              <w:rPr/>
            </w:pPr>
            <w:r w:rsidDel="00000000" w:rsidR="00000000" w:rsidRPr="00000000">
              <w:rPr>
                <w:rtl w:val="0"/>
              </w:rPr>
              <w:t xml:space="preserve">107</w:t>
            </w:r>
          </w:p>
        </w:tc>
      </w:tr>
    </w:tbl>
    <w:p w:rsidR="00000000" w:rsidDel="00000000" w:rsidP="00000000" w:rsidRDefault="00000000" w:rsidRPr="00000000" w14:paraId="000000DC">
      <w:pPr>
        <w:pageBreakBefore w:val="0"/>
        <w:jc w:val="left"/>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DD">
            <w:pPr>
              <w:pageBreakBefore w:val="0"/>
              <w:jc w:val="center"/>
              <w:rPr/>
            </w:pPr>
            <w:r w:rsidDel="00000000" w:rsidR="00000000" w:rsidRPr="00000000">
              <w:rPr>
                <w:rtl w:val="0"/>
              </w:rPr>
            </w:r>
          </w:p>
        </w:tc>
        <w:tc>
          <w:tcPr/>
          <w:p w:rsidR="00000000" w:rsidDel="00000000" w:rsidP="00000000" w:rsidRDefault="00000000" w:rsidRPr="00000000" w14:paraId="000000D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D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E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E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E2">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E3">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E4">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E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E6">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E7">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E8">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E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EA">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EB">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EC">
            <w:pPr>
              <w:pageBreakBefore w:val="0"/>
              <w:jc w:val="center"/>
              <w:rPr/>
            </w:pPr>
            <w:r w:rsidDel="00000000" w:rsidR="00000000" w:rsidRPr="00000000">
              <w:rPr>
                <w:rtl w:val="0"/>
              </w:rPr>
              <w:t xml:space="preserve">21</w:t>
            </w:r>
          </w:p>
        </w:tc>
      </w:tr>
    </w:tbl>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ageBreakBefore w:val="0"/>
        <w:jc w:val="center"/>
        <w:rPr/>
      </w:pPr>
      <w:r w:rsidDel="00000000" w:rsidR="00000000" w:rsidRPr="00000000">
        <w:rPr>
          <w:rtl w:val="0"/>
        </w:rPr>
        <w:t xml:space="preserve">Figure 1: OLS Regression of GDP and Percentage Products Exports</w:t>
      </w:r>
    </w:p>
    <w:p w:rsidR="00000000" w:rsidDel="00000000" w:rsidP="00000000" w:rsidRDefault="00000000" w:rsidRPr="00000000" w14:paraId="000000EF">
      <w:pPr>
        <w:pageBreakBefore w:val="0"/>
        <w:jc w:val="both"/>
        <w:rPr>
          <w:b w:val="1"/>
          <w:bCs w:val="1"/>
        </w:rPr>
      </w:pPr>
      <w:r w:rsidDel="00000000" w:rsidR="00000000" w:rsidRPr="00000000">
        <w:rPr>
          <w:rtl w:val="0"/>
        </w:rPr>
      </w:r>
    </w:p>
    <w:p w:rsidR="00000000" w:rsidDel="00000000" w:rsidP="00000000" w:rsidRDefault="00000000" w:rsidRPr="00000000" w14:paraId="000000F0">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F1">
      <w:pPr>
        <w:pageBreakBefore w:val="0"/>
        <w:jc w:val="both"/>
        <w:rPr/>
      </w:pPr>
      <w:r w:rsidDel="00000000" w:rsidR="00000000" w:rsidRPr="00000000">
        <w:rPr>
          <w:rtl w:val="0"/>
        </w:rPr>
        <w:t xml:space="preserve">Based on the product categorization aforementioned, the first step to understanding the prodict space of different economies is to capture their production strategies between 2013 and 2018 on a complexity level. In Hausmann and Hidalgo (2009), distance is defined to be a measure of how far a country is from a certain product not in its product space, as in (12). We extend this concept to all product families and quantify how technically equipped a country is to develop the corresponding product families. In other words, the shorter the distance between a country and a product group, the more capable a country is in developing products within that group. </w:t>
      </w:r>
    </w:p>
    <w:p w:rsidR="00000000" w:rsidDel="00000000" w:rsidP="00000000" w:rsidRDefault="00000000" w:rsidRPr="00000000" w14:paraId="000000F2">
      <w:pPr>
        <w:pageBreakBefore w:val="0"/>
        <w:jc w:val="both"/>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t xml:space="preserve">Based on this concept of distance between countries and product families, we define the net distance change between two periods as the Realized Industry Developmental (RID), which measures by how much a country has moved in the direction of a certain product family in its product space during the period. Our export data allow us to calculate and compare RID of countries over the 18 product groups from 2013 to 2018, where a positive RID indicates a shortening of the distance (i.e., relative advancement of the industry), and a negative RID indicates the reverse. Note that this number is a normalized value that represents relative distance change in a global scale, and thus a negative value implies not an absolute degeneration of a certain industry, but rather a relative prioritization of other industries.</w:t>
      </w:r>
    </w:p>
    <w:p w:rsidR="00000000" w:rsidDel="00000000" w:rsidP="00000000" w:rsidRDefault="00000000" w:rsidRPr="00000000" w14:paraId="000000F4">
      <w:pPr>
        <w:pageBreakBefore w:val="0"/>
        <w:jc w:val="both"/>
        <w:rPr/>
      </w:pPr>
      <w:r w:rsidDel="00000000" w:rsidR="00000000" w:rsidRPr="00000000">
        <w:rPr>
          <w:rtl w:val="0"/>
        </w:rPr>
      </w:r>
    </w:p>
    <w:p w:rsidR="00000000" w:rsidDel="00000000" w:rsidP="00000000" w:rsidRDefault="00000000" w:rsidRPr="00000000" w14:paraId="000000F5">
      <w:pPr>
        <w:pageBreakBefore w:val="0"/>
        <w:jc w:val="both"/>
        <w:rPr/>
      </w:pPr>
      <w:r w:rsidDel="00000000" w:rsidR="00000000" w:rsidRPr="00000000">
        <w:rPr>
          <w:rtl w:val="0"/>
        </w:rPr>
        <w:t xml:space="preserve">As shown by the example of China in Table 2, during the period from 2013 to 2018, China has focused on products with a moderate level of complexity and those requiring intermediate skills, including Services and Utilities, Machinery and Construction and High-complexity Products, which are rather advanced among developing economies. By advancing into 8 out of the 18 industry families, China has increased its distances from the other industries ranked below.</w:t>
      </w:r>
    </w:p>
    <w:p w:rsidR="00000000" w:rsidDel="00000000" w:rsidP="00000000" w:rsidRDefault="00000000" w:rsidRPr="00000000" w14:paraId="000000F6">
      <w:pPr>
        <w:pageBreakBefore w:val="0"/>
        <w:jc w:val="both"/>
        <w:rPr/>
      </w:pPr>
      <w:r w:rsidDel="00000000" w:rsidR="00000000" w:rsidRPr="00000000">
        <w:rPr>
          <w:rtl w:val="0"/>
        </w:rPr>
      </w:r>
    </w:p>
    <w:p w:rsidR="00000000" w:rsidDel="00000000" w:rsidP="00000000" w:rsidRDefault="00000000" w:rsidRPr="00000000" w14:paraId="000000F7">
      <w:pPr>
        <w:pageBreakBefore w:val="0"/>
        <w:jc w:val="center"/>
        <w:rPr/>
      </w:pPr>
      <w:r w:rsidDel="00000000" w:rsidR="00000000" w:rsidRPr="00000000">
        <w:rPr/>
        <w:drawing>
          <wp:inline distB="114300" distT="114300" distL="114300" distR="114300">
            <wp:extent cx="5124450" cy="2552700"/>
            <wp:effectExtent b="0" l="0" r="0" t="0"/>
            <wp:docPr id="1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124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jc w:val="center"/>
        <w:rPr/>
      </w:pPr>
      <w:r w:rsidDel="00000000" w:rsidR="00000000" w:rsidRPr="00000000">
        <w:rPr>
          <w:rtl w:val="0"/>
        </w:rPr>
        <w:t xml:space="preserve">Table 2: Realized Industry Development (RID) of Singapore</w:t>
      </w:r>
    </w:p>
    <w:p w:rsidR="00000000" w:rsidDel="00000000" w:rsidP="00000000" w:rsidRDefault="00000000" w:rsidRPr="00000000" w14:paraId="000000F9">
      <w:pPr>
        <w:pageBreakBefore w:val="0"/>
        <w:jc w:val="both"/>
        <w:rPr>
          <w:b w:val="1"/>
          <w:bCs w:val="1"/>
        </w:rPr>
      </w:pPr>
      <w:r w:rsidDel="00000000" w:rsidR="00000000" w:rsidRPr="00000000">
        <w:rPr>
          <w:rtl w:val="0"/>
        </w:rPr>
      </w:r>
    </w:p>
    <w:p w:rsidR="00000000" w:rsidDel="00000000" w:rsidP="00000000" w:rsidRDefault="00000000" w:rsidRPr="00000000" w14:paraId="000000FA">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FB">
      <w:pPr>
        <w:pageBreakBefore w:val="0"/>
        <w:jc w:val="both"/>
        <w:rPr/>
      </w:pPr>
      <w:r w:rsidDel="00000000" w:rsidR="00000000" w:rsidRPr="00000000">
        <w:rPr>
          <w:rtl w:val="0"/>
        </w:rPr>
        <w:t xml:space="preserve">The next question to ask is how the strategies adopted by countries differ from each other and what trends we can observe. Table 3 and 4 below summarize the production strategies, as measured by RID, adopted by a selected group of developed and emerging economies in the world, respectively. It can be directly observed that leading economies, such as the United States and Germany, in general focus on products with higher level of complexity. However, variations also exist and some developed economies, such as France, still give a considerable level of attention to product families of intermediate-level complexity, such as raw manufacturing and chemicals.</w:t>
      </w:r>
    </w:p>
    <w:p w:rsidR="00000000" w:rsidDel="00000000" w:rsidP="00000000" w:rsidRDefault="00000000" w:rsidRPr="00000000" w14:paraId="000000FC">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FD">
            <w:pPr>
              <w:pageBreakBefore w:val="0"/>
              <w:jc w:val="both"/>
              <w:rPr/>
            </w:pPr>
            <w:r w:rsidDel="00000000" w:rsidR="00000000" w:rsidRPr="00000000">
              <w:rPr>
                <w:rtl w:val="0"/>
              </w:rPr>
              <w:t xml:space="preserve">Ranking</w:t>
            </w:r>
          </w:p>
        </w:tc>
        <w:tc>
          <w:tcPr/>
          <w:p w:rsidR="00000000" w:rsidDel="00000000" w:rsidP="00000000" w:rsidRDefault="00000000" w:rsidRPr="00000000" w14:paraId="000000FE">
            <w:pPr>
              <w:pageBreakBefore w:val="0"/>
              <w:jc w:val="both"/>
              <w:rPr/>
            </w:pPr>
            <w:r w:rsidDel="00000000" w:rsidR="00000000" w:rsidRPr="00000000">
              <w:rPr>
                <w:rtl w:val="0"/>
              </w:rPr>
              <w:t xml:space="preserve">France</w:t>
            </w:r>
          </w:p>
        </w:tc>
        <w:tc>
          <w:tcPr/>
          <w:p w:rsidR="00000000" w:rsidDel="00000000" w:rsidP="00000000" w:rsidRDefault="00000000" w:rsidRPr="00000000" w14:paraId="000000FF">
            <w:pPr>
              <w:pageBreakBefore w:val="0"/>
              <w:jc w:val="both"/>
              <w:rPr/>
            </w:pPr>
            <w:r w:rsidDel="00000000" w:rsidR="00000000" w:rsidRPr="00000000">
              <w:rPr>
                <w:rtl w:val="0"/>
              </w:rPr>
              <w:t xml:space="preserve">The United States</w:t>
            </w:r>
          </w:p>
        </w:tc>
        <w:tc>
          <w:tcPr/>
          <w:p w:rsidR="00000000" w:rsidDel="00000000" w:rsidP="00000000" w:rsidRDefault="00000000" w:rsidRPr="00000000" w14:paraId="00000100">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10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3">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104">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10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6">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07">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108">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0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A">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0B">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0C">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10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0E">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10F">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110">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11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2">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11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114">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115">
      <w:pPr>
        <w:pageBreakBefore w:val="0"/>
        <w:jc w:val="center"/>
        <w:rPr/>
      </w:pP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117">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118">
            <w:pPr>
              <w:pageBreakBefore w:val="0"/>
              <w:jc w:val="both"/>
              <w:rPr/>
            </w:pPr>
            <w:r w:rsidDel="00000000" w:rsidR="00000000" w:rsidRPr="00000000">
              <w:rPr>
                <w:rtl w:val="0"/>
              </w:rPr>
              <w:t xml:space="preserve">Ranking</w:t>
            </w:r>
          </w:p>
        </w:tc>
        <w:tc>
          <w:tcPr/>
          <w:p w:rsidR="00000000" w:rsidDel="00000000" w:rsidP="00000000" w:rsidRDefault="00000000" w:rsidRPr="00000000" w14:paraId="00000119">
            <w:pPr>
              <w:pageBreakBefore w:val="0"/>
              <w:jc w:val="both"/>
              <w:rPr/>
            </w:pPr>
            <w:r w:rsidDel="00000000" w:rsidR="00000000" w:rsidRPr="00000000">
              <w:rPr>
                <w:rtl w:val="0"/>
              </w:rPr>
              <w:t xml:space="preserve">China</w:t>
            </w:r>
          </w:p>
        </w:tc>
        <w:tc>
          <w:tcPr/>
          <w:p w:rsidR="00000000" w:rsidDel="00000000" w:rsidP="00000000" w:rsidRDefault="00000000" w:rsidRPr="00000000" w14:paraId="0000011A">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11B">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11C">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1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E">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1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20">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2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22">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23">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124">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2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27">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128">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29">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2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2B">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12C">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2D">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E">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F">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t xml:space="preserve">Table 4 further examines the development strategies adopted by emerging economies in the world. Reasonably, emerging economies such as China, South Korea, Singapore and India have devoted the majority of their efforts into intermediate industry groups while developed economies rely more on advanced industry groups. This trend holds true in general, regardless of the continent or the time period, and thus serves as an indicator for which phase of development a country is currently in as evaluated from its production strategy. Nevertheless, in order to more quantitatively evaluate the effectiveness of different development strategies, we dive into the product space in depth in the next section to understand how countries should develop on an individual basis.</w:t>
      </w:r>
    </w:p>
    <w:p w:rsidR="00000000" w:rsidDel="00000000" w:rsidP="00000000" w:rsidRDefault="00000000" w:rsidRPr="00000000" w14:paraId="00000134">
      <w:pPr>
        <w:pageBreakBefore w:val="0"/>
        <w:jc w:val="both"/>
        <w:rPr>
          <w:b w:val="1"/>
          <w:bCs w:val="1"/>
        </w:rPr>
      </w:pPr>
      <w:r w:rsidDel="00000000" w:rsidR="00000000" w:rsidRPr="00000000">
        <w:rPr>
          <w:rtl w:val="0"/>
        </w:rPr>
      </w:r>
    </w:p>
    <w:p w:rsidR="00000000" w:rsidDel="00000000" w:rsidP="00000000" w:rsidRDefault="00000000" w:rsidRPr="00000000" w14:paraId="000001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8">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as in (14). Intuitively, a product that a country is currently exporting (i.e., MCP=1) has an opportunity gain of zero. And unreasonable investment on certain product p would lead to a relative decrease in export of more profitable products, and therefore lead to a negative opportunity gain of product p. The opportunity gain is not the only estimator of a country’s level of economic development. However, among countries with comparable economics quantities, those having higher ECI often have economics structures that are in better shape.</w:t>
      </w:r>
    </w:p>
    <w:p w:rsidR="00000000" w:rsidDel="00000000" w:rsidP="00000000" w:rsidRDefault="00000000" w:rsidRPr="00000000" w14:paraId="00000139">
      <w:pPr>
        <w:pageBreakBefore w:val="0"/>
        <w:jc w:val="both"/>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drawing>
          <wp:inline distB="114300" distT="114300" distL="114300" distR="114300">
            <wp:extent cx="5686425" cy="2305050"/>
            <wp:effectExtent b="0" l="0" r="0" t="0"/>
            <wp:docPr id="6"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6864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drawing>
          <wp:inline distB="114300" distT="114300" distL="114300" distR="114300">
            <wp:extent cx="5691188" cy="2209800"/>
            <wp:effectExtent b="0" l="0" r="0" t="0"/>
            <wp:docPr id="11"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569118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ageBreakBefore w:val="0"/>
        <w:jc w:val="center"/>
        <w:rPr/>
      </w:pPr>
      <w:r w:rsidDel="00000000" w:rsidR="00000000" w:rsidRPr="00000000">
        <w:rPr>
          <w:rtl w:val="0"/>
        </w:rPr>
      </w:r>
    </w:p>
    <w:p w:rsidR="00000000" w:rsidDel="00000000" w:rsidP="00000000" w:rsidRDefault="00000000" w:rsidRPr="00000000" w14:paraId="0000013D">
      <w:pPr>
        <w:pageBreakBefore w:val="0"/>
        <w:jc w:val="center"/>
        <w:rPr/>
      </w:pPr>
      <w:r w:rsidDel="00000000" w:rsidR="00000000" w:rsidRPr="00000000">
        <w:rPr>
          <w:rtl w:val="0"/>
        </w:rPr>
        <w:t xml:space="preserve">Table 5: Opportunity Gain Ranking of Leading Economies for 2013(up) and 2018(down)</w:t>
      </w:r>
    </w:p>
    <w:p w:rsidR="00000000" w:rsidDel="00000000" w:rsidP="00000000" w:rsidRDefault="00000000" w:rsidRPr="00000000" w14:paraId="0000013E">
      <w:pPr>
        <w:pageBreakBefore w:val="0"/>
        <w:jc w:val="both"/>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rtl w:val="0"/>
        </w:rPr>
        <w:t xml:space="preserve">We define the ranking of opportunity gain for a country c, as the Suggested Development Vector (SDV) of c. Table 5 summarizes the SDV of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such as Brazil and India have nearly half of industries with positive opportunity gain, and share common interests in manufacturing and machinery, as shown below in Table 6. It is noteworthy that not all leading economies have reached a stable equilibrium in terms of their economic structure, and in fact, it is possible for developing economies to have better balanced economic structures, despite the fact that their output quantities might not be as significant on a global scale. The result shows that the analysis conducted on an economic complexity level might serve as a complement to existing economic indicators such as GDP, which provide information on quantity but not quality of countries’ economic progress.</w:t>
      </w:r>
    </w:p>
    <w:p w:rsidR="00000000" w:rsidDel="00000000" w:rsidP="00000000" w:rsidRDefault="00000000" w:rsidRPr="00000000" w14:paraId="00000140">
      <w:pPr>
        <w:pageBreakBefore w:val="0"/>
        <w:jc w:val="both"/>
        <w:rPr/>
      </w:pPr>
      <w:r w:rsidDel="00000000" w:rsidR="00000000" w:rsidRPr="00000000">
        <w:rPr>
          <w:rtl w:val="0"/>
        </w:rPr>
      </w:r>
    </w:p>
    <w:p w:rsidR="00000000" w:rsidDel="00000000" w:rsidP="00000000" w:rsidRDefault="00000000" w:rsidRPr="00000000" w14:paraId="00000141">
      <w:pPr>
        <w:pageBreakBefore w:val="0"/>
        <w:jc w:val="center"/>
        <w:rPr/>
      </w:pPr>
      <w:r w:rsidDel="00000000" w:rsidR="00000000" w:rsidRPr="00000000">
        <w:rPr/>
        <w:drawing>
          <wp:inline distB="114300" distT="114300" distL="114300" distR="114300">
            <wp:extent cx="5638800" cy="2295525"/>
            <wp:effectExtent b="0" l="0" r="0" t="0"/>
            <wp:docPr id="10"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6388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ageBreakBefore w:val="0"/>
        <w:jc w:val="center"/>
        <w:rPr/>
      </w:pPr>
      <w:r w:rsidDel="00000000" w:rsidR="00000000" w:rsidRPr="00000000">
        <w:rPr/>
        <w:drawing>
          <wp:inline distB="114300" distT="114300" distL="114300" distR="114300">
            <wp:extent cx="5643563" cy="2257425"/>
            <wp:effectExtent b="0" l="0" r="0" t="0"/>
            <wp:docPr id="4"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643563"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pageBreakBefore w:val="0"/>
        <w:jc w:val="center"/>
        <w:rPr/>
      </w:pPr>
      <w:r w:rsidDel="00000000" w:rsidR="00000000" w:rsidRPr="00000000">
        <w:rPr>
          <w:rtl w:val="0"/>
        </w:rPr>
        <w:t xml:space="preserve">Table 6: Opportunity Gain Ranking of Emerging Economies for 2013(up) and 2018(down)</w:t>
      </w:r>
    </w:p>
    <w:p w:rsidR="00000000" w:rsidDel="00000000" w:rsidP="00000000" w:rsidRDefault="00000000" w:rsidRPr="00000000" w14:paraId="00000145">
      <w:pPr>
        <w:pageBreakBefore w:val="0"/>
        <w:jc w:val="both"/>
        <w:rPr/>
      </w:pPr>
      <w:r w:rsidDel="00000000" w:rsidR="00000000" w:rsidRPr="00000000">
        <w:rPr>
          <w:rtl w:val="0"/>
        </w:rPr>
      </w:r>
    </w:p>
    <w:p w:rsidR="00000000" w:rsidDel="00000000" w:rsidP="00000000" w:rsidRDefault="00000000" w:rsidRPr="00000000" w14:paraId="00000146">
      <w:pPr>
        <w:pageBreakBefore w:val="0"/>
        <w:jc w:val="both"/>
        <w:rPr/>
      </w:pPr>
      <w:r w:rsidDel="00000000" w:rsidR="00000000" w:rsidRPr="00000000">
        <w:rPr>
          <w:rtl w:val="0"/>
        </w:rPr>
        <w:t xml:space="preserve">The aforementioned differences in economic structure between relatively advanced economies and developing economies imply that we need to adopt different methods for analyzing economies in different stages. For countries that have a large number of industries with positive opportunity gains, we need a sequential strategy that allows prioritization of certain industries to develop in the first stage. On the other hand, for countries that have already obtained a relatively stable economic structure, it is more important to answer questions such as how sensitive the countries are to shocks in various industries and what their contingency plans should be in those cases. Therefore, the rest of section 4 provides methods and examples to analyze those two groups of countries in a separate manner.</w:t>
      </w:r>
    </w:p>
    <w:p w:rsidR="00000000" w:rsidDel="00000000" w:rsidP="00000000" w:rsidRDefault="00000000" w:rsidRPr="00000000" w14:paraId="00000147">
      <w:pPr>
        <w:pageBreakBefore w:val="0"/>
        <w:jc w:val="both"/>
        <w:rPr>
          <w:b w:val="1"/>
          <w:bCs w:val="1"/>
        </w:rPr>
      </w:pPr>
      <w:r w:rsidDel="00000000" w:rsidR="00000000" w:rsidRPr="00000000">
        <w:rPr>
          <w:rtl w:val="0"/>
        </w:rPr>
      </w:r>
    </w:p>
    <w:p w:rsidR="00000000" w:rsidDel="00000000" w:rsidP="00000000" w:rsidRDefault="00000000" w:rsidRPr="00000000" w14:paraId="00000148">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center"/>
        <w:rPr/>
      </w:pPr>
      <w:r w:rsidDel="00000000" w:rsidR="00000000" w:rsidRPr="00000000">
        <w:rPr/>
        <w:drawing>
          <wp:inline distB="114300" distT="114300" distL="114300" distR="114300">
            <wp:extent cx="2528888" cy="1141284"/>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jc w:val="center"/>
        <w:rPr/>
      </w:pP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4F">
      <w:pPr>
        <w:pageBreakBefore w:val="0"/>
        <w:jc w:val="both"/>
        <w:rPr/>
      </w:pPr>
      <w:r w:rsidDel="00000000" w:rsidR="00000000" w:rsidRPr="00000000">
        <w:rPr>
          <w:rtl w:val="0"/>
        </w:rPr>
        <w:t xml:space="preserve"> </w:t>
      </w:r>
    </w:p>
    <w:p w:rsidR="00000000" w:rsidDel="00000000" w:rsidP="00000000" w:rsidRDefault="00000000" w:rsidRPr="00000000" w14:paraId="00000150">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algorithms.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51">
      <w:pPr>
        <w:pageBreakBefore w:val="0"/>
        <w:jc w:val="both"/>
        <w:rPr/>
      </w:pPr>
      <w:r w:rsidDel="00000000" w:rsidR="00000000" w:rsidRPr="00000000">
        <w:rPr>
          <w:rtl w:val="0"/>
        </w:rPr>
        <w:t xml:space="preserve"> </w:t>
      </w:r>
    </w:p>
    <w:p w:rsidR="00000000" w:rsidDel="00000000" w:rsidP="00000000" w:rsidRDefault="00000000" w:rsidRPr="00000000" w14:paraId="00000152">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jc w:val="center"/>
        <w:rPr/>
      </w:pPr>
      <w:r w:rsidDel="00000000" w:rsidR="00000000" w:rsidRPr="00000000">
        <w:rPr/>
        <w:drawing>
          <wp:inline distB="114300" distT="114300" distL="114300" distR="114300">
            <wp:extent cx="2138363" cy="718630"/>
            <wp:effectExtent b="0" l="0" r="0" t="0"/>
            <wp:docPr id="2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158">
      <w:pPr>
        <w:pageBreakBefore w:val="0"/>
        <w:rPr/>
      </w:pPr>
      <w:r w:rsidDel="00000000" w:rsidR="00000000" w:rsidRPr="00000000">
        <w:rPr>
          <w:rtl w:val="0"/>
        </w:rPr>
        <w:t xml:space="preserve"> </w:t>
      </w:r>
    </w:p>
    <w:p w:rsidR="00000000" w:rsidDel="00000000" w:rsidP="00000000" w:rsidRDefault="00000000" w:rsidRPr="00000000" w14:paraId="00000159">
      <w:pPr>
        <w:pageBreakBefore w:val="0"/>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5C">
      <w:pPr>
        <w:pageBreakBefore w:val="0"/>
        <w:jc w:val="both"/>
        <w:rPr/>
      </w:pPr>
      <w:r w:rsidDel="00000000" w:rsidR="00000000" w:rsidRPr="00000000">
        <w:rPr>
          <w:rtl w:val="0"/>
        </w:rPr>
        <w:t xml:space="preserve"> </w:t>
      </w:r>
    </w:p>
    <w:p w:rsidR="00000000" w:rsidDel="00000000" w:rsidP="00000000" w:rsidRDefault="00000000" w:rsidRPr="00000000" w14:paraId="0000015D">
      <w:pPr>
        <w:pageBreakBefore w:val="0"/>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5E">
      <w:pPr>
        <w:pageBreakBefore w:val="0"/>
        <w:jc w:val="both"/>
        <w:rPr/>
      </w:pPr>
      <w:r w:rsidDel="00000000" w:rsidR="00000000" w:rsidRPr="00000000">
        <w:rPr>
          <w:rtl w:val="0"/>
        </w:rPr>
        <w:t xml:space="preserve"> </w:t>
      </w:r>
    </w:p>
    <w:p w:rsidR="00000000" w:rsidDel="00000000" w:rsidP="00000000" w:rsidRDefault="00000000" w:rsidRPr="00000000" w14:paraId="0000015F">
      <w:pPr>
        <w:pageBreakBefore w:val="0"/>
        <w:jc w:val="both"/>
        <w:rPr/>
      </w:pPr>
      <w:r w:rsidDel="00000000" w:rsidR="00000000" w:rsidRPr="00000000">
        <w:rPr/>
        <w:drawing>
          <wp:inline distB="114300" distT="114300" distL="114300" distR="114300">
            <wp:extent cx="5734050" cy="20447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pPr>
      <w:r w:rsidDel="00000000" w:rsidR="00000000" w:rsidRPr="00000000">
        <w:rPr/>
        <w:drawing>
          <wp:inline distB="114300" distT="114300" distL="114300" distR="114300">
            <wp:extent cx="5734050" cy="20447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b w:val="1"/>
          <w:bCs w:val="1"/>
        </w:rPr>
        <w:drawing>
          <wp:inline distB="114300" distT="114300" distL="114300" distR="114300">
            <wp:extent cx="5734050" cy="1739900"/>
            <wp:effectExtent b="0" l="0" r="0" t="0"/>
            <wp:docPr id="12"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pPr>
      <w:r w:rsidDel="00000000" w:rsidR="00000000" w:rsidRPr="00000000">
        <w:rPr>
          <w:rtl w:val="0"/>
        </w:rPr>
        <w:t xml:space="preserve">Below is the economic panel for China in 2013, we can see that for different percentages of heuristic total export growth, the ECI of China will have a different amount of increments. From the first two pie charts, we can see that ECI does not increase a lot. Also the budget is basically scattering into some basic industries, for example textile. However, for 15 percentage growth and 20 percentage growth, we can see that the slope of increment of ECI becomes greater and greater. This adequately explains the rapid development of China between 2009 and 2014. The green part of the pie chart denotes the product of machinery and construction. For the case of 15 percentage growth and 20 percentage growth, many of the increments in the line graph are caused by continuous investment in machinery and construction, which is exactly the industry that China relied most on during the rapid development.</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drawing>
          <wp:inline distB="114300" distT="114300" distL="114300" distR="114300">
            <wp:extent cx="5734050" cy="1917700"/>
            <wp:effectExtent b="0" l="0" r="0" t="0"/>
            <wp:docPr id="1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40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drawing>
          <wp:inline distB="114300" distT="114300" distL="114300" distR="114300">
            <wp:extent cx="5734050" cy="1955800"/>
            <wp:effectExtent b="0" l="0" r="0" t="0"/>
            <wp:docPr id="5" name="image17.png"/>
            <a:graphic>
              <a:graphicData uri="http://schemas.openxmlformats.org/drawingml/2006/picture">
                <pic:pic>
                  <pic:nvPicPr>
                    <pic:cNvPr id="0" name="image17.png"/>
                    <pic:cNvPicPr preferRelativeResize="0"/>
                  </pic:nvPicPr>
                  <pic:blipFill>
                    <a:blip r:embed="rId19"/>
                    <a:srcRect b="0" l="1890" r="0" t="0"/>
                    <a:stretch>
                      <a:fillRect/>
                    </a:stretch>
                  </pic:blipFill>
                  <pic:spPr>
                    <a:xfrm>
                      <a:off x="0" y="0"/>
                      <a:ext cx="57340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pPr>
      <w:r w:rsidDel="00000000" w:rsidR="00000000" w:rsidRPr="00000000">
        <w:rPr/>
        <w:drawing>
          <wp:inline distB="114300" distT="114300" distL="114300" distR="114300">
            <wp:extent cx="5672138" cy="1990725"/>
            <wp:effectExtent b="0" l="0" r="0" t="0"/>
            <wp:docPr id="1"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672138"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jc w:val="center"/>
        <w:rPr/>
      </w:pPr>
      <w:r w:rsidDel="00000000" w:rsidR="00000000" w:rsidRPr="00000000">
        <w:rPr>
          <w:rtl w:val="0"/>
        </w:rPr>
      </w:r>
    </w:p>
    <w:p w:rsidR="00000000" w:rsidDel="00000000" w:rsidP="00000000" w:rsidRDefault="00000000" w:rsidRPr="00000000" w14:paraId="0000016C">
      <w:pPr>
        <w:pageBreakBefore w:val="0"/>
        <w:jc w:val="both"/>
        <w:rPr/>
      </w:pPr>
      <w:r w:rsidDel="00000000" w:rsidR="00000000" w:rsidRPr="00000000">
        <w:rPr>
          <w:rtl w:val="0"/>
        </w:rPr>
        <w:t xml:space="preserve">For further suggestions on China’s development in the future. We also offer the optimization result of China based on China’s export data in 2018. Below is the economic panel for China in 2018, we can see that for different percentages of heuristic total export growth, the ECI of China will have a different amount of increments. Different from the situation of 2013, we can see that for 5 percent total export growth, China is already able to have great increment in ECI by developing mostly services and utilities, as well as textile. For the rest of the three pie charts, it shows that even though China can still earn increments in ECI by further developing machinery and construction, the effect becomes gradually diminishing, but it is still one of the directions for great development. Therefore, we suggest under the budget of 5 percentage or more export growth, focusing on developing machinery, services and textile can optimize the development.</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drawing>
          <wp:inline distB="114300" distT="114300" distL="114300" distR="114300">
            <wp:extent cx="5710238" cy="2047875"/>
            <wp:effectExtent b="0" l="0" r="0" t="0"/>
            <wp:docPr id="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10238" cy="2047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F">
      <w:pPr>
        <w:pageBreakBefore w:val="0"/>
        <w:rPr/>
      </w:pPr>
      <w:r w:rsidDel="00000000" w:rsidR="00000000" w:rsidRPr="00000000">
        <w:rPr>
          <w:b w:val="1"/>
          <w:bCs w:val="1"/>
        </w:rPr>
        <w:drawing>
          <wp:inline distB="114300" distT="114300" distL="114300" distR="114300">
            <wp:extent cx="5538788" cy="2000250"/>
            <wp:effectExtent b="0" l="0" r="0" t="0"/>
            <wp:docPr id="17" name="image15.png"/>
            <a:graphic>
              <a:graphicData uri="http://schemas.openxmlformats.org/drawingml/2006/picture">
                <pic:pic>
                  <pic:nvPicPr>
                    <pic:cNvPr id="0" name="image15.png"/>
                    <pic:cNvPicPr preferRelativeResize="0"/>
                  </pic:nvPicPr>
                  <pic:blipFill>
                    <a:blip r:embed="rId22"/>
                    <a:srcRect b="0" l="2273" r="0" t="0"/>
                    <a:stretch>
                      <a:fillRect/>
                    </a:stretch>
                  </pic:blipFill>
                  <pic:spPr>
                    <a:xfrm>
                      <a:off x="0" y="0"/>
                      <a:ext cx="553878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rPr>
          <w:b w:val="1"/>
          <w:bCs w:val="1"/>
        </w:rPr>
        <w:drawing>
          <wp:inline distB="114300" distT="114300" distL="114300" distR="114300">
            <wp:extent cx="5605463" cy="1800225"/>
            <wp:effectExtent b="0" l="0" r="0" t="0"/>
            <wp:docPr id="23"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5605463"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w:t>
      </w:r>
    </w:p>
    <w:p w:rsidR="00000000" w:rsidDel="00000000" w:rsidP="00000000" w:rsidRDefault="00000000" w:rsidRPr="00000000" w14:paraId="00000175">
      <w:pPr>
        <w:pageBreakBefore w:val="0"/>
        <w:spacing w:after="240" w:before="240" w:line="276" w:lineRule="auto"/>
        <w:rPr>
          <w:b w:val="1"/>
          <w:bCs w:val="1"/>
        </w:rPr>
      </w:pPr>
      <w:r w:rsidDel="00000000" w:rsidR="00000000" w:rsidRPr="00000000">
        <w:rPr>
          <w:rtl w:val="0"/>
        </w:rPr>
        <w:t xml:space="preserve">In the following section our broad aim is to understand how sensitive a country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w:t>
      </w:r>
      <w:r w:rsidDel="00000000" w:rsidR="00000000" w:rsidRPr="00000000">
        <w:rPr>
          <w:rtl w:val="0"/>
        </w:rPr>
      </w:r>
    </w:p>
    <w:p w:rsidR="00000000" w:rsidDel="00000000" w:rsidP="00000000" w:rsidRDefault="00000000" w:rsidRPr="00000000" w14:paraId="00000176">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77">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78">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79">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20" name="image12.jpg"/>
            <a:graphic>
              <a:graphicData uri="http://schemas.openxmlformats.org/drawingml/2006/picture">
                <pic:pic>
                  <pic:nvPicPr>
                    <pic:cNvPr id="0" name="image12.jpg"/>
                    <pic:cNvPicPr preferRelativeResize="0"/>
                  </pic:nvPicPr>
                  <pic:blipFill>
                    <a:blip r:embed="rId24"/>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jc w:val="center"/>
        <w:rPr>
          <w:b w:val="1"/>
          <w:bCs w:val="1"/>
        </w:rPr>
      </w:pPr>
      <w:r w:rsidDel="00000000" w:rsidR="00000000" w:rsidRPr="00000000">
        <w:rPr>
          <w:sz w:val="22"/>
          <w:szCs w:val="22"/>
          <w:rtl w:val="0"/>
        </w:rPr>
        <w:t xml:space="preserve">Example 2018 (Incremental ECI Sensitivity)</w:t>
      </w:r>
      <w:r w:rsidDel="00000000" w:rsidR="00000000" w:rsidRPr="00000000">
        <w:rPr>
          <w:rtl w:val="0"/>
        </w:rPr>
      </w:r>
    </w:p>
    <w:p w:rsidR="00000000" w:rsidDel="00000000" w:rsidP="00000000" w:rsidRDefault="00000000" w:rsidRPr="00000000" w14:paraId="0000017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7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7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7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7F">
      <w:pPr>
        <w:pageBreakBefore w:val="0"/>
        <w:spacing w:line="276" w:lineRule="auto"/>
        <w:rPr/>
      </w:pP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drawing>
          <wp:inline distB="114300" distT="114300" distL="114300" distR="114300">
            <wp:extent cx="5734050" cy="1739900"/>
            <wp:effectExtent b="0" l="0" r="0" t="0"/>
            <wp:docPr id="16"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82">
      <w:pPr>
        <w:pageBreakBefore w:val="0"/>
        <w:spacing w:after="240" w:before="240" w:line="276" w:lineRule="auto"/>
        <w:rPr>
          <w:sz w:val="22"/>
          <w:szCs w:val="22"/>
        </w:rPr>
      </w:pPr>
      <w:r w:rsidDel="00000000" w:rsidR="00000000" w:rsidRPr="00000000">
        <w:rPr>
          <w:b w:val="1"/>
          <w:bCs w:val="1"/>
          <w:sz w:val="28"/>
          <w:szCs w:val="28"/>
          <w:rtl w:val="0"/>
        </w:rPr>
        <w:t xml:space="preserve">4.4 Contingency Strategy</w:t>
      </w:r>
      <w:r w:rsidDel="00000000" w:rsidR="00000000" w:rsidRPr="00000000">
        <w:rPr>
          <w:rtl w:val="0"/>
        </w:rPr>
      </w:r>
    </w:p>
    <w:p w:rsidR="00000000" w:rsidDel="00000000" w:rsidP="00000000" w:rsidRDefault="00000000" w:rsidRPr="00000000" w14:paraId="0000018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84">
      <w:pPr>
        <w:pageBreakBefore w:val="0"/>
        <w:spacing w:after="240" w:before="24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85">
      <w:pPr>
        <w:pageBreakBefore w:val="0"/>
        <w:jc w:val="center"/>
        <w:rPr>
          <w:sz w:val="22"/>
          <w:szCs w:val="22"/>
        </w:rPr>
      </w:pPr>
      <w:r w:rsidDel="00000000" w:rsidR="00000000" w:rsidRPr="00000000">
        <w:rPr>
          <w:sz w:val="22"/>
          <w:szCs w:val="22"/>
        </w:rPr>
        <w:drawing>
          <wp:inline distB="114300" distT="114300" distL="114300" distR="114300">
            <wp:extent cx="4130712" cy="2690813"/>
            <wp:effectExtent b="12700" l="12700" r="12700" t="12700"/>
            <wp:docPr id="2"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4130712" cy="2690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pageBreakBefore w:val="0"/>
        <w:jc w:val="center"/>
        <w:rPr>
          <w:highlight w:val="white"/>
        </w:rPr>
      </w:pPr>
      <w:r w:rsidDel="00000000" w:rsidR="00000000" w:rsidRPr="00000000">
        <w:rPr>
          <w:sz w:val="22"/>
          <w:szCs w:val="22"/>
          <w:rtl w:val="0"/>
        </w:rPr>
        <w:t xml:space="preserve">Example Contingency Strategy 2018</w:t>
      </w: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net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This R</w:t>
      </w:r>
      <w:r w:rsidDel="00000000" w:rsidR="00000000" w:rsidRPr="00000000">
        <w:rPr>
          <w:vertAlign w:val="superscript"/>
          <w:rtl w:val="0"/>
        </w:rPr>
        <w:t xml:space="preserve">2</w:t>
      </w:r>
      <w:r w:rsidDel="00000000" w:rsidR="00000000" w:rsidRPr="00000000">
        <w:rPr>
          <w:rtl w:val="0"/>
        </w:rPr>
        <w:t xml:space="preserve"> is much lower than what we found in previous results, especially from 2008 to 2013, this is due to two sets of factors. First, we have changed our definition of SOI, using RDI instead of change in Exports. Secondly, the global, especially western and developed,  economy has seen a long run of growth with lower than expected inflation. Many central banks have thus kept interest rates very low, leading to strong growth in countries where a lower rate of growth would be expected. 2013 to 2018 has also seen much political change in both developed and developing economies, including but not limited to contentious elections, wars and refugee crisis, and trade conflicts. These could be factors that have contributed to a less than expected correlation between SOI and 5-year GDP growth rate.</w:t>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t xml:space="preserve"> </w:t>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8">
      <w:pPr>
        <w:pageBreakBefore w:val="0"/>
        <w:jc w:val="both"/>
        <w:rPr/>
      </w:pPr>
      <w:r w:rsidDel="00000000" w:rsidR="00000000" w:rsidRPr="00000000">
        <w:rPr/>
        <w:drawing>
          <wp:inline distB="114300" distT="114300" distL="114300" distR="114300">
            <wp:extent cx="5734050" cy="3822700"/>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40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ageBreakBefore w:val="0"/>
        <w:jc w:val="center"/>
        <w:rPr/>
      </w:pPr>
      <w:r w:rsidDel="00000000" w:rsidR="00000000" w:rsidRPr="00000000">
        <w:rPr>
          <w:rtl w:val="0"/>
        </w:rPr>
        <w:t xml:space="preserve">Figure 2: Regression of Five-year GDP Growth over SOI</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b w:val="1"/>
          <w:bCs w:val="1"/>
          <w:rtl w:val="0"/>
        </w:rPr>
        <w:t xml:space="preserve">5.2 SOI Examples and Implications</w:t>
      </w:r>
    </w:p>
    <w:p w:rsidR="00000000" w:rsidDel="00000000" w:rsidP="00000000" w:rsidRDefault="00000000" w:rsidRPr="00000000" w14:paraId="0000019C">
      <w:pPr>
        <w:pageBreakBefore w:val="0"/>
        <w:jc w:val="both"/>
        <w:rPr/>
      </w:pPr>
      <w:r w:rsidDel="00000000" w:rsidR="00000000" w:rsidRPr="00000000">
        <w:rPr>
          <w:rtl w:val="0"/>
        </w:rPr>
        <w:t xml:space="preserve">To explain this finding in a more intuitive way, we take Turkey and Japan as a comparison. As Figure 3 suggests, the RDI of Turkey in various industries demonstrate a high level of correlation with the opportunity gains of those industries, having an adjusted R-square (i.e., SOI) of around 21.8%. In fact, Turkey ranks among the fastest growing countries, 36.7% GDP Growth from 2013 to 2018, and has one of the highest SOI’s, which is consistent with the regression result in Figure 6. </w:t>
      </w:r>
    </w:p>
    <w:p w:rsidR="00000000" w:rsidDel="00000000" w:rsidP="00000000" w:rsidRDefault="00000000" w:rsidRPr="00000000" w14:paraId="0000019D">
      <w:pPr>
        <w:pageBreakBefore w:val="0"/>
        <w:jc w:val="center"/>
        <w:rPr/>
      </w:pPr>
      <w:r w:rsidDel="00000000" w:rsidR="00000000" w:rsidRPr="00000000">
        <w:rPr/>
        <w:drawing>
          <wp:inline distB="114300" distT="114300" distL="114300" distR="114300">
            <wp:extent cx="5734050" cy="2298700"/>
            <wp:effectExtent b="0" l="0" r="0" t="0"/>
            <wp:docPr id="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ageBreakBefore w:val="0"/>
        <w:jc w:val="center"/>
        <w:rPr/>
      </w:pPr>
      <w:r w:rsidDel="00000000" w:rsidR="00000000" w:rsidRPr="00000000">
        <w:rPr>
          <w:rtl w:val="0"/>
        </w:rPr>
        <w:t xml:space="preserve">Figure 3: SOI of Turkey (2013-2018)</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The situation in Turkey is in direct contrast to that in developed economies such as Japan, where there is a small SOI of around -4.8% and a corresponding 5-year growth rate of merely 9.0%, ranking it a slow-developing economy during the period. In sum, Japan’s stagnant economic progress from 2013 to 2018 can be at least partially explained by a mismatched development strategy that demonstrates a considerable level of deviations from the suggested developmental path as calculated through opportunity gains. In specific, Figure 8 shows that Japan invested heavily in the transportation industry, while it should have focused more on industry groups such as Daily Instruments, which actually have higher opportunity gains based on calculations.</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jc w:val="center"/>
        <w:rPr>
          <w:b w:val="1"/>
          <w:bCs w:val="1"/>
        </w:rPr>
      </w:pPr>
      <w:r w:rsidDel="00000000" w:rsidR="00000000" w:rsidRPr="00000000">
        <w:rPr/>
        <w:drawing>
          <wp:inline distB="114300" distT="114300" distL="114300" distR="114300">
            <wp:extent cx="5734050" cy="2298700"/>
            <wp:effectExtent b="0" l="0" r="0" t="0"/>
            <wp:docPr id="22"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ageBreakBefore w:val="0"/>
        <w:jc w:val="center"/>
        <w:rPr/>
      </w:pPr>
      <w:r w:rsidDel="00000000" w:rsidR="00000000" w:rsidRPr="00000000">
        <w:rPr>
          <w:rtl w:val="0"/>
        </w:rPr>
      </w:r>
    </w:p>
    <w:p w:rsidR="00000000" w:rsidDel="00000000" w:rsidP="00000000" w:rsidRDefault="00000000" w:rsidRPr="00000000" w14:paraId="000001A4">
      <w:pPr>
        <w:pageBreakBefore w:val="0"/>
        <w:jc w:val="center"/>
        <w:rPr/>
      </w:pPr>
      <w:r w:rsidDel="00000000" w:rsidR="00000000" w:rsidRPr="00000000">
        <w:rPr>
          <w:rtl w:val="0"/>
        </w:rPr>
        <w:t xml:space="preserve">Figure 4: SOI of Japan (2013-2018)</w:t>
      </w:r>
    </w:p>
    <w:p w:rsidR="00000000" w:rsidDel="00000000" w:rsidP="00000000" w:rsidRDefault="00000000" w:rsidRPr="00000000" w14:paraId="000001A5">
      <w:pPr>
        <w:pageBreakBefore w:val="0"/>
        <w:jc w:val="both"/>
        <w:rPr>
          <w:b w:val="1"/>
          <w:bCs w:val="1"/>
        </w:rPr>
      </w:pPr>
      <w:r w:rsidDel="00000000" w:rsidR="00000000" w:rsidRPr="00000000">
        <w:rPr>
          <w:rtl w:val="0"/>
        </w:rPr>
      </w:r>
    </w:p>
    <w:p w:rsidR="00000000" w:rsidDel="00000000" w:rsidP="00000000" w:rsidRDefault="00000000" w:rsidRPr="00000000" w14:paraId="000001A6">
      <w:pPr>
        <w:pageBreakBefore w:val="0"/>
        <w:jc w:val="both"/>
        <w:rPr>
          <w:b w:val="1"/>
          <w:bCs w:val="1"/>
        </w:rPr>
      </w:pPr>
      <w:r w:rsidDel="00000000" w:rsidR="00000000" w:rsidRPr="00000000">
        <w:rPr>
          <w:rtl w:val="0"/>
        </w:rPr>
        <w:t xml:space="preserve">The contrast of situations in Turkey and France offers a glimpse of the relationship summarized in the regression in Figure 6, and shows that the economic outcome of countries is positively associated with their structural optimality. In particular, countries such as Turkey tend to have better growth, as measured by GDP, when they follow industry prioritization strategies closely based on opportunity gains, and the reverse is true for countries such as France. While a strict causality is hard to be established in this case because it is hard to control variables in such natural experiments, the correlated phenomenon is widely observed across different time spans of our interest. This implies that the calculations and further research on a complexity level are of importance and great values to countries, and may offer a guide for them to properly access and prioritize certain industries in face of practical constraints such as time and budget. Still we do find results contradictory to our hypothesis, for example, Brazil. Brazil has one of the highest SOI’s among countries observed, yet still it has had one of the lowest rates of GDP growth. This is in direct contrast to the period from 2008 to 2013, where Brazil was one of the fastest growing countries. As mentioned in the previous section, some of this disparity may be explained by political factors.</w:t>
      </w:r>
      <w:r w:rsidDel="00000000" w:rsidR="00000000" w:rsidRPr="00000000">
        <w:rPr>
          <w:rtl w:val="0"/>
        </w:rPr>
      </w:r>
    </w:p>
    <w:p w:rsidR="00000000" w:rsidDel="00000000" w:rsidP="00000000" w:rsidRDefault="00000000" w:rsidRPr="00000000" w14:paraId="000001A7">
      <w:pPr>
        <w:pageBreakBefore w:val="0"/>
        <w:jc w:val="both"/>
        <w:rPr>
          <w:b w:val="1"/>
          <w:bCs w:val="1"/>
        </w:rPr>
      </w:pPr>
      <w:r w:rsidDel="00000000" w:rsidR="00000000" w:rsidRPr="00000000">
        <w:rPr>
          <w:rtl w:val="0"/>
        </w:rPr>
      </w:r>
    </w:p>
    <w:p w:rsidR="00000000" w:rsidDel="00000000" w:rsidP="00000000" w:rsidRDefault="00000000" w:rsidRPr="00000000" w14:paraId="000001A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rtl w:val="0"/>
        </w:rPr>
        <w:t xml:space="preserve">In conclusion, we build on previous works related to the Economic Complexity Index and add analyses on the product space for each country into the general framework. In particular, we categorized the highly specific global export data available on UN Comtrade to 18 manageable and intuitive industry categories. Extending the definitions of product complexity index to product families, we calculate the distance between countries and product families and observe how countries have positioned themselves in their product space during the time span of our interest.</w:t>
      </w:r>
    </w:p>
    <w:p w:rsidR="00000000" w:rsidDel="00000000" w:rsidP="00000000" w:rsidRDefault="00000000" w:rsidRPr="00000000" w14:paraId="000001AB">
      <w:pPr>
        <w:pageBreakBefore w:val="0"/>
        <w:jc w:val="both"/>
        <w:rPr/>
      </w:pPr>
      <w:r w:rsidDel="00000000" w:rsidR="00000000" w:rsidRPr="00000000">
        <w:rPr>
          <w:rtl w:val="0"/>
        </w:rPr>
        <w:t xml:space="preserve"> </w:t>
      </w:r>
    </w:p>
    <w:p w:rsidR="00000000" w:rsidDel="00000000" w:rsidP="00000000" w:rsidRDefault="00000000" w:rsidRPr="00000000" w14:paraId="000001AC">
      <w:pPr>
        <w:pageBreakBefore w:val="0"/>
        <w:jc w:val="both"/>
        <w:rPr/>
      </w:pPr>
      <w:r w:rsidDel="00000000" w:rsidR="00000000" w:rsidRPr="00000000">
        <w:rPr>
          <w:rtl w:val="0"/>
        </w:rPr>
        <w:t xml:space="preserve">We then dive into the question of how countries should develop given their current position and solve for strategies that countries can pursue on an individual basis. We propose an optimal budgeted industry development strategy for developing economies to prioritize certain industries in the expansion of their product space. We also put forward sensitivity analyses and contingency plans to prepare developed and fast developing countries for upheavals in their product space. This includes solutions to deal with a possible collapse of their cornerstone industries. More detailed analyses of select countries can be found in the appendix of this report – these largely represent how countries of each kind should develop in this ever-changing global market.</w:t>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both"/>
        <w:rPr/>
      </w:pPr>
      <w:r w:rsidDel="00000000" w:rsidR="00000000" w:rsidRPr="00000000">
        <w:rPr>
          <w:rtl w:val="0"/>
        </w:rPr>
        <w:t xml:space="preserve">Additionally, we use a Structural Optimality Index (SOI) to quantitatively measure and compare the strategies adopted by countries against the suggested developmental path. Regression shows a strong positive correlation between countries’ structural optimality and their economic outcomes, measured by GDP growth. This suggests that countries’ product spaces, as well as decisions to be made on the product space, are of great research value to economies. However, more work remains to be done in order to obtain a deeper understanding of how countries interact on the global production network.</w:t>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B1">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B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B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7">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9">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B">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D">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F">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C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1">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C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4">
      <w:pPr>
        <w:pageBreakBefore w:val="0"/>
        <w:jc w:val="both"/>
        <w:rPr/>
      </w:pPr>
      <w:r w:rsidDel="00000000" w:rsidR="00000000" w:rsidRPr="00000000">
        <w:rPr>
          <w:rtl w:val="0"/>
        </w:rPr>
      </w:r>
    </w:p>
    <w:sectPr>
      <w:headerReference r:id="rId30" w:type="default"/>
      <w:footerReference r:id="rId31" w:type="default"/>
      <w:footerReference r:id="rId32" w:type="first"/>
      <w:footerReference r:id="rId33" w:type="even"/>
      <w:pgSz w:h="16840" w:w="1190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imes New Roman"/>
  <w:font w:name="PT Sans Narrow">
    <w:embedRegular w:fontKey="{00000000-0000-0000-0000-000000000000}" r:id="rId1" w:subsetted="0"/>
    <w:embedBold w:fontKey="{00000000-0000-0000-0000-000000000000}" r:id="rId2" w:subsetted="0"/>
  </w:font>
  <w:font w:name="CaeciliaLTStd-Light"/>
  <w:font w:name="Times"/>
  <w:font w:name="Cambria Math">
    <w:embedRegular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*https://atlas.cid.harvard.edu/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2.%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3.%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4.%1"/>
      <w:lvlJc w:val="right"/>
      <w:pPr>
        <w:ind w:left="1440" w:hanging="360"/>
      </w:pPr>
      <w:rPr>
        <w:b w:val="0"/>
        <w:bCs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5.%1"/>
      <w:lvlJc w:val="right"/>
      <w:pPr>
        <w:ind w:left="1440" w:hanging="360"/>
      </w:pPr>
      <w:rPr>
        <w:b w:val="0"/>
        <w:bCs w:val="0"/>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144.0" w:type="dxa"/>
        <w:left w:w="115.0" w:type="dxa"/>
        <w:bottom w:w="144.0" w:type="dxa"/>
        <w:right w:w="115.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12.jp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6" Type="http://schemas.openxmlformats.org/officeDocument/2006/relationships/image" Target="media/image1.jpg"/><Relationship Id="rId25" Type="http://schemas.openxmlformats.org/officeDocument/2006/relationships/image" Target="media/image5.jpg"/><Relationship Id="rId28" Type="http://schemas.openxmlformats.org/officeDocument/2006/relationships/image" Target="media/image10.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8.png"/><Relationship Id="rId7" Type="http://schemas.openxmlformats.org/officeDocument/2006/relationships/image" Target="media/image24.png"/><Relationship Id="rId8" Type="http://schemas.openxmlformats.org/officeDocument/2006/relationships/image" Target="media/image16.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7.jpg"/><Relationship Id="rId33" Type="http://schemas.openxmlformats.org/officeDocument/2006/relationships/footer" Target="footer2.xml"/><Relationship Id="rId10" Type="http://schemas.openxmlformats.org/officeDocument/2006/relationships/image" Target="media/image19.jpg"/><Relationship Id="rId32" Type="http://schemas.openxmlformats.org/officeDocument/2006/relationships/footer" Target="footer3.xml"/><Relationship Id="rId13" Type="http://schemas.openxmlformats.org/officeDocument/2006/relationships/image" Target="media/image6.png"/><Relationship Id="rId12" Type="http://schemas.openxmlformats.org/officeDocument/2006/relationships/image" Target="media/image9.jp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jpg"/><Relationship Id="rId16" Type="http://schemas.openxmlformats.org/officeDocument/2006/relationships/image" Target="media/image11.png"/><Relationship Id="rId19" Type="http://schemas.openxmlformats.org/officeDocument/2006/relationships/image" Target="media/image1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CambriaMath-regular.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