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9" name="image5.png"/>
            <a:graphic>
              <a:graphicData uri="http://schemas.openxmlformats.org/drawingml/2006/picture">
                <pic:pic>
                  <pic:nvPicPr>
                    <pic:cNvPr descr="horizontal line" id="0" name="image5.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1" name="image21.png"/>
            <a:graphic>
              <a:graphicData uri="http://schemas.openxmlformats.org/drawingml/2006/picture">
                <pic:pic>
                  <pic:nvPicPr>
                    <pic:cNvPr id="0" name="image21.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Ukraine</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Ajit Akole, Alex Wei-Liang Ku, Sannidhya Modi, Nouhaila Elmajidi,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Ukraine</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uncover the economic path Ukraine went through during the period from 2013 to 2018. Specifically, we dive into the topic through a macroeconomic overview of Ukraine from the perspective of Gross Domestic Product (GDP) and Economic Complexity Index (ECI), which reflect countries’ production capability and production structure, respectively. We find that during the period of our interest, Ukraine </w:t>
      </w:r>
      <w:r w:rsidDel="00000000" w:rsidR="00000000" w:rsidRPr="00000000">
        <w:rPr>
          <w:rtl w:val="0"/>
        </w:rPr>
        <w:t xml:space="preserve">demonstrated a low level of economic growth with an average annual GDP growth rate of </w:t>
      </w:r>
      <w:r w:rsidDel="00000000" w:rsidR="00000000" w:rsidRPr="00000000">
        <w:rPr>
          <w:rtl w:val="0"/>
        </w:rPr>
        <w:t xml:space="preserve">0.05</w:t>
      </w:r>
      <w:r w:rsidDel="00000000" w:rsidR="00000000" w:rsidRPr="00000000">
        <w:rPr>
          <w:rtl w:val="0"/>
        </w:rPr>
        <w:t xml:space="preserve">%, concurrent with a decrease in economic complexity as compared with other major developed economies</w:t>
      </w:r>
      <w:r w:rsidDel="00000000" w:rsidR="00000000" w:rsidRPr="00000000">
        <w:rPr>
          <w:rtl w:val="0"/>
        </w:rPr>
        <w:t xml:space="preserve">.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lack of progress during the period can be partially explained through analysis of the economic complexity structure of Ukraine on the industry group level. The product classification system we adopt allows us to measure the realized development for various industry groups. We observe that Ukraine</w:t>
      </w:r>
      <w:r w:rsidDel="00000000" w:rsidR="00000000" w:rsidRPr="00000000">
        <w:rPr>
          <w:rtl w:val="0"/>
        </w:rPr>
        <w:t xml:space="preserve"> consistently relied on developing the Vegetables, Fruits and Plants industry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Ukraine can further its gains by prioritizing High Complexity Products, Daily Instruments, and Machinery and Construction. We further note that Ukraine has a slightly mismatched development strategy that indicates a moderately high (compared to other developed countries) level of structural optimality on the complexity level, having an adjusted R-square of around 13.7%. A significant positive correlation exists between five-year GDP growth and the structural optimality index of an economy as we define and calculate, but Ukraine still has a suboptimal growth experience as compared with fast-growing economies both on a regional scale and on a global scale. However, the country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Ukraine went through during the period from 2013 to 2018. Specifically, we dive into the topic through a macroeconomic overview of Ukraine from the perspective of Gross Domestic Product (GDP) and Economic Complexity Index (ECI), which reflect countries’ production capability and production structure, respectively. We then analyze the industrial framework of Ukraine during the period based on quantitative measures such as Product Complexity Index (PCI) and Product Family Complexity Index (PfCI), followed by a detailed analysis of how changes to this framework have matched with development strategies as quantitatively measured by opportunity gains on an industry-level. We conclude our report with macro-level results and predictions of Ukraine,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Ukraine and three of its peer countries (Greece, Finland, Portugal) from 2013-2018. Compared to the other countries, Ukraine didn’t see much growth compared to its peers. Additionally, Ukraine’s average annual growth rate of 0.05% over the five-year period is less than that of its peers, which are 1.74%, 2.84%, and 2.78% for Greece, Finland, and Portugal respectively.</w:t>
      </w:r>
    </w:p>
    <w:p w:rsidR="00000000" w:rsidDel="00000000" w:rsidP="00000000" w:rsidRDefault="00000000" w:rsidRPr="00000000" w14:paraId="0000001B">
      <w:pPr>
        <w:pageBreakBefore w:val="0"/>
        <w:jc w:val="center"/>
        <w:rPr/>
      </w:pPr>
      <w:r w:rsidDel="00000000" w:rsidR="00000000" w:rsidRPr="00000000">
        <w:rPr/>
        <w:drawing>
          <wp:inline distB="114300" distT="114300" distL="114300" distR="114300">
            <wp:extent cx="3705225" cy="2514600"/>
            <wp:effectExtent b="0" l="0" r="0" t="0"/>
            <wp:docPr id="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7052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1D">
      <w:pPr>
        <w:pageBreakBefore w:val="0"/>
        <w:jc w:val="center"/>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0">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growth pattern for Ukraine. As illustrated in Figure 2 below, Ukraine (-14.23% ECI change) exhibited a decrease in terms of its production capability from 2013 to 2018, which is similar to Greece (-52.71%), but different from Finland (-30.73%) and Portugal(262.35%). Ultimately, Ukraine is among the middle in its peer group in terms of its GDP growth rate and ECI change across the period.</w:t>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pageBreakBefore w:val="0"/>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960600</wp:posOffset>
            </wp:positionH>
            <wp:positionV relativeFrom="paragraph">
              <wp:posOffset>66675</wp:posOffset>
            </wp:positionV>
            <wp:extent cx="3810000" cy="2514600"/>
            <wp:effectExtent b="0" l="0" r="0" t="0"/>
            <wp:wrapTopAndBottom distB="0" distT="0"/>
            <wp:docPr id="2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3810000" cy="2514600"/>
                    </a:xfrm>
                    <a:prstGeom prst="rect"/>
                    <a:ln/>
                  </pic:spPr>
                </pic:pic>
              </a:graphicData>
            </a:graphic>
          </wp:anchor>
        </w:drawing>
      </w:r>
    </w:p>
    <w:p w:rsidR="00000000" w:rsidDel="00000000" w:rsidP="00000000" w:rsidRDefault="00000000" w:rsidRPr="00000000" w14:paraId="00000023">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4">
      <w:pPr>
        <w:pageBreakBefore w:val="0"/>
        <w:jc w:val="center"/>
        <w:rPr/>
      </w:pP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770100</wp:posOffset>
            </wp:positionH>
            <wp:positionV relativeFrom="paragraph">
              <wp:posOffset>6285</wp:posOffset>
            </wp:positionV>
            <wp:extent cx="4191000" cy="2514600"/>
            <wp:effectExtent b="0" l="0" r="0" t="0"/>
            <wp:wrapTopAndBottom distB="0" distT="0"/>
            <wp:docPr id="16"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191000" cy="2514600"/>
                    </a:xfrm>
                    <a:prstGeom prst="rect"/>
                    <a:ln/>
                  </pic:spPr>
                </pic:pic>
              </a:graphicData>
            </a:graphic>
          </wp:anchor>
        </w:drawing>
      </w:r>
    </w:p>
    <w:p w:rsidR="00000000" w:rsidDel="00000000" w:rsidP="00000000" w:rsidRDefault="00000000" w:rsidRPr="00000000" w14:paraId="00000026">
      <w:pPr>
        <w:pageBreakBefore w:val="0"/>
        <w:jc w:val="center"/>
        <w:rPr/>
      </w:pPr>
      <w:r w:rsidDel="00000000" w:rsidR="00000000" w:rsidRPr="00000000">
        <w:rPr>
          <w:rtl w:val="0"/>
        </w:rPr>
        <w:t xml:space="preserve"> Figure 3: GDP Growth and ECI (Ukraine)</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pageBreakBefore w:val="0"/>
        <w:jc w:val="both"/>
        <w:rPr/>
      </w:pPr>
      <w:r w:rsidDel="00000000" w:rsidR="00000000" w:rsidRPr="00000000">
        <w:rPr>
          <w:rtl w:val="0"/>
        </w:rPr>
        <w:t xml:space="preserve">Figure 3 offers a further comparison of GDP Growth and ECI over the time span from 2013 to 2018 for Ukraine. The increase in GDP during the period from 2015 to 2018 is accompanied by a sharp decline in ECI up till 2017. The results show that the economic growth experienced by Ukraine during the period from 2013 to 2017 is partially consistent with the predictions by ECI and Ukraine did effectively make strides to develop a competitive product space that helps to accumulate complicated knowledge and technology. In order to provide a more concrete answer to why this has happened, we will dive into an analysis of Ukraine’s production structure and its product space designs in the next few chapters. </w:t>
      </w:r>
    </w:p>
    <w:p w:rsidR="00000000" w:rsidDel="00000000" w:rsidP="00000000" w:rsidRDefault="00000000" w:rsidRPr="00000000" w14:paraId="00000029">
      <w:pPr>
        <w:pageBreakBefore w:val="0"/>
        <w:jc w:val="both"/>
        <w:rPr>
          <w:b w:val="1"/>
          <w:bCs w:val="1"/>
        </w:rPr>
      </w:pPr>
      <w:r w:rsidDel="00000000" w:rsidR="00000000" w:rsidRPr="00000000">
        <w:rPr>
          <w:rtl w:val="0"/>
        </w:rPr>
      </w:r>
    </w:p>
    <w:p w:rsidR="00000000" w:rsidDel="00000000" w:rsidP="00000000" w:rsidRDefault="00000000" w:rsidRPr="00000000" w14:paraId="0000002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D">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E">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2F">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2">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3">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4">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5">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3">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4F">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9">
      <w:pPr>
        <w:pageBreakBefore w:val="0"/>
        <w:jc w:val="both"/>
        <w:rPr/>
      </w:pPr>
      <w:r w:rsidDel="00000000" w:rsidR="00000000" w:rsidRPr="00000000">
        <w:rPr>
          <w:rtl w:val="0"/>
        </w:rPr>
      </w:r>
    </w:p>
    <w:p w:rsidR="00000000" w:rsidDel="00000000" w:rsidP="00000000" w:rsidRDefault="00000000" w:rsidRPr="00000000" w14:paraId="0000005A">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F">
            <w:pPr>
              <w:pageBreakBefore w:val="0"/>
              <w:jc w:val="center"/>
              <w:rPr/>
            </w:pPr>
            <w:r w:rsidDel="00000000" w:rsidR="00000000" w:rsidRPr="00000000">
              <w:rPr>
                <w:rtl w:val="0"/>
              </w:rPr>
            </w:r>
          </w:p>
        </w:tc>
        <w:tc>
          <w:tcPr/>
          <w:p w:rsidR="00000000" w:rsidDel="00000000" w:rsidP="00000000" w:rsidRDefault="00000000" w:rsidRPr="00000000" w14:paraId="00000060">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1">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3">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4">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5">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6">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7">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8">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9">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A">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D">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107</w:t>
            </w:r>
          </w:p>
        </w:tc>
      </w:tr>
    </w:tbl>
    <w:p w:rsidR="00000000" w:rsidDel="00000000" w:rsidP="00000000" w:rsidRDefault="00000000" w:rsidRPr="00000000" w14:paraId="0000006F">
      <w:pPr>
        <w:pageBreakBefore w:val="0"/>
        <w:jc w:val="center"/>
        <w:rPr/>
      </w:pPr>
      <w:r w:rsidDel="00000000" w:rsidR="00000000" w:rsidRPr="00000000">
        <w:rPr>
          <w:rtl w:val="0"/>
        </w:rPr>
      </w:r>
    </w:p>
    <w:p w:rsidR="00000000" w:rsidDel="00000000" w:rsidP="00000000" w:rsidRDefault="00000000" w:rsidRPr="00000000" w14:paraId="00000070">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1">
      <w:pPr>
        <w:pageBreakBefore w:val="0"/>
        <w:jc w:val="both"/>
        <w:rPr/>
      </w:pPr>
      <w:r w:rsidDel="00000000" w:rsidR="00000000" w:rsidRPr="00000000">
        <w:rPr>
          <w:rtl w:val="0"/>
        </w:rPr>
      </w:r>
    </w:p>
    <w:p w:rsidR="00000000" w:rsidDel="00000000" w:rsidP="00000000" w:rsidRDefault="00000000" w:rsidRPr="00000000" w14:paraId="00000072">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3">
            <w:pPr>
              <w:pageBreakBefore w:val="0"/>
              <w:jc w:val="center"/>
              <w:rPr/>
            </w:pPr>
            <w:r w:rsidDel="00000000" w:rsidR="00000000" w:rsidRPr="00000000">
              <w:rPr>
                <w:rtl w:val="0"/>
              </w:rPr>
            </w:r>
          </w:p>
        </w:tc>
        <w:tc>
          <w:tcPr/>
          <w:p w:rsidR="00000000" w:rsidDel="00000000" w:rsidP="00000000" w:rsidRDefault="00000000" w:rsidRPr="00000000" w14:paraId="00000074">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5">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7">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8">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9">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B">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C">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D">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7E">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7F">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1">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21</w:t>
            </w:r>
          </w:p>
        </w:tc>
      </w:tr>
    </w:tbl>
    <w:p w:rsidR="00000000" w:rsidDel="00000000" w:rsidP="00000000" w:rsidRDefault="00000000" w:rsidRPr="00000000" w14:paraId="00000083">
      <w:pPr>
        <w:pageBreakBefore w:val="0"/>
        <w:jc w:val="center"/>
        <w:rPr/>
      </w:pPr>
      <w:r w:rsidDel="00000000" w:rsidR="00000000" w:rsidRPr="00000000">
        <w:rPr>
          <w:rtl w:val="0"/>
        </w:rPr>
      </w:r>
    </w:p>
    <w:p w:rsidR="00000000" w:rsidDel="00000000" w:rsidP="00000000" w:rsidRDefault="00000000" w:rsidRPr="00000000" w14:paraId="00000084">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5">
      <w:pPr>
        <w:pageBreakBefore w:val="0"/>
        <w:jc w:val="center"/>
        <w:rPr>
          <w:sz w:val="20"/>
          <w:szCs w:val="20"/>
        </w:rPr>
      </w:pPr>
      <w:r w:rsidDel="00000000" w:rsidR="00000000" w:rsidRPr="00000000">
        <w:rPr>
          <w:rtl w:val="0"/>
        </w:rPr>
      </w:r>
    </w:p>
    <w:p w:rsidR="00000000" w:rsidDel="00000000" w:rsidP="00000000" w:rsidRDefault="00000000" w:rsidRPr="00000000" w14:paraId="00000086">
      <w:pPr>
        <w:pageBreakBefore w:val="0"/>
        <w:jc w:val="center"/>
        <w:rPr/>
      </w:pPr>
      <w:r w:rsidDel="00000000" w:rsidR="00000000" w:rsidRPr="00000000">
        <w:rPr>
          <w:rtl w:val="0"/>
        </w:rPr>
      </w:r>
    </w:p>
    <w:p w:rsidR="00000000" w:rsidDel="00000000" w:rsidP="00000000" w:rsidRDefault="00000000" w:rsidRPr="00000000" w14:paraId="00000087">
      <w:pPr>
        <w:pageBreakBefore w:val="0"/>
        <w:jc w:val="both"/>
        <w:rPr>
          <w:b w:val="1"/>
          <w:bCs w:val="1"/>
        </w:rPr>
      </w:pPr>
      <w:r w:rsidDel="00000000" w:rsidR="00000000" w:rsidRPr="00000000">
        <w:rPr>
          <w:rtl w:val="0"/>
        </w:rPr>
      </w:r>
    </w:p>
    <w:p w:rsidR="00000000" w:rsidDel="00000000" w:rsidP="00000000" w:rsidRDefault="00000000" w:rsidRPr="00000000" w14:paraId="00000088">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9">
      <w:pPr>
        <w:pageBreakBefore w:val="0"/>
        <w:jc w:val="both"/>
        <w:rPr/>
      </w:pPr>
      <w:r w:rsidDel="00000000" w:rsidR="00000000" w:rsidRPr="00000000">
        <w:rPr>
          <w:rtl w:val="0"/>
        </w:rPr>
        <w:t xml:space="preserve">Based on the product categorization aforementioned, we aim to capture Ukraine’s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w:t>
      </w:r>
    </w:p>
    <w:p w:rsidR="00000000" w:rsidDel="00000000" w:rsidP="00000000" w:rsidRDefault="00000000" w:rsidRPr="00000000" w14:paraId="0000008A">
      <w:pPr>
        <w:pageBreakBefore w:val="0"/>
        <w:jc w:val="both"/>
        <w:rPr/>
      </w:pPr>
      <w:r w:rsidDel="00000000" w:rsidR="00000000" w:rsidRPr="00000000">
        <w:rPr>
          <w:rtl w:val="0"/>
        </w:rPr>
      </w:r>
    </w:p>
    <w:p w:rsidR="00000000" w:rsidDel="00000000" w:rsidP="00000000" w:rsidRDefault="00000000" w:rsidRPr="00000000" w14:paraId="0000008B">
      <w:pPr>
        <w:pageBreakBefore w:val="0"/>
        <w:jc w:val="center"/>
        <w:rPr/>
      </w:pPr>
      <w:r w:rsidDel="00000000" w:rsidR="00000000" w:rsidRPr="00000000">
        <w:rPr/>
        <w:drawing>
          <wp:inline distB="114300" distT="114300" distL="114300" distR="114300">
            <wp:extent cx="2087400" cy="4035640"/>
            <wp:effectExtent b="0" l="0" r="0" t="0"/>
            <wp:docPr id="10"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2087400" cy="403564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ageBreakBefore w:val="0"/>
        <w:jc w:val="center"/>
        <w:rPr/>
      </w:pPr>
      <w:r w:rsidDel="00000000" w:rsidR="00000000" w:rsidRPr="00000000">
        <w:rPr>
          <w:rtl w:val="0"/>
        </w:rPr>
        <w:t xml:space="preserve">Table 2: Realized Industry Development (RID) of Ukraine</w:t>
      </w:r>
    </w:p>
    <w:p w:rsidR="00000000" w:rsidDel="00000000" w:rsidP="00000000" w:rsidRDefault="00000000" w:rsidRPr="00000000" w14:paraId="0000008D">
      <w:pPr>
        <w:pageBreakBefore w:val="0"/>
        <w:jc w:val="both"/>
        <w:rPr>
          <w:b w:val="1"/>
          <w:bCs w:val="1"/>
        </w:rPr>
      </w:pPr>
      <w:r w:rsidDel="00000000" w:rsidR="00000000" w:rsidRPr="00000000">
        <w:rPr>
          <w:rtl w:val="0"/>
        </w:rPr>
      </w:r>
    </w:p>
    <w:p w:rsidR="00000000" w:rsidDel="00000000" w:rsidP="00000000" w:rsidRDefault="00000000" w:rsidRPr="00000000" w14:paraId="0000008E">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8F">
      <w:pPr>
        <w:pageBreakBefore w:val="0"/>
        <w:jc w:val="both"/>
        <w:rPr/>
      </w:pPr>
      <w:r w:rsidDel="00000000" w:rsidR="00000000" w:rsidRPr="00000000">
        <w:rPr>
          <w:rtl w:val="0"/>
        </w:rPr>
        <w:t xml:space="preserve">Table 3 and 4 below summarize how the production strategy adopted by Ukraine compares with leading economies and a selected group of emerging economies in the world, as measured in RID. </w:t>
      </w:r>
    </w:p>
    <w:p w:rsidR="00000000" w:rsidDel="00000000" w:rsidP="00000000" w:rsidRDefault="00000000" w:rsidRPr="00000000" w14:paraId="00000090">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1">
            <w:pPr>
              <w:pageBreakBefore w:val="0"/>
              <w:jc w:val="both"/>
              <w:rPr/>
            </w:pPr>
            <w:r w:rsidDel="00000000" w:rsidR="00000000" w:rsidRPr="00000000">
              <w:rPr>
                <w:rtl w:val="0"/>
              </w:rPr>
              <w:t xml:space="preserve">Ranking</w:t>
            </w:r>
          </w:p>
        </w:tc>
        <w:tc>
          <w:tcPr/>
          <w:p w:rsidR="00000000" w:rsidDel="00000000" w:rsidP="00000000" w:rsidRDefault="00000000" w:rsidRPr="00000000" w14:paraId="00000092">
            <w:pPr>
              <w:pageBreakBefore w:val="0"/>
              <w:jc w:val="both"/>
              <w:rPr/>
            </w:pPr>
            <w:r w:rsidDel="00000000" w:rsidR="00000000" w:rsidRPr="00000000">
              <w:rPr>
                <w:rtl w:val="0"/>
              </w:rPr>
              <w:t xml:space="preserve">France</w:t>
            </w:r>
          </w:p>
        </w:tc>
        <w:tc>
          <w:tcPr/>
          <w:p w:rsidR="00000000" w:rsidDel="00000000" w:rsidP="00000000" w:rsidRDefault="00000000" w:rsidRPr="00000000" w14:paraId="00000093">
            <w:pPr>
              <w:pageBreakBefore w:val="0"/>
              <w:jc w:val="both"/>
              <w:rPr/>
            </w:pPr>
            <w:r w:rsidDel="00000000" w:rsidR="00000000" w:rsidRPr="00000000">
              <w:rPr>
                <w:rtl w:val="0"/>
              </w:rPr>
              <w:t xml:space="preserve">US</w:t>
            </w:r>
          </w:p>
        </w:tc>
        <w:tc>
          <w:tcPr/>
          <w:p w:rsidR="00000000" w:rsidDel="00000000" w:rsidP="00000000" w:rsidRDefault="00000000" w:rsidRPr="00000000" w14:paraId="00000094">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5">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6">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7">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9">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B">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D">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9F">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1">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3">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5">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7">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9">
      <w:pPr>
        <w:pageBreakBefore w:val="0"/>
        <w:jc w:val="center"/>
        <w:rPr/>
      </w:pPr>
      <w:r w:rsidDel="00000000" w:rsidR="00000000" w:rsidRPr="00000000">
        <w:rPr>
          <w:rtl w:val="0"/>
        </w:rPr>
      </w:r>
    </w:p>
    <w:p w:rsidR="00000000" w:rsidDel="00000000" w:rsidP="00000000" w:rsidRDefault="00000000" w:rsidRPr="00000000" w14:paraId="000000AA">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B">
      <w:pPr>
        <w:pageBreakBefore w:val="0"/>
        <w:jc w:val="center"/>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D">
            <w:pPr>
              <w:pageBreakBefore w:val="0"/>
              <w:jc w:val="both"/>
              <w:rPr/>
            </w:pPr>
            <w:r w:rsidDel="00000000" w:rsidR="00000000" w:rsidRPr="00000000">
              <w:rPr>
                <w:rtl w:val="0"/>
              </w:rPr>
              <w:t xml:space="preserve">Ranking</w:t>
            </w:r>
          </w:p>
        </w:tc>
        <w:tc>
          <w:tcPr/>
          <w:p w:rsidR="00000000" w:rsidDel="00000000" w:rsidP="00000000" w:rsidRDefault="00000000" w:rsidRPr="00000000" w14:paraId="000000AE">
            <w:pPr>
              <w:pageBreakBefore w:val="0"/>
              <w:jc w:val="both"/>
              <w:rPr/>
            </w:pPr>
            <w:r w:rsidDel="00000000" w:rsidR="00000000" w:rsidRPr="00000000">
              <w:rPr>
                <w:rtl w:val="0"/>
              </w:rPr>
              <w:t xml:space="preserve">China</w:t>
            </w:r>
          </w:p>
        </w:tc>
        <w:tc>
          <w:tcPr/>
          <w:p w:rsidR="00000000" w:rsidDel="00000000" w:rsidP="00000000" w:rsidRDefault="00000000" w:rsidRPr="00000000" w14:paraId="000000AF">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0">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1">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2">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3">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5">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9">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D">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1">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3">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7">
      <w:pPr>
        <w:pageBreakBefore w:val="0"/>
        <w:jc w:val="both"/>
        <w:rPr/>
      </w:pPr>
      <w:r w:rsidDel="00000000" w:rsidR="00000000" w:rsidRPr="00000000">
        <w:rPr>
          <w:rtl w:val="0"/>
        </w:rPr>
      </w:r>
    </w:p>
    <w:p w:rsidR="00000000" w:rsidDel="00000000" w:rsidP="00000000" w:rsidRDefault="00000000" w:rsidRPr="00000000" w14:paraId="000000C8">
      <w:pPr>
        <w:pageBreakBefore w:val="0"/>
        <w:jc w:val="both"/>
        <w:rPr>
          <w:rFonts w:ascii="Times" w:cs="Times" w:eastAsia="Times" w:hAnsi="Times"/>
          <w:b w:val="1"/>
          <w:bCs w:val="1"/>
          <w:sz w:val="28"/>
          <w:szCs w:val="28"/>
        </w:rPr>
      </w:pPr>
      <w:r w:rsidDel="00000000" w:rsidR="00000000" w:rsidRPr="00000000">
        <w:rPr>
          <w:rtl w:val="0"/>
        </w:rPr>
        <w:t xml:space="preserve">Table 4 further examines Ukraine’s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9">
      <w:pPr>
        <w:pageBreakBefore w:val="0"/>
        <w:jc w:val="both"/>
        <w:rPr>
          <w:b w:val="1"/>
          <w:bCs w:val="1"/>
        </w:rPr>
      </w:pPr>
      <w:r w:rsidDel="00000000" w:rsidR="00000000" w:rsidRPr="00000000">
        <w:rPr>
          <w:rtl w:val="0"/>
        </w:rPr>
      </w:r>
    </w:p>
    <w:p w:rsidR="00000000" w:rsidDel="00000000" w:rsidP="00000000" w:rsidRDefault="00000000" w:rsidRPr="00000000" w14:paraId="000000C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C">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D">
      <w:pPr>
        <w:pageBreakBefore w:val="0"/>
        <w:jc w:val="both"/>
        <w:rPr>
          <w:b w:val="1"/>
          <w:bCs w:val="1"/>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decrease in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r w:rsidDel="00000000" w:rsidR="00000000" w:rsidRPr="00000000">
        <w:rPr>
          <w:rtl w:val="0"/>
        </w:rPr>
      </w:r>
    </w:p>
    <w:p w:rsidR="00000000" w:rsidDel="00000000" w:rsidP="00000000" w:rsidRDefault="00000000" w:rsidRPr="00000000" w14:paraId="000000CE">
      <w:pPr>
        <w:pageBreakBefore w:val="0"/>
        <w:jc w:val="center"/>
        <w:rPr/>
      </w:pPr>
      <w:r w:rsidDel="00000000" w:rsidR="00000000" w:rsidRPr="00000000">
        <w:rPr/>
        <w:drawing>
          <wp:inline distB="114300" distT="114300" distL="114300" distR="114300">
            <wp:extent cx="5548313" cy="2829455"/>
            <wp:effectExtent b="0" l="0" r="0" t="0"/>
            <wp:docPr id="23"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548313" cy="282945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ageBreakBefore w:val="0"/>
        <w:jc w:val="center"/>
        <w:rPr/>
      </w:pPr>
      <w:r w:rsidDel="00000000" w:rsidR="00000000" w:rsidRPr="00000000">
        <w:rPr>
          <w:rtl w:val="0"/>
        </w:rPr>
      </w:r>
    </w:p>
    <w:p w:rsidR="00000000" w:rsidDel="00000000" w:rsidP="00000000" w:rsidRDefault="00000000" w:rsidRPr="00000000" w14:paraId="000000D0">
      <w:pPr>
        <w:pageBreakBefore w:val="0"/>
        <w:jc w:val="center"/>
        <w:rPr/>
      </w:pPr>
      <w:r w:rsidDel="00000000" w:rsidR="00000000" w:rsidRPr="00000000">
        <w:rPr/>
        <w:drawing>
          <wp:inline distB="114300" distT="114300" distL="114300" distR="114300">
            <wp:extent cx="5500688" cy="2805168"/>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500688" cy="280516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1">
      <w:pPr>
        <w:pageBreakBefore w:val="0"/>
        <w:jc w:val="center"/>
        <w:rPr/>
      </w:pPr>
      <w:r w:rsidDel="00000000" w:rsidR="00000000" w:rsidRPr="00000000">
        <w:rPr>
          <w:rtl w:val="0"/>
        </w:rPr>
      </w:r>
    </w:p>
    <w:p w:rsidR="00000000" w:rsidDel="00000000" w:rsidP="00000000" w:rsidRDefault="00000000" w:rsidRPr="00000000" w14:paraId="000000D2">
      <w:pPr>
        <w:pageBreakBefore w:val="0"/>
        <w:jc w:val="center"/>
        <w:rPr/>
      </w:pPr>
      <w:r w:rsidDel="00000000" w:rsidR="00000000" w:rsidRPr="00000000">
        <w:rPr>
          <w:rtl w:val="0"/>
        </w:rPr>
        <w:t xml:space="preserve">Table 5: </w:t>
      </w:r>
      <w:r w:rsidDel="00000000" w:rsidR="00000000" w:rsidRPr="00000000">
        <w:rPr>
          <w:rtl w:val="0"/>
        </w:rPr>
        <w:t xml:space="preserve">SDV of Peer E</w:t>
      </w:r>
      <w:r w:rsidDel="00000000" w:rsidR="00000000" w:rsidRPr="00000000">
        <w:rPr>
          <w:vertAlign w:val="subscript"/>
          <w:rtl w:val="0"/>
        </w:rPr>
        <w:t xml:space="preserve">f</w:t>
      </w:r>
      <w:r w:rsidDel="00000000" w:rsidR="00000000" w:rsidRPr="00000000">
        <w:rPr>
          <w:rtl w:val="0"/>
        </w:rPr>
        <w:t xml:space="preserve">CI Countrie</w:t>
      </w:r>
      <w:r w:rsidDel="00000000" w:rsidR="00000000" w:rsidRPr="00000000">
        <w:rPr>
          <w:rtl w:val="0"/>
        </w:rPr>
        <w:t xml:space="preserve">s 2013(up), 2018(down)</w:t>
      </w:r>
    </w:p>
    <w:p w:rsidR="00000000" w:rsidDel="00000000" w:rsidP="00000000" w:rsidRDefault="00000000" w:rsidRPr="00000000" w14:paraId="000000D3">
      <w:pPr>
        <w:pageBreakBefore w:val="0"/>
        <w:jc w:val="center"/>
        <w:rPr/>
      </w:pPr>
      <w:r w:rsidDel="00000000" w:rsidR="00000000" w:rsidRPr="00000000">
        <w:rPr>
          <w:rtl w:val="0"/>
        </w:rPr>
      </w:r>
    </w:p>
    <w:p w:rsidR="00000000" w:rsidDel="00000000" w:rsidP="00000000" w:rsidRDefault="00000000" w:rsidRPr="00000000" w14:paraId="000000D4">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Ukraine compares with a selected group of comparable economies in the world, with the industry groups ranked in decreasing order of significance. Dark blue indicates positive opportunity gain, light blue indicates zero opportunity gains, and white indicates negative opportunity gains. The result shows that peer countries have less industries with positive opportunity gain compared to Ukraine. In other words, those countries have a slightly more stable and efficient economic structure. Those countries have less industry groups with positive opportunity gain compared to Ukraine to maintain a steady and balanced economic development. Ukraine is an example of a developing country, since nearly half of its industries are those with positive opportunity gain. It can be concluded that Ukraine shares the characters of developing countries, with a balanced economics structure that leans towards intermediate-level industries. </w:t>
      </w:r>
    </w:p>
    <w:p w:rsidR="00000000" w:rsidDel="00000000" w:rsidP="00000000" w:rsidRDefault="00000000" w:rsidRPr="00000000" w14:paraId="000000D5">
      <w:pPr>
        <w:pageBreakBefore w:val="0"/>
        <w:jc w:val="both"/>
        <w:rPr/>
      </w:pPr>
      <w:r w:rsidDel="00000000" w:rsidR="00000000" w:rsidRPr="00000000">
        <w:rPr>
          <w:rtl w:val="0"/>
        </w:rPr>
      </w:r>
    </w:p>
    <w:p w:rsidR="00000000" w:rsidDel="00000000" w:rsidP="00000000" w:rsidRDefault="00000000" w:rsidRPr="00000000" w14:paraId="000000D6">
      <w:pPr>
        <w:pageBreakBefore w:val="0"/>
        <w:jc w:val="center"/>
        <w:rPr/>
      </w:pPr>
      <w:r w:rsidDel="00000000" w:rsidR="00000000" w:rsidRPr="00000000">
        <w:rPr/>
        <w:drawing>
          <wp:inline distB="114300" distT="114300" distL="114300" distR="114300">
            <wp:extent cx="5731200" cy="2387600"/>
            <wp:effectExtent b="0" l="0" r="0" t="0"/>
            <wp:docPr id="2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ageBreakBefore w:val="0"/>
        <w:jc w:val="both"/>
        <w:rPr/>
      </w:pPr>
      <w:r w:rsidDel="00000000" w:rsidR="00000000" w:rsidRPr="00000000">
        <w:rPr>
          <w:rtl w:val="0"/>
        </w:rPr>
      </w:r>
    </w:p>
    <w:p w:rsidR="00000000" w:rsidDel="00000000" w:rsidP="00000000" w:rsidRDefault="00000000" w:rsidRPr="00000000" w14:paraId="000000D8">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9">
      <w:pPr>
        <w:pageBreakBefore w:val="0"/>
        <w:jc w:val="center"/>
        <w:rPr/>
      </w:pPr>
      <w:r w:rsidDel="00000000" w:rsidR="00000000" w:rsidRPr="00000000">
        <w:rPr>
          <w:rtl w:val="0"/>
        </w:rPr>
      </w:r>
    </w:p>
    <w:p w:rsidR="00000000" w:rsidDel="00000000" w:rsidP="00000000" w:rsidRDefault="00000000" w:rsidRPr="00000000" w14:paraId="000000DA">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D">
      <w:pPr>
        <w:pageBreakBefore w:val="0"/>
        <w:jc w:val="both"/>
        <w:rPr/>
      </w:pPr>
      <w:r w:rsidDel="00000000" w:rsidR="00000000" w:rsidRPr="00000000">
        <w:rPr>
          <w:rtl w:val="0"/>
        </w:rPr>
      </w:r>
    </w:p>
    <w:p w:rsidR="00000000" w:rsidDel="00000000" w:rsidP="00000000" w:rsidRDefault="00000000" w:rsidRPr="00000000" w14:paraId="000000DE">
      <w:pPr>
        <w:pageBreakBefore w:val="0"/>
        <w:jc w:val="center"/>
        <w:rPr/>
      </w:pPr>
      <w:r w:rsidDel="00000000" w:rsidR="00000000" w:rsidRPr="00000000">
        <w:rPr/>
        <w:drawing>
          <wp:inline distB="114300" distT="114300" distL="114300" distR="114300">
            <wp:extent cx="2528888" cy="1141284"/>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ageBreakBefore w:val="0"/>
        <w:jc w:val="center"/>
        <w:rPr/>
      </w:pPr>
      <w:r w:rsidDel="00000000" w:rsidR="00000000" w:rsidRPr="00000000">
        <w:rPr>
          <w:rtl w:val="0"/>
        </w:rPr>
      </w:r>
    </w:p>
    <w:p w:rsidR="00000000" w:rsidDel="00000000" w:rsidP="00000000" w:rsidRDefault="00000000" w:rsidRPr="00000000" w14:paraId="000000E0">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1">
      <w:pPr>
        <w:pageBreakBefore w:val="0"/>
        <w:jc w:val="both"/>
        <w:rPr/>
      </w:pPr>
      <w:r w:rsidDel="00000000" w:rsidR="00000000" w:rsidRPr="00000000">
        <w:rPr>
          <w:rtl w:val="0"/>
        </w:rPr>
        <w:t xml:space="preserve"> </w:t>
      </w:r>
    </w:p>
    <w:p w:rsidR="00000000" w:rsidDel="00000000" w:rsidP="00000000" w:rsidRDefault="00000000" w:rsidRPr="00000000" w14:paraId="000000E2">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3">
      <w:pPr>
        <w:pageBreakBefore w:val="0"/>
        <w:jc w:val="both"/>
        <w:rPr/>
      </w:pPr>
      <w:r w:rsidDel="00000000" w:rsidR="00000000" w:rsidRPr="00000000">
        <w:rPr>
          <w:rtl w:val="0"/>
        </w:rPr>
        <w:t xml:space="preserve"> </w:t>
      </w:r>
    </w:p>
    <w:p w:rsidR="00000000" w:rsidDel="00000000" w:rsidP="00000000" w:rsidRDefault="00000000" w:rsidRPr="00000000" w14:paraId="000000E4">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jc w:val="center"/>
        <w:rPr/>
      </w:pPr>
      <w:r w:rsidDel="00000000" w:rsidR="00000000" w:rsidRPr="00000000">
        <w:rPr/>
        <w:drawing>
          <wp:inline distB="114300" distT="114300" distL="114300" distR="114300">
            <wp:extent cx="2138363" cy="718630"/>
            <wp:effectExtent b="0" l="0" r="0" t="0"/>
            <wp:docPr id="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A">
      <w:pPr>
        <w:pageBreakBefore w:val="0"/>
        <w:rPr/>
      </w:pPr>
      <w:r w:rsidDel="00000000" w:rsidR="00000000" w:rsidRPr="00000000">
        <w:rPr>
          <w:rtl w:val="0"/>
        </w:rPr>
        <w:t xml:space="preserve"> </w:t>
      </w:r>
    </w:p>
    <w:p w:rsidR="00000000" w:rsidDel="00000000" w:rsidP="00000000" w:rsidRDefault="00000000" w:rsidRPr="00000000" w14:paraId="000000EB">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EC">
      <w:pPr>
        <w:pageBreakBefore w:val="0"/>
        <w:jc w:val="both"/>
        <w:rPr>
          <w:b w:val="1"/>
          <w:bCs w:val="1"/>
        </w:rPr>
      </w:pPr>
      <w:r w:rsidDel="00000000" w:rsidR="00000000" w:rsidRPr="00000000">
        <w:rPr>
          <w:rtl w:val="0"/>
        </w:rPr>
      </w:r>
    </w:p>
    <w:p w:rsidR="00000000" w:rsidDel="00000000" w:rsidP="00000000" w:rsidRDefault="00000000" w:rsidRPr="00000000" w14:paraId="000000ED">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EE">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0EF">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0">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7">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8">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9">
      <w:pPr>
        <w:pageBreakBefore w:val="0"/>
        <w:jc w:val="both"/>
        <w:rPr/>
      </w:pPr>
      <w:r w:rsidDel="00000000" w:rsidR="00000000" w:rsidRPr="00000000">
        <w:rPr>
          <w:rtl w:val="0"/>
        </w:rPr>
      </w:r>
    </w:p>
    <w:p w:rsidR="00000000" w:rsidDel="00000000" w:rsidP="00000000" w:rsidRDefault="00000000" w:rsidRPr="00000000" w14:paraId="0000011A">
      <w:pPr>
        <w:pageBreakBefore w:val="0"/>
        <w:jc w:val="both"/>
        <w:rPr/>
      </w:pPr>
      <w:r w:rsidDel="00000000" w:rsidR="00000000" w:rsidRPr="00000000">
        <w:rPr>
          <w:rtl w:val="0"/>
        </w:rPr>
        <w:t xml:space="preserve">Below is the economic panel for Ukraine in 2013. We can see that for different percentages of heuristic total export growth, the ECIs of Ukraine have different amounts of increments. Overall, 10,15, and 20 percent export growth result in a similar ECI improvement pattern, which starts from around -0.26 and ends at around 0.97. </w:t>
      </w:r>
      <w:r w:rsidDel="00000000" w:rsidR="00000000" w:rsidRPr="00000000">
        <w:rPr>
          <w:rtl w:val="0"/>
        </w:rPr>
      </w:r>
    </w:p>
    <w:p w:rsidR="00000000" w:rsidDel="00000000" w:rsidP="00000000" w:rsidRDefault="00000000" w:rsidRPr="00000000" w14:paraId="0000011B">
      <w:pPr>
        <w:pageBreakBefore w:val="0"/>
        <w:jc w:val="both"/>
        <w:rPr/>
      </w:pPr>
      <w:r w:rsidDel="00000000" w:rsidR="00000000" w:rsidRPr="00000000">
        <w:rPr>
          <w:rtl w:val="0"/>
        </w:rPr>
        <w:t xml:space="preserve"> </w:t>
      </w:r>
    </w:p>
    <w:p w:rsidR="00000000" w:rsidDel="00000000" w:rsidP="00000000" w:rsidRDefault="00000000" w:rsidRPr="00000000" w14:paraId="0000011C">
      <w:pPr>
        <w:pageBreakBefore w:val="0"/>
        <w:jc w:val="both"/>
        <w:rPr/>
      </w:pPr>
      <w:r w:rsidDel="00000000" w:rsidR="00000000" w:rsidRPr="00000000">
        <w:rPr>
          <w:rtl w:val="0"/>
        </w:rPr>
        <w:t xml:space="preserve">For the case of 5 percent export growth, services and utilities, chemical manufacturing, and machinery and construction account for most of the portfolio. For 10 percent export growth, in addition to the industries that we mentioned before, more weights are put on other industries, such as daily instruments. In these two ECI improvement trajectories, we also notice that the largest improvement comes from daily instruments, suggesting that with a low economic improvement anticipation, Ukraine should focus more on developing the industry of daily instruments. For the case of 20 percent increment budgets, we realize that the development trajectory is in a similar pattern except that there are a few additional steps when there are more budgets. Different from the previous two cases, the solutions suggest that Ukraine should invest more on precious stones. This makes sense because with more budgets, a country should definitely focus more on the development of high-end product spaces. A more detailed numerical representation of the portfolio is shown in Table 8.</w:t>
      </w:r>
    </w:p>
    <w:p w:rsidR="00000000" w:rsidDel="00000000" w:rsidP="00000000" w:rsidRDefault="00000000" w:rsidRPr="00000000" w14:paraId="0000011D">
      <w:pPr>
        <w:pageBreakBefore w:val="0"/>
        <w:jc w:val="both"/>
        <w:rPr/>
      </w:pPr>
      <w:r w:rsidDel="00000000" w:rsidR="00000000" w:rsidRPr="00000000">
        <w:rPr>
          <w:rtl w:val="0"/>
        </w:rPr>
      </w:r>
    </w:p>
    <w:p w:rsidR="00000000" w:rsidDel="00000000" w:rsidP="00000000" w:rsidRDefault="00000000" w:rsidRPr="00000000" w14:paraId="0000011E">
      <w:pPr>
        <w:pageBreakBefore w:val="0"/>
        <w:jc w:val="both"/>
        <w:rPr/>
      </w:pPr>
      <w:r w:rsidDel="00000000" w:rsidR="00000000" w:rsidRPr="00000000">
        <w:rPr/>
        <w:drawing>
          <wp:inline distB="114300" distT="114300" distL="114300" distR="114300">
            <wp:extent cx="5731200" cy="2870200"/>
            <wp:effectExtent b="0" l="0" r="0" t="0"/>
            <wp:docPr id="1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drawing>
          <wp:inline distB="114300" distT="114300" distL="114300" distR="114300">
            <wp:extent cx="5731200" cy="2159000"/>
            <wp:effectExtent b="0" l="0" r="0" t="0"/>
            <wp:docPr id="1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ageBreakBefore w:val="0"/>
        <w:jc w:val="both"/>
        <w:rPr/>
      </w:pPr>
      <w:r w:rsidDel="00000000" w:rsidR="00000000" w:rsidRPr="00000000">
        <w:rPr>
          <w:rtl w:val="0"/>
        </w:rPr>
      </w:r>
    </w:p>
    <w:p w:rsidR="00000000" w:rsidDel="00000000" w:rsidP="00000000" w:rsidRDefault="00000000" w:rsidRPr="00000000" w14:paraId="00000124">
      <w:pPr>
        <w:pageBreakBefore w:val="0"/>
        <w:jc w:val="center"/>
        <w:rPr/>
      </w:pPr>
      <w:r w:rsidDel="00000000" w:rsidR="00000000" w:rsidRPr="00000000">
        <w:rPr>
          <w:rtl w:val="0"/>
        </w:rPr>
        <w:t xml:space="preserve">Figure 5: Greedy Based ECI Improvement Results of Ukraine in 2013 with Different Budgets</w:t>
      </w:r>
    </w:p>
    <w:p w:rsidR="00000000" w:rsidDel="00000000" w:rsidP="00000000" w:rsidRDefault="00000000" w:rsidRPr="00000000" w14:paraId="00000125">
      <w:pPr>
        <w:pageBreakBefore w:val="0"/>
        <w:jc w:val="both"/>
        <w:rPr/>
      </w:pPr>
      <w:r w:rsidDel="00000000" w:rsidR="00000000" w:rsidRPr="00000000">
        <w:rPr>
          <w:rtl w:val="0"/>
        </w:rPr>
      </w:r>
    </w:p>
    <w:p w:rsidR="00000000" w:rsidDel="00000000" w:rsidP="00000000" w:rsidRDefault="00000000" w:rsidRPr="00000000" w14:paraId="00000126">
      <w:pPr>
        <w:pageBreakBefore w:val="0"/>
        <w:jc w:val="both"/>
        <w:rPr/>
      </w:pPr>
      <w:r w:rsidDel="00000000" w:rsidR="00000000" w:rsidRPr="00000000">
        <w:rPr/>
        <w:drawing>
          <wp:inline distB="114300" distT="114300" distL="114300" distR="114300">
            <wp:extent cx="5731200" cy="1689100"/>
            <wp:effectExtent b="0" l="0" r="0" t="0"/>
            <wp:docPr id="31"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center"/>
        <w:rPr/>
      </w:pPr>
      <w:r w:rsidDel="00000000" w:rsidR="00000000" w:rsidRPr="00000000">
        <w:rPr>
          <w:rtl w:val="0"/>
        </w:rPr>
        <w:t xml:space="preserve">Table 8: Portfolio of Ukraine in 2013</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rtl w:val="0"/>
        </w:rPr>
        <w:t xml:space="preserve">For further suggestions on Ukraine’s development in the future. We also offer the optimization result of Ukraine based on export data in 2018. Below is the economic panel for Ukraine in 2018. We can see that there is a similar pattern for the ECI improvement trajectories, which is that the improvements in 5 and 10 percent export growth are similar, and the ones in 15 and 20 are similar. But one difference is that the main components that result in ECI improvements are not quite similar. For a 5 percent export growth, the main components include daily instruments, clothing and accessories, and textile, while for a 10 percent growth, the main components also consist of machinery and construction and raw manufacturing. For situations with higher budgets of investment, like 15 or 20 percent of growth, the portfolios are much more diverse than the previous two cases. In detail, industries like precious stones, machinery and construction, and daily instruments are the ones that contribute a lot in ECI increments. A more detailed numerical representation of the portfolio is shown in Table 9. </w:t>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rtl w:val="0"/>
        </w:rPr>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pageBreakBefore w:val="0"/>
        <w:jc w:val="both"/>
        <w:rPr/>
      </w:pPr>
      <w:r w:rsidDel="00000000" w:rsidR="00000000" w:rsidRPr="00000000">
        <w:rPr/>
        <w:drawing>
          <wp:inline distB="114300" distT="114300" distL="114300" distR="114300">
            <wp:extent cx="5734050" cy="2143125"/>
            <wp:effectExtent b="0" l="0" r="0" t="0"/>
            <wp:docPr id="7" name="image10.png"/>
            <a:graphic>
              <a:graphicData uri="http://schemas.openxmlformats.org/drawingml/2006/picture">
                <pic:pic>
                  <pic:nvPicPr>
                    <pic:cNvPr id="0" name="image10.png"/>
                    <pic:cNvPicPr preferRelativeResize="0"/>
                  </pic:nvPicPr>
                  <pic:blipFill>
                    <a:blip r:embed="rId20"/>
                    <a:srcRect b="25249" l="0" r="0" t="0"/>
                    <a:stretch>
                      <a:fillRect/>
                    </a:stretch>
                  </pic:blipFill>
                  <pic:spPr>
                    <a:xfrm>
                      <a:off x="0" y="0"/>
                      <a:ext cx="57340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drawing>
          <wp:inline distB="114300" distT="114300" distL="114300" distR="114300">
            <wp:extent cx="5731200" cy="2159000"/>
            <wp:effectExtent b="0" l="0" r="0" t="0"/>
            <wp:docPr id="20"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center"/>
        <w:rPr/>
      </w:pPr>
      <w:r w:rsidDel="00000000" w:rsidR="00000000" w:rsidRPr="00000000">
        <w:rPr>
          <w:rtl w:val="0"/>
        </w:rPr>
        <w:t xml:space="preserve">Figure 6: Greedy Based ECI Improvement Results of Ukraine in 2018 with Different Budgets</w:t>
      </w:r>
    </w:p>
    <w:p w:rsidR="00000000" w:rsidDel="00000000" w:rsidP="00000000" w:rsidRDefault="00000000" w:rsidRPr="00000000" w14:paraId="00000133">
      <w:pPr>
        <w:pageBreakBefore w:val="0"/>
        <w:jc w:val="both"/>
        <w:rPr/>
      </w:pPr>
      <w:r w:rsidDel="00000000" w:rsidR="00000000" w:rsidRPr="00000000">
        <w:rPr>
          <w:rtl w:val="0"/>
        </w:rPr>
      </w:r>
    </w:p>
    <w:p w:rsidR="00000000" w:rsidDel="00000000" w:rsidP="00000000" w:rsidRDefault="00000000" w:rsidRPr="00000000" w14:paraId="00000134">
      <w:pPr>
        <w:pageBreakBefore w:val="0"/>
        <w:jc w:val="both"/>
        <w:rPr/>
      </w:pPr>
      <w:r w:rsidDel="00000000" w:rsidR="00000000" w:rsidRPr="00000000">
        <w:rPr/>
        <w:drawing>
          <wp:inline distB="114300" distT="114300" distL="114300" distR="114300">
            <wp:extent cx="5731200" cy="1562100"/>
            <wp:effectExtent b="0" l="0" r="0" t="0"/>
            <wp:docPr id="13"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ageBreakBefore w:val="0"/>
        <w:jc w:val="both"/>
        <w:rPr/>
      </w:pPr>
      <w:r w:rsidDel="00000000" w:rsidR="00000000" w:rsidRPr="00000000">
        <w:rPr>
          <w:rtl w:val="0"/>
        </w:rPr>
      </w:r>
    </w:p>
    <w:p w:rsidR="00000000" w:rsidDel="00000000" w:rsidP="00000000" w:rsidRDefault="00000000" w:rsidRPr="00000000" w14:paraId="00000136">
      <w:pPr>
        <w:pageBreakBefore w:val="0"/>
        <w:jc w:val="center"/>
        <w:rPr/>
      </w:pPr>
      <w:r w:rsidDel="00000000" w:rsidR="00000000" w:rsidRPr="00000000">
        <w:rPr>
          <w:rtl w:val="0"/>
        </w:rPr>
        <w:t xml:space="preserve">Table 9: Portfolio of Ukraine in 2018</w:t>
      </w:r>
    </w:p>
    <w:p w:rsidR="00000000" w:rsidDel="00000000" w:rsidP="00000000" w:rsidRDefault="00000000" w:rsidRPr="00000000" w14:paraId="00000137">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8">
      <w:pPr>
        <w:pageBreakBefore w:val="0"/>
        <w:spacing w:after="240" w:before="240" w:line="276" w:lineRule="auto"/>
        <w:rPr/>
      </w:pPr>
      <w:r w:rsidDel="00000000" w:rsidR="00000000" w:rsidRPr="00000000">
        <w:rPr>
          <w:rtl w:val="0"/>
        </w:rPr>
        <w:t xml:space="preserve">In the following section our broad aim is to understand how sensitive Ukraine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9">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A">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3B">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C">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4" name="image1.jpg"/>
            <a:graphic>
              <a:graphicData uri="http://schemas.openxmlformats.org/drawingml/2006/picture">
                <pic:pic>
                  <pic:nvPicPr>
                    <pic:cNvPr id="0" name="image1.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E">
      <w:pPr>
        <w:pageBreakBefore w:val="0"/>
        <w:jc w:val="both"/>
        <w:rPr>
          <w:b w:val="1"/>
          <w:bCs w:val="1"/>
        </w:rPr>
      </w:pPr>
      <w:r w:rsidDel="00000000" w:rsidR="00000000" w:rsidRPr="00000000">
        <w:rPr>
          <w:rtl w:val="0"/>
        </w:rPr>
      </w:r>
    </w:p>
    <w:p w:rsidR="00000000" w:rsidDel="00000000" w:rsidP="00000000" w:rsidRDefault="00000000" w:rsidRPr="00000000" w14:paraId="0000013F">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40">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41">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42">
      <w:pPr>
        <w:pageBreakBefore w:val="0"/>
        <w:spacing w:line="276" w:lineRule="auto"/>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43">
      <w:pPr>
        <w:pageBreakBefore w:val="0"/>
        <w:spacing w:line="276" w:lineRule="auto"/>
        <w:rPr/>
      </w:pPr>
      <w:r w:rsidDel="00000000" w:rsidR="00000000" w:rsidRPr="00000000">
        <w:rPr>
          <w:rtl w:val="0"/>
        </w:rPr>
      </w:r>
    </w:p>
    <w:p w:rsidR="00000000" w:rsidDel="00000000" w:rsidP="00000000" w:rsidRDefault="00000000" w:rsidRPr="00000000" w14:paraId="00000144">
      <w:pPr>
        <w:pageBreakBefore w:val="0"/>
        <w:jc w:val="both"/>
        <w:rPr/>
      </w:pPr>
      <w:r w:rsidDel="00000000" w:rsidR="00000000" w:rsidRPr="00000000">
        <w:rPr/>
        <w:drawing>
          <wp:inline distB="114300" distT="114300" distL="114300" distR="114300">
            <wp:extent cx="5734050" cy="1739900"/>
            <wp:effectExtent b="0" l="0" r="0" t="0"/>
            <wp:docPr id="6" name="image4.jpg"/>
            <a:graphic>
              <a:graphicData uri="http://schemas.openxmlformats.org/drawingml/2006/picture">
                <pic:pic>
                  <pic:nvPicPr>
                    <pic:cNvPr id="0" name="image4.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6">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7">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8">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9">
      <w:pPr>
        <w:pageBreakBefore w:val="0"/>
        <w:spacing w:line="276" w:lineRule="auto"/>
        <w:rPr/>
      </w:pPr>
      <w:r w:rsidDel="00000000" w:rsidR="00000000" w:rsidRPr="00000000">
        <w:rPr>
          <w:rtl w:val="0"/>
        </w:rPr>
      </w:r>
    </w:p>
    <w:p w:rsidR="00000000" w:rsidDel="00000000" w:rsidP="00000000" w:rsidRDefault="00000000" w:rsidRPr="00000000" w14:paraId="0000014A">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3" name="image14.jpg"/>
            <a:graphic>
              <a:graphicData uri="http://schemas.openxmlformats.org/drawingml/2006/picture">
                <pic:pic>
                  <pic:nvPicPr>
                    <pic:cNvPr id="0" name="image14.jpg"/>
                    <pic:cNvPicPr preferRelativeResize="0"/>
                  </pic:nvPicPr>
                  <pic:blipFill>
                    <a:blip r:embed="rId2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F">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5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1">
      <w:pPr>
        <w:pageBreakBefore w:val="0"/>
        <w:jc w:val="both"/>
        <w:rPr/>
      </w:pPr>
      <w:r w:rsidDel="00000000" w:rsidR="00000000" w:rsidRPr="00000000">
        <w:rPr>
          <w:rtl w:val="0"/>
        </w:rPr>
        <w:t xml:space="preserve">Below is Ukraine’s 2018 ECI Sensitivity Charts. Firstly in the positive chart, we notice immediately that increases in High Complexity Product, Transportation, and Machinery lead to an uptrend in ECI. High Complexity Products offer the best ECI growth per unit of export increase. All other industries tend to not greatly affect the ECI level making it fairly clear which industries to pursue. </w:t>
      </w:r>
    </w:p>
    <w:p w:rsidR="00000000" w:rsidDel="00000000" w:rsidP="00000000" w:rsidRDefault="00000000" w:rsidRPr="00000000" w14:paraId="00000152">
      <w:pPr>
        <w:pageBreakBefore w:val="0"/>
        <w:jc w:val="both"/>
        <w:rPr/>
      </w:pP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t xml:space="preserve">Next we consider Ukraine’s 2018 Negative Shock chart. We see that Ukraine’s ECI is slightly sensitive to drawdowns in Services &amp; Utility and Animals &amp; By-products. More interestingly we see that large decreases in High Complexity Products and Metals seem to greatly increase the ECI score. These industries are two very important industries for Ukraine’s economy and thus the results that are reflected in the chart may be suggesting that there is another industry that could be very beneficial for Ukraine that is far in proximity from High Complexity Products and the Metal industry.  </w:t>
      </w:r>
    </w:p>
    <w:p w:rsidR="00000000" w:rsidDel="00000000" w:rsidP="00000000" w:rsidRDefault="00000000" w:rsidRPr="00000000" w14:paraId="00000154">
      <w:pPr>
        <w:widowControl w:val="0"/>
        <w:spacing w:line="276" w:lineRule="auto"/>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b w:val="1"/>
          <w:bCs w:val="1"/>
        </w:rPr>
      </w:pPr>
      <w:r w:rsidDel="00000000" w:rsidR="00000000" w:rsidRPr="00000000">
        <w:rPr/>
        <w:drawing>
          <wp:inline distB="114300" distT="114300" distL="114300" distR="114300">
            <wp:extent cx="5731200" cy="2921000"/>
            <wp:effectExtent b="0" l="0" r="0" t="0"/>
            <wp:docPr id="14"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ageBreakBefore w:val="0"/>
        <w:jc w:val="center"/>
        <w:rPr>
          <w:b w:val="1"/>
          <w:bCs w:val="1"/>
        </w:rPr>
      </w:pPr>
      <w:r w:rsidDel="00000000" w:rsidR="00000000" w:rsidRPr="00000000">
        <w:rPr>
          <w:rtl w:val="0"/>
        </w:rPr>
        <w:t xml:space="preserve">Ukraine 2018 (Incremental ECI Sensitivity)</w:t>
      </w:r>
      <w:r w:rsidDel="00000000" w:rsidR="00000000" w:rsidRPr="00000000">
        <w:rPr>
          <w:rtl w:val="0"/>
        </w:rPr>
      </w:r>
    </w:p>
    <w:p w:rsidR="00000000" w:rsidDel="00000000" w:rsidP="00000000" w:rsidRDefault="00000000" w:rsidRPr="00000000" w14:paraId="00000158">
      <w:pPr>
        <w:pageBreakBefore w:val="0"/>
        <w:jc w:val="both"/>
        <w:rPr>
          <w:b w:val="1"/>
          <w:bCs w:val="1"/>
        </w:rPr>
      </w:pPr>
      <w:r w:rsidDel="00000000" w:rsidR="00000000" w:rsidRPr="00000000">
        <w:rPr>
          <w:b w:val="1"/>
          <w:bCs w:val="1"/>
        </w:rPr>
        <w:drawing>
          <wp:inline distB="114300" distT="114300" distL="114300" distR="114300">
            <wp:extent cx="5731200" cy="2781300"/>
            <wp:effectExtent b="0" l="0" r="0" t="0"/>
            <wp:docPr id="24"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ageBreakBefore w:val="0"/>
        <w:jc w:val="both"/>
        <w:rPr>
          <w:b w:val="1"/>
          <w:bCs w:val="1"/>
        </w:rPr>
      </w:pPr>
      <w:r w:rsidDel="00000000" w:rsidR="00000000" w:rsidRPr="00000000">
        <w:rPr>
          <w:rtl w:val="0"/>
        </w:rPr>
      </w:r>
    </w:p>
    <w:p w:rsidR="00000000" w:rsidDel="00000000" w:rsidP="00000000" w:rsidRDefault="00000000" w:rsidRPr="00000000" w14:paraId="0000015A">
      <w:pPr>
        <w:pageBreakBefore w:val="0"/>
        <w:jc w:val="center"/>
        <w:rPr/>
      </w:pPr>
      <w:r w:rsidDel="00000000" w:rsidR="00000000" w:rsidRPr="00000000">
        <w:rPr>
          <w:rtl w:val="0"/>
        </w:rPr>
        <w:t xml:space="preserve">Ukraine 2018 (Decremental  ECI Sensitivity)</w:t>
      </w:r>
    </w:p>
    <w:p w:rsidR="00000000" w:rsidDel="00000000" w:rsidP="00000000" w:rsidRDefault="00000000" w:rsidRPr="00000000" w14:paraId="0000015B">
      <w:pPr>
        <w:pageBreakBefore w:val="0"/>
        <w:jc w:val="center"/>
        <w:rPr/>
      </w:pPr>
      <w:r w:rsidDel="00000000" w:rsidR="00000000" w:rsidRPr="00000000">
        <w:rPr>
          <w:rtl w:val="0"/>
        </w:rPr>
      </w:r>
    </w:p>
    <w:p w:rsidR="00000000" w:rsidDel="00000000" w:rsidP="00000000" w:rsidRDefault="00000000" w:rsidRPr="00000000" w14:paraId="0000015C">
      <w:pPr>
        <w:pageBreakBefore w:val="0"/>
        <w:rPr/>
      </w:pPr>
      <w:r w:rsidDel="00000000" w:rsidR="00000000" w:rsidRPr="00000000">
        <w:rPr>
          <w:rtl w:val="0"/>
        </w:rPr>
        <w:t xml:space="preserve">Next we consider the 2013 ECI Sensitivity graphs. We see that in the positive shocking case,  the landscape of ECI sensitivity has not altered significantly over the five year period. High complexity products seem to offer the best ECI growth prospects. Transportation and Machinery both affect ECI levels positively.</w:t>
      </w:r>
    </w:p>
    <w:p w:rsidR="00000000" w:rsidDel="00000000" w:rsidP="00000000" w:rsidRDefault="00000000" w:rsidRPr="00000000" w14:paraId="0000015D">
      <w:pPr>
        <w:pageBreakBefore w:val="0"/>
        <w:rPr/>
      </w:pP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t xml:space="preserve">In the 2013 negative shocking case, we see that Ukraine is most sensitive to drawdowns in Vegetables, Fruits, and Plants, which isn’t necessarily the case in 2018. However, we see that again </w:t>
      </w:r>
      <w:r w:rsidDel="00000000" w:rsidR="00000000" w:rsidRPr="00000000">
        <w:rPr>
          <w:rtl w:val="0"/>
        </w:rPr>
        <w:t xml:space="preserve">Ukraine is sensitive to Animals and By-products.</w:t>
      </w:r>
    </w:p>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jc w:val="both"/>
        <w:rPr>
          <w:b w:val="1"/>
          <w:bCs w:val="1"/>
        </w:rPr>
      </w:pPr>
      <w:r w:rsidDel="00000000" w:rsidR="00000000" w:rsidRPr="00000000">
        <w:rPr>
          <w:b w:val="1"/>
          <w:bCs w:val="1"/>
        </w:rPr>
        <w:drawing>
          <wp:inline distB="114300" distT="114300" distL="114300" distR="114300">
            <wp:extent cx="5731200" cy="2971800"/>
            <wp:effectExtent b="0" l="0" r="0" t="0"/>
            <wp:docPr id="19"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ageBreakBefore w:val="0"/>
        <w:jc w:val="center"/>
        <w:rPr/>
      </w:pPr>
      <w:r w:rsidDel="00000000" w:rsidR="00000000" w:rsidRPr="00000000">
        <w:rPr>
          <w:rtl w:val="0"/>
        </w:rPr>
        <w:t xml:space="preserve">Ukraine 2013 (Incremental ECI Sensitivity)</w:t>
      </w:r>
    </w:p>
    <w:p w:rsidR="00000000" w:rsidDel="00000000" w:rsidP="00000000" w:rsidRDefault="00000000" w:rsidRPr="00000000" w14:paraId="00000162">
      <w:pPr>
        <w:pageBreakBefore w:val="0"/>
        <w:jc w:val="both"/>
        <w:rPr>
          <w:b w:val="1"/>
          <w:bCs w:val="1"/>
        </w:rPr>
      </w:pPr>
      <w:r w:rsidDel="00000000" w:rsidR="00000000" w:rsidRPr="00000000">
        <w:rPr>
          <w:rtl w:val="0"/>
        </w:rPr>
      </w:r>
    </w:p>
    <w:p w:rsidR="00000000" w:rsidDel="00000000" w:rsidP="00000000" w:rsidRDefault="00000000" w:rsidRPr="00000000" w14:paraId="00000163">
      <w:pPr>
        <w:pageBreakBefore w:val="0"/>
        <w:jc w:val="both"/>
        <w:rPr>
          <w:b w:val="1"/>
          <w:bCs w:val="1"/>
        </w:rPr>
      </w:pPr>
      <w:r w:rsidDel="00000000" w:rsidR="00000000" w:rsidRPr="00000000">
        <w:rPr>
          <w:b w:val="1"/>
          <w:bCs w:val="1"/>
        </w:rPr>
        <w:drawing>
          <wp:inline distB="114300" distT="114300" distL="114300" distR="114300">
            <wp:extent cx="5731200" cy="2959100"/>
            <wp:effectExtent b="0" l="0" r="0" t="0"/>
            <wp:docPr id="30"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pageBreakBefore w:val="0"/>
        <w:jc w:val="center"/>
        <w:rPr/>
      </w:pPr>
      <w:r w:rsidDel="00000000" w:rsidR="00000000" w:rsidRPr="00000000">
        <w:rPr>
          <w:rtl w:val="0"/>
        </w:rPr>
        <w:t xml:space="preserve">Ukraine 2013 (Decremental  ECI Sensitivity)</w:t>
      </w:r>
    </w:p>
    <w:p w:rsidR="00000000" w:rsidDel="00000000" w:rsidP="00000000" w:rsidRDefault="00000000" w:rsidRPr="00000000" w14:paraId="00000165">
      <w:pPr>
        <w:pageBreakBefore w:val="0"/>
        <w:jc w:val="both"/>
        <w:rPr>
          <w:b w:val="1"/>
          <w:bCs w:val="1"/>
        </w:rPr>
      </w:pPr>
      <w:r w:rsidDel="00000000" w:rsidR="00000000" w:rsidRPr="00000000">
        <w:rPr>
          <w:rtl w:val="0"/>
        </w:rPr>
      </w:r>
    </w:p>
    <w:p w:rsidR="00000000" w:rsidDel="00000000" w:rsidP="00000000" w:rsidRDefault="00000000" w:rsidRPr="00000000" w14:paraId="00000166">
      <w:pPr>
        <w:pageBreakBefore w:val="0"/>
        <w:jc w:val="both"/>
        <w:rPr>
          <w:b w:val="1"/>
          <w:bCs w:val="1"/>
        </w:rPr>
      </w:pPr>
      <w:r w:rsidDel="00000000" w:rsidR="00000000" w:rsidRPr="00000000">
        <w:rPr>
          <w:rtl w:val="0"/>
        </w:rPr>
      </w:r>
    </w:p>
    <w:p w:rsidR="00000000" w:rsidDel="00000000" w:rsidP="00000000" w:rsidRDefault="00000000" w:rsidRPr="00000000" w14:paraId="00000167">
      <w:pPr>
        <w:pageBreakBefore w:val="0"/>
        <w:jc w:val="both"/>
        <w:rPr>
          <w:b w:val="1"/>
          <w:bCs w:val="1"/>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t xml:space="preserve">Below we see the SDV sensitivity charts for High Complexity Products. We see that increasing the export of High Complexity Products does not open that much positive opportunity gain . In fact after about a 40% increase, it only adds one industry to the positive.</w:t>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ageBreakBefore w:val="0"/>
        <w:rPr/>
      </w:pPr>
      <w:r w:rsidDel="00000000" w:rsidR="00000000" w:rsidRPr="00000000">
        <w:rPr>
          <w:rtl w:val="0"/>
        </w:rPr>
        <w:t xml:space="preserve">In the negative High Complexity Product SDV chart, we see that as we decrease the export of High Complexity Products, it also has minimal impact. The number of industries with positive opportunity gain shrinks by one industry suggesting that the opportunities available to Ukraine are not very dependent on its High Complexity Product footprint.</w:t>
      </w:r>
    </w:p>
    <w:p w:rsidR="00000000" w:rsidDel="00000000" w:rsidP="00000000" w:rsidRDefault="00000000" w:rsidRPr="00000000" w14:paraId="0000016B">
      <w:pPr>
        <w:pageBreakBefore w:val="0"/>
        <w:rPr/>
      </w:pPr>
      <w:r w:rsidDel="00000000" w:rsidR="00000000" w:rsidRPr="00000000">
        <w:rPr>
          <w:rtl w:val="0"/>
        </w:rPr>
      </w:r>
    </w:p>
    <w:p w:rsidR="00000000" w:rsidDel="00000000" w:rsidP="00000000" w:rsidRDefault="00000000" w:rsidRPr="00000000" w14:paraId="0000016C">
      <w:pPr>
        <w:pageBreakBefore w:val="0"/>
        <w:rPr/>
      </w:pPr>
      <w:r w:rsidDel="00000000" w:rsidR="00000000" w:rsidRPr="00000000">
        <w:rPr>
          <w:rtl w:val="0"/>
        </w:rPr>
        <w:t xml:space="preserve">Concerning Services and Utilities, Ukraine seems to be mostly insensitive to this industry suggesting that this is not an important industry in terms of the stability of its SDV. </w:t>
      </w:r>
    </w:p>
    <w:p w:rsidR="00000000" w:rsidDel="00000000" w:rsidP="00000000" w:rsidRDefault="00000000" w:rsidRPr="00000000" w14:paraId="0000016D">
      <w:pPr>
        <w:pageBreakBefore w:val="0"/>
        <w:rPr/>
      </w:pPr>
      <w:r w:rsidDel="00000000" w:rsidR="00000000" w:rsidRPr="00000000">
        <w:rPr>
          <w:rtl w:val="0"/>
        </w:rPr>
      </w:r>
    </w:p>
    <w:p w:rsidR="00000000" w:rsidDel="00000000" w:rsidP="00000000" w:rsidRDefault="00000000" w:rsidRPr="00000000" w14:paraId="0000016E">
      <w:pPr>
        <w:pageBreakBefore w:val="0"/>
        <w:jc w:val="center"/>
        <w:rPr/>
      </w:pPr>
      <w:r w:rsidDel="00000000" w:rsidR="00000000" w:rsidRPr="00000000">
        <w:rPr/>
        <w:drawing>
          <wp:inline distB="114300" distT="114300" distL="114300" distR="114300">
            <wp:extent cx="4976813" cy="2777756"/>
            <wp:effectExtent b="0" l="0" r="0" t="0"/>
            <wp:docPr id="25"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4976813" cy="2777756"/>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r>
    </w:p>
    <w:p w:rsidR="00000000" w:rsidDel="00000000" w:rsidP="00000000" w:rsidRDefault="00000000" w:rsidRPr="00000000" w14:paraId="00000170">
      <w:pPr>
        <w:pageBreakBefore w:val="0"/>
        <w:jc w:val="left"/>
        <w:rPr>
          <w:b w:val="1"/>
          <w:bCs w:val="1"/>
        </w:rPr>
      </w:pPr>
      <w:r w:rsidDel="00000000" w:rsidR="00000000" w:rsidRPr="00000000">
        <w:rPr>
          <w:rtl w:val="0"/>
        </w:rPr>
      </w:r>
    </w:p>
    <w:p w:rsidR="00000000" w:rsidDel="00000000" w:rsidP="00000000" w:rsidRDefault="00000000" w:rsidRPr="00000000" w14:paraId="00000171">
      <w:pPr>
        <w:pageBreakBefore w:val="0"/>
        <w:ind w:left="720" w:firstLine="720"/>
        <w:jc w:val="center"/>
        <w:rPr/>
      </w:pPr>
      <w:r w:rsidDel="00000000" w:rsidR="00000000" w:rsidRPr="00000000">
        <w:rPr>
          <w:rtl w:val="0"/>
        </w:rPr>
        <w:t xml:space="preserve">Ukraine High-complexity Products 2018 (Incremental SDV Sensitivity)</w:t>
      </w:r>
    </w:p>
    <w:p w:rsidR="00000000" w:rsidDel="00000000" w:rsidP="00000000" w:rsidRDefault="00000000" w:rsidRPr="00000000" w14:paraId="00000172">
      <w:pPr>
        <w:pageBreakBefore w:val="0"/>
        <w:jc w:val="left"/>
        <w:rPr>
          <w:b w:val="1"/>
          <w:bCs w:val="1"/>
        </w:rPr>
      </w:pPr>
      <w:r w:rsidDel="00000000" w:rsidR="00000000" w:rsidRPr="00000000">
        <w:rPr>
          <w:rtl w:val="0"/>
        </w:rPr>
      </w:r>
    </w:p>
    <w:p w:rsidR="00000000" w:rsidDel="00000000" w:rsidP="00000000" w:rsidRDefault="00000000" w:rsidRPr="00000000" w14:paraId="00000173">
      <w:pPr>
        <w:pageBreakBefore w:val="0"/>
        <w:ind w:left="720" w:firstLine="720"/>
        <w:jc w:val="center"/>
        <w:rPr/>
      </w:pPr>
      <w:r w:rsidDel="00000000" w:rsidR="00000000" w:rsidRPr="00000000">
        <w:rPr>
          <w:rtl w:val="0"/>
        </w:rPr>
      </w:r>
    </w:p>
    <w:p w:rsidR="00000000" w:rsidDel="00000000" w:rsidP="00000000" w:rsidRDefault="00000000" w:rsidRPr="00000000" w14:paraId="00000174">
      <w:pPr>
        <w:pageBreakBefore w:val="0"/>
        <w:ind w:left="720" w:firstLine="720"/>
        <w:jc w:val="center"/>
        <w:rPr/>
      </w:pPr>
      <w:r w:rsidDel="00000000" w:rsidR="00000000" w:rsidRPr="00000000">
        <w:rPr/>
        <w:drawing>
          <wp:inline distB="114300" distT="114300" distL="114300" distR="114300">
            <wp:extent cx="3251927" cy="3138488"/>
            <wp:effectExtent b="0" l="0" r="0" t="0"/>
            <wp:docPr id="18"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3251927" cy="3138488"/>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ageBreakBefore w:val="0"/>
        <w:ind w:left="720" w:firstLine="720"/>
        <w:jc w:val="center"/>
        <w:rPr/>
      </w:pPr>
      <w:r w:rsidDel="00000000" w:rsidR="00000000" w:rsidRPr="00000000">
        <w:rPr>
          <w:rtl w:val="0"/>
        </w:rPr>
        <w:t xml:space="preserve">Ukraine</w:t>
      </w:r>
      <w:r w:rsidDel="00000000" w:rsidR="00000000" w:rsidRPr="00000000">
        <w:rPr>
          <w:rtl w:val="0"/>
        </w:rPr>
        <w:t xml:space="preserve"> High-complexity Products 2018 (Decremental SDV Sensitivity)</w:t>
      </w:r>
    </w:p>
    <w:p w:rsidR="00000000" w:rsidDel="00000000" w:rsidP="00000000" w:rsidRDefault="00000000" w:rsidRPr="00000000" w14:paraId="00000176">
      <w:pPr>
        <w:pageBreakBefore w:val="0"/>
        <w:ind w:left="720" w:firstLine="720"/>
        <w:jc w:val="center"/>
        <w:rPr/>
      </w:pPr>
      <w:r w:rsidDel="00000000" w:rsidR="00000000" w:rsidRPr="00000000">
        <w:rPr>
          <w:rtl w:val="0"/>
        </w:rPr>
      </w:r>
    </w:p>
    <w:p w:rsidR="00000000" w:rsidDel="00000000" w:rsidP="00000000" w:rsidRDefault="00000000" w:rsidRPr="00000000" w14:paraId="00000177">
      <w:pPr>
        <w:pageBreakBefore w:val="0"/>
        <w:ind w:left="720" w:firstLine="720"/>
        <w:jc w:val="center"/>
        <w:rPr/>
      </w:pPr>
      <w:r w:rsidDel="00000000" w:rsidR="00000000" w:rsidRPr="00000000">
        <w:rPr>
          <w:rtl w:val="0"/>
        </w:rPr>
      </w:r>
    </w:p>
    <w:p w:rsidR="00000000" w:rsidDel="00000000" w:rsidP="00000000" w:rsidRDefault="00000000" w:rsidRPr="00000000" w14:paraId="00000178">
      <w:pPr>
        <w:pageBreakBefore w:val="0"/>
        <w:ind w:left="720" w:firstLine="720"/>
        <w:jc w:val="center"/>
        <w:rPr/>
      </w:pPr>
      <w:r w:rsidDel="00000000" w:rsidR="00000000" w:rsidRPr="00000000">
        <w:rPr/>
        <w:drawing>
          <wp:inline distB="114300" distT="114300" distL="114300" distR="114300">
            <wp:extent cx="1755783" cy="2995613"/>
            <wp:effectExtent b="0" l="0" r="0" t="0"/>
            <wp:docPr id="28"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1755783"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ageBreakBefore w:val="0"/>
        <w:ind w:left="720" w:firstLine="720"/>
        <w:jc w:val="center"/>
        <w:rPr/>
      </w:pPr>
      <w:r w:rsidDel="00000000" w:rsidR="00000000" w:rsidRPr="00000000">
        <w:rPr>
          <w:rtl w:val="0"/>
        </w:rPr>
        <w:t xml:space="preserve">Ukraine Services and Utilities 2018 (Incremental SDV Sensitivity)</w:t>
      </w:r>
    </w:p>
    <w:p w:rsidR="00000000" w:rsidDel="00000000" w:rsidP="00000000" w:rsidRDefault="00000000" w:rsidRPr="00000000" w14:paraId="0000017A">
      <w:pPr>
        <w:pageBreakBefore w:val="0"/>
        <w:ind w:left="720" w:firstLine="720"/>
        <w:jc w:val="center"/>
        <w:rPr/>
      </w:pPr>
      <w:r w:rsidDel="00000000" w:rsidR="00000000" w:rsidRPr="00000000">
        <w:rPr>
          <w:rtl w:val="0"/>
        </w:rPr>
        <w:t xml:space="preserve">​​</w:t>
      </w:r>
      <w:r w:rsidDel="00000000" w:rsidR="00000000" w:rsidRPr="00000000">
        <w:rPr/>
        <w:drawing>
          <wp:inline distB="114300" distT="114300" distL="114300" distR="114300">
            <wp:extent cx="2066571" cy="3519488"/>
            <wp:effectExtent b="0" l="0" r="0" t="0"/>
            <wp:docPr id="29"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2066571" cy="3519488"/>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ageBreakBefore w:val="0"/>
        <w:jc w:val="center"/>
        <w:rPr>
          <w:b w:val="1"/>
          <w:bCs w:val="1"/>
        </w:rPr>
      </w:pPr>
      <w:r w:rsidDel="00000000" w:rsidR="00000000" w:rsidRPr="00000000">
        <w:rPr>
          <w:rtl w:val="0"/>
        </w:rPr>
      </w:r>
    </w:p>
    <w:p w:rsidR="00000000" w:rsidDel="00000000" w:rsidP="00000000" w:rsidRDefault="00000000" w:rsidRPr="00000000" w14:paraId="0000017C">
      <w:pPr>
        <w:pageBreakBefore w:val="0"/>
        <w:ind w:left="720" w:firstLine="720"/>
        <w:jc w:val="center"/>
        <w:rPr/>
      </w:pPr>
      <w:r w:rsidDel="00000000" w:rsidR="00000000" w:rsidRPr="00000000">
        <w:rPr>
          <w:rtl w:val="0"/>
        </w:rPr>
        <w:t xml:space="preserve">Ukraine Services and Utilities 2018 (Decremental SDV Sensitivity)</w:t>
      </w:r>
    </w:p>
    <w:p w:rsidR="00000000" w:rsidDel="00000000" w:rsidP="00000000" w:rsidRDefault="00000000" w:rsidRPr="00000000" w14:paraId="0000017D">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7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F">
      <w:pPr>
        <w:pageBreakBefore w:val="0"/>
        <w:jc w:val="both"/>
        <w:rPr>
          <w:b w:val="1"/>
          <w:bCs w:val="1"/>
          <w:sz w:val="28"/>
          <w:szCs w:val="28"/>
        </w:rPr>
      </w:pPr>
      <w:r w:rsidDel="00000000" w:rsidR="00000000" w:rsidRPr="00000000">
        <w:rPr>
          <w:rtl w:val="0"/>
        </w:rPr>
        <w:t xml:space="preserve">Decreasing export of each industry in Ukraine’s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8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2">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183">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5192172" cy="2509838"/>
            <wp:effectExtent b="0" l="0" r="0" t="0"/>
            <wp:docPr id="17"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5192172" cy="2509838"/>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185">
      <w:pPr>
        <w:pageBreakBefore w:val="0"/>
        <w:jc w:val="center"/>
        <w:rPr>
          <w:sz w:val="22"/>
          <w:szCs w:val="22"/>
        </w:rPr>
      </w:pPr>
      <w:r w:rsidDel="00000000" w:rsidR="00000000" w:rsidRPr="00000000">
        <w:rPr>
          <w:sz w:val="22"/>
          <w:szCs w:val="22"/>
          <w:rtl w:val="0"/>
        </w:rPr>
        <w:t xml:space="preserve">Ukraine Contingency Strategy 2018</w:t>
      </w:r>
    </w:p>
    <w:p w:rsidR="00000000" w:rsidDel="00000000" w:rsidP="00000000" w:rsidRDefault="00000000" w:rsidRPr="00000000" w14:paraId="00000186">
      <w:pPr>
        <w:pageBreakBefore w:val="0"/>
        <w:jc w:val="center"/>
        <w:rPr>
          <w:sz w:val="22"/>
          <w:szCs w:val="22"/>
        </w:rPr>
      </w:pPr>
      <w:r w:rsidDel="00000000" w:rsidR="00000000" w:rsidRPr="00000000">
        <w:rPr>
          <w:rtl w:val="0"/>
        </w:rPr>
      </w:r>
    </w:p>
    <w:p w:rsidR="00000000" w:rsidDel="00000000" w:rsidP="00000000" w:rsidRDefault="00000000" w:rsidRPr="00000000" w14:paraId="00000187">
      <w:pPr>
        <w:pageBreakBefore w:val="0"/>
        <w:jc w:val="both"/>
        <w:rPr>
          <w:b w:val="1"/>
          <w:bCs w:val="1"/>
        </w:rPr>
      </w:pPr>
      <w:r w:rsidDel="00000000" w:rsidR="00000000" w:rsidRPr="00000000">
        <w:rPr>
          <w:rtl w:val="0"/>
        </w:rPr>
      </w:r>
    </w:p>
    <w:p w:rsidR="00000000" w:rsidDel="00000000" w:rsidP="00000000" w:rsidRDefault="00000000" w:rsidRPr="00000000" w14:paraId="0000018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9">
      <w:pPr>
        <w:pageBreakBefore w:val="0"/>
        <w:jc w:val="both"/>
        <w:rPr>
          <w:b w:val="1"/>
          <w:bCs w:val="1"/>
        </w:rPr>
      </w:pPr>
      <w:r w:rsidDel="00000000" w:rsidR="00000000" w:rsidRPr="00000000">
        <w:rPr>
          <w:rtl w:val="0"/>
        </w:rPr>
      </w:r>
    </w:p>
    <w:p w:rsidR="00000000" w:rsidDel="00000000" w:rsidP="00000000" w:rsidRDefault="00000000" w:rsidRPr="00000000" w14:paraId="0000018A">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B">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C">
      <w:pPr>
        <w:pageBreakBefore w:val="0"/>
        <w:jc w:val="both"/>
        <w:rPr/>
      </w:pPr>
      <w:r w:rsidDel="00000000" w:rsidR="00000000" w:rsidRPr="00000000">
        <w:rPr>
          <w:rtl w:val="0"/>
        </w:rPr>
      </w:r>
    </w:p>
    <w:p w:rsidR="00000000" w:rsidDel="00000000" w:rsidP="00000000" w:rsidRDefault="00000000" w:rsidRPr="00000000" w14:paraId="0000018D">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E">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97">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2"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98">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99">
      <w:pPr>
        <w:pageBreakBefore w:val="0"/>
        <w:jc w:val="both"/>
        <w:rPr/>
      </w:pPr>
      <w:r w:rsidDel="00000000" w:rsidR="00000000" w:rsidRPr="00000000">
        <w:rPr>
          <w:rtl w:val="0"/>
        </w:rPr>
      </w:r>
    </w:p>
    <w:p w:rsidR="00000000" w:rsidDel="00000000" w:rsidP="00000000" w:rsidRDefault="00000000" w:rsidRPr="00000000" w14:paraId="0000019A">
      <w:pPr>
        <w:pageBreakBefore w:val="0"/>
        <w:jc w:val="both"/>
        <w:rPr>
          <w:b w:val="1"/>
          <w:bCs w:val="1"/>
        </w:rPr>
      </w:pPr>
      <w:r w:rsidDel="00000000" w:rsidR="00000000" w:rsidRPr="00000000">
        <w:rPr>
          <w:b w:val="1"/>
          <w:bCs w:val="1"/>
          <w:rtl w:val="0"/>
        </w:rPr>
        <w:t xml:space="preserve">5.2 SOI of Ukraine and Its Implications</w:t>
      </w:r>
    </w:p>
    <w:p w:rsidR="00000000" w:rsidDel="00000000" w:rsidP="00000000" w:rsidRDefault="00000000" w:rsidRPr="00000000" w14:paraId="0000019B">
      <w:pPr>
        <w:pageBreakBefore w:val="0"/>
        <w:jc w:val="both"/>
        <w:rPr/>
      </w:pPr>
      <w:r w:rsidDel="00000000" w:rsidR="00000000" w:rsidRPr="00000000">
        <w:rPr>
          <w:rtl w:val="0"/>
        </w:rPr>
        <w:t xml:space="preserve">Ukraine for instance, has a high level of structural optimality as compared with its developed peers. As the regression in Figure 7 suggests (the orange curve represents export increase and the blue curve stands for opportunity gain of the corresponding industry), Ukraine demonstrates an average level of correlation with the suggested developmental path, having an adjusted R-square of around 13.7%. Ukraine ranks in the top quartile among all countries in terms of SOI and has made a low rate of economic progress below its developed peers from 2013 to 2018 with a 5-year GDP growth rate of 0.05%, which is consistent with the regression result in Figure 6. This is in direct contrast to other developed economies such as Japan, where there is low SOI of around -5.7% and a corresponding GDP growth of 9.05% from 2013 to 2018, making it a much slower developing economy during the period. In sum, Ukraine’s mixed economic progress from 2013 to 2018 can be at least partially explained by a development strategy that demonstrates a decent, but not perfect, level of matches with our suggested developmental path. In specific, Ukraine invested heavily in the Vegetables, Fruits, and Plants industry, while it should have focused more on more complex industry groups such as High Complexity Products. That being said, it stayed fairly in line with our expectations in the food and preparation industry.</w:t>
      </w:r>
    </w:p>
    <w:p w:rsidR="00000000" w:rsidDel="00000000" w:rsidP="00000000" w:rsidRDefault="00000000" w:rsidRPr="00000000" w14:paraId="0000019C">
      <w:pPr>
        <w:pageBreakBefore w:val="0"/>
        <w:jc w:val="both"/>
        <w:rPr/>
      </w:pPr>
      <w:r w:rsidDel="00000000" w:rsidR="00000000" w:rsidRPr="00000000">
        <w:rPr>
          <w:rtl w:val="0"/>
        </w:rPr>
      </w:r>
    </w:p>
    <w:p w:rsidR="00000000" w:rsidDel="00000000" w:rsidP="00000000" w:rsidRDefault="00000000" w:rsidRPr="00000000" w14:paraId="0000019D">
      <w:pPr>
        <w:pageBreakBefore w:val="0"/>
        <w:jc w:val="both"/>
        <w:rPr/>
      </w:pPr>
      <w:r w:rsidDel="00000000" w:rsidR="00000000" w:rsidRPr="00000000">
        <w:rPr>
          <w:rtl w:val="0"/>
        </w:rPr>
      </w:r>
    </w:p>
    <w:p w:rsidR="00000000" w:rsidDel="00000000" w:rsidP="00000000" w:rsidRDefault="00000000" w:rsidRPr="00000000" w14:paraId="0000019E">
      <w:pPr>
        <w:jc w:val="center"/>
        <w:rPr/>
      </w:pPr>
      <w:r w:rsidDel="00000000" w:rsidR="00000000" w:rsidRPr="00000000">
        <w:rPr/>
        <w:drawing>
          <wp:inline distB="114300" distT="114300" distL="114300" distR="114300">
            <wp:extent cx="5731200" cy="2298700"/>
            <wp:effectExtent b="0" l="0" r="0" t="0"/>
            <wp:docPr id="27"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ageBreakBefore w:val="0"/>
        <w:jc w:val="center"/>
        <w:rPr>
          <w:b w:val="1"/>
          <w:bCs w:val="1"/>
        </w:rPr>
      </w:pPr>
      <w:r w:rsidDel="00000000" w:rsidR="00000000" w:rsidRPr="00000000">
        <w:rPr>
          <w:rtl w:val="0"/>
        </w:rPr>
        <w:t xml:space="preserve">Figure 7: SOI of Ukraine (2009-2014)</w:t>
      </w:r>
      <w:r w:rsidDel="00000000" w:rsidR="00000000" w:rsidRPr="00000000">
        <w:rPr>
          <w:rtl w:val="0"/>
        </w:rPr>
      </w:r>
    </w:p>
    <w:p w:rsidR="00000000" w:rsidDel="00000000" w:rsidP="00000000" w:rsidRDefault="00000000" w:rsidRPr="00000000" w14:paraId="000001A0">
      <w:pPr>
        <w:pageBreakBefore w:val="0"/>
        <w:jc w:val="both"/>
        <w:rPr>
          <w:b w:val="1"/>
          <w:bCs w:val="1"/>
        </w:rPr>
      </w:pPr>
      <w:r w:rsidDel="00000000" w:rsidR="00000000" w:rsidRPr="00000000">
        <w:rPr>
          <w:rtl w:val="0"/>
        </w:rPr>
      </w:r>
    </w:p>
    <w:p w:rsidR="00000000" w:rsidDel="00000000" w:rsidP="00000000" w:rsidRDefault="00000000" w:rsidRPr="00000000" w14:paraId="000001A1">
      <w:pPr>
        <w:pageBreakBefore w:val="0"/>
        <w:jc w:val="both"/>
        <w:rPr>
          <w:b w:val="1"/>
          <w:bCs w:val="1"/>
        </w:rPr>
      </w:pPr>
      <w:r w:rsidDel="00000000" w:rsidR="00000000" w:rsidRPr="00000000">
        <w:rPr>
          <w:rtl w:val="0"/>
        </w:rPr>
      </w:r>
    </w:p>
    <w:p w:rsidR="00000000" w:rsidDel="00000000" w:rsidP="00000000" w:rsidRDefault="00000000" w:rsidRPr="00000000" w14:paraId="000001A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A3">
      <w:pPr>
        <w:pageBreakBefore w:val="0"/>
        <w:jc w:val="both"/>
        <w:rPr/>
      </w:pPr>
      <w:r w:rsidDel="00000000" w:rsidR="00000000" w:rsidRPr="00000000">
        <w:rPr>
          <w:rtl w:val="0"/>
        </w:rPr>
      </w:r>
    </w:p>
    <w:p w:rsidR="00000000" w:rsidDel="00000000" w:rsidP="00000000" w:rsidRDefault="00000000" w:rsidRPr="00000000" w14:paraId="000001A4">
      <w:pPr>
        <w:pageBreakBefore w:val="0"/>
        <w:jc w:val="both"/>
        <w:rPr/>
      </w:pPr>
      <w:r w:rsidDel="00000000" w:rsidR="00000000" w:rsidRPr="00000000">
        <w:rPr>
          <w:rtl w:val="0"/>
        </w:rPr>
        <w:t xml:space="preserve">In conclusion, Ukraine has demonstrated a moderate level of economic growth in terms of annual GDP increase during the period from 2013 to 2018, concurrent with a decrease in economic complexity as compared with other major developed economies. </w:t>
      </w:r>
    </w:p>
    <w:p w:rsidR="00000000" w:rsidDel="00000000" w:rsidP="00000000" w:rsidRDefault="00000000" w:rsidRPr="00000000" w14:paraId="000001A5">
      <w:pPr>
        <w:pageBreakBefore w:val="0"/>
        <w:jc w:val="both"/>
        <w:rPr/>
      </w:pPr>
      <w:r w:rsidDel="00000000" w:rsidR="00000000" w:rsidRPr="00000000">
        <w:rPr>
          <w:rtl w:val="0"/>
        </w:rPr>
      </w:r>
    </w:p>
    <w:p w:rsidR="00000000" w:rsidDel="00000000" w:rsidP="00000000" w:rsidRDefault="00000000" w:rsidRPr="00000000" w14:paraId="000001A6">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Ukraine on the industry group level. The product classification system we adopt allows us to measure the realized industry development for various industry groups and to observe that Ukraine</w:t>
      </w:r>
      <w:r w:rsidDel="00000000" w:rsidR="00000000" w:rsidRPr="00000000">
        <w:rPr>
          <w:rtl w:val="0"/>
        </w:rPr>
        <w:t xml:space="preserve"> consistently relied on developing the Vegetables, Fruits and Plants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1A7">
      <w:pPr>
        <w:pageBreakBefore w:val="0"/>
        <w:jc w:val="both"/>
        <w:rPr/>
      </w:pPr>
      <w:r w:rsidDel="00000000" w:rsidR="00000000" w:rsidRPr="00000000">
        <w:rPr>
          <w:rtl w:val="0"/>
        </w:rPr>
      </w:r>
    </w:p>
    <w:p w:rsidR="00000000" w:rsidDel="00000000" w:rsidP="00000000" w:rsidRDefault="00000000" w:rsidRPr="00000000" w14:paraId="000001A8">
      <w:pPr>
        <w:pageBreakBefore w:val="0"/>
        <w:jc w:val="both"/>
        <w:rPr/>
      </w:pPr>
      <w:r w:rsidDel="00000000" w:rsidR="00000000" w:rsidRPr="00000000">
        <w:rPr>
          <w:rtl w:val="0"/>
        </w:rPr>
        <w:t xml:space="preserve">Based on our analysis of the opportunity gain and a sensitivity analysis of major industry groups, Ukraine can further its gains by prioritizing High Complexity Products, Transportation, and Machinery and Construction. We further note that Ukraine has a slightly mismatched development strategy that indicates a moderately high (compared to other developed countries) level of structural optimality on the complexity level, having an adjusted R-square of around 13.7%. Since a significant positive correlation exists between five-year GDP growth and the structural optimality index of an economy as we define and calculate, Ukraine,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rPr/>
      </w:pPr>
      <w:r w:rsidDel="00000000" w:rsidR="00000000" w:rsidRPr="00000000">
        <w:rPr>
          <w:rtl w:val="0"/>
        </w:rPr>
      </w:r>
    </w:p>
    <w:p w:rsidR="00000000" w:rsidDel="00000000" w:rsidP="00000000" w:rsidRDefault="00000000" w:rsidRPr="00000000" w14:paraId="000001AB">
      <w:pPr>
        <w:pageBreakBefore w:val="0"/>
        <w:rPr/>
      </w:pPr>
      <w:r w:rsidDel="00000000" w:rsidR="00000000" w:rsidRPr="00000000">
        <w:rPr>
          <w:rtl w:val="0"/>
        </w:rPr>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B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B2">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B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4">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B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6">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B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8">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B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A">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B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C">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B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E">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0">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C1">
      <w:pPr>
        <w:pageBreakBefore w:val="0"/>
        <w:jc w:val="both"/>
        <w:rPr/>
      </w:pPr>
      <w:r w:rsidDel="00000000" w:rsidR="00000000" w:rsidRPr="00000000">
        <w:rPr>
          <w:rtl w:val="0"/>
        </w:rPr>
      </w:r>
    </w:p>
    <w:sectPr>
      <w:headerReference r:id="rId36" w:type="default"/>
      <w:footerReference r:id="rId37" w:type="default"/>
      <w:footerReference r:id="rId38" w:type="first"/>
      <w:footerReference r:id="rId39"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7.png"/><Relationship Id="rId21" Type="http://schemas.openxmlformats.org/officeDocument/2006/relationships/image" Target="media/image6.png"/><Relationship Id="rId24" Type="http://schemas.openxmlformats.org/officeDocument/2006/relationships/image" Target="media/image4.jpg"/><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22.png"/><Relationship Id="rId25" Type="http://schemas.openxmlformats.org/officeDocument/2006/relationships/image" Target="media/image14.jpg"/><Relationship Id="rId28" Type="http://schemas.openxmlformats.org/officeDocument/2006/relationships/image" Target="media/image19.png"/><Relationship Id="rId27" Type="http://schemas.openxmlformats.org/officeDocument/2006/relationships/image" Target="media/image29.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30.png"/><Relationship Id="rId7" Type="http://schemas.openxmlformats.org/officeDocument/2006/relationships/image" Target="media/image21.png"/><Relationship Id="rId8" Type="http://schemas.openxmlformats.org/officeDocument/2006/relationships/image" Target="media/image11.png"/><Relationship Id="rId31" Type="http://schemas.openxmlformats.org/officeDocument/2006/relationships/image" Target="media/image9.png"/><Relationship Id="rId30" Type="http://schemas.openxmlformats.org/officeDocument/2006/relationships/image" Target="media/image15.png"/><Relationship Id="rId11" Type="http://schemas.openxmlformats.org/officeDocument/2006/relationships/image" Target="media/image23.png"/><Relationship Id="rId33" Type="http://schemas.openxmlformats.org/officeDocument/2006/relationships/image" Target="media/image20.png"/><Relationship Id="rId10" Type="http://schemas.openxmlformats.org/officeDocument/2006/relationships/image" Target="media/image12.png"/><Relationship Id="rId32" Type="http://schemas.openxmlformats.org/officeDocument/2006/relationships/image" Target="media/image27.png"/><Relationship Id="rId13" Type="http://schemas.openxmlformats.org/officeDocument/2006/relationships/image" Target="media/image7.png"/><Relationship Id="rId35" Type="http://schemas.openxmlformats.org/officeDocument/2006/relationships/image" Target="media/image31.png"/><Relationship Id="rId12" Type="http://schemas.openxmlformats.org/officeDocument/2006/relationships/image" Target="media/image25.png"/><Relationship Id="rId34" Type="http://schemas.openxmlformats.org/officeDocument/2006/relationships/image" Target="media/image18.png"/><Relationship Id="rId15" Type="http://schemas.openxmlformats.org/officeDocument/2006/relationships/image" Target="media/image2.png"/><Relationship Id="rId37" Type="http://schemas.openxmlformats.org/officeDocument/2006/relationships/footer" Target="footer2.xml"/><Relationship Id="rId14" Type="http://schemas.openxmlformats.org/officeDocument/2006/relationships/image" Target="media/image13.png"/><Relationship Id="rId36" Type="http://schemas.openxmlformats.org/officeDocument/2006/relationships/header" Target="header1.xml"/><Relationship Id="rId17" Type="http://schemas.openxmlformats.org/officeDocument/2006/relationships/image" Target="media/image16.png"/><Relationship Id="rId39" Type="http://schemas.openxmlformats.org/officeDocument/2006/relationships/footer" Target="footer1.xml"/><Relationship Id="rId16" Type="http://schemas.openxmlformats.org/officeDocument/2006/relationships/image" Target="media/image3.png"/><Relationship Id="rId38" Type="http://schemas.openxmlformats.org/officeDocument/2006/relationships/footer" Target="footer3.xml"/><Relationship Id="rId19" Type="http://schemas.openxmlformats.org/officeDocument/2006/relationships/image" Target="media/image28.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