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0.png"/>
            <a:graphic>
              <a:graphicData uri="http://schemas.openxmlformats.org/drawingml/2006/picture">
                <pic:pic>
                  <pic:nvPicPr>
                    <pic:cNvPr id="0" name="image20.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Argentina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Argentina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Argentina went through during the period from 2013 to 2018. Specifically, we dive into the topic through a macroeconomic overview of Argentina from the perspective of Gross Domestic Product (GDP) and Economic Complexity Index (ECI), which reflect countries’ production capability and production structure, respectively. We find that during the period of our interest, Argentina d</w:t>
      </w:r>
      <w:r w:rsidDel="00000000" w:rsidR="00000000" w:rsidRPr="00000000">
        <w:rPr>
          <w:rtl w:val="0"/>
        </w:rPr>
        <w:t xml:space="preserve">emonstrated a high level of economic growth with an average annual GDP growth rate of 5.3%, </w:t>
      </w:r>
      <w:r w:rsidDel="00000000" w:rsidR="00000000" w:rsidRPr="00000000">
        <w:rPr>
          <w:rtl w:val="0"/>
        </w:rPr>
        <w:t xml:space="preserve">concurrent with a decrease in economic complexity as compared with other major developed economies.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can be partially explained through analysis of the economic complexity structure of Argentina on an industry group level. The product classification system we adopt allows us to measure the realized development for various industry groups. We observe that </w:t>
      </w:r>
      <w:r w:rsidDel="00000000" w:rsidR="00000000" w:rsidRPr="00000000">
        <w:rPr>
          <w:rtl w:val="0"/>
        </w:rPr>
        <w:t xml:space="preserve">Argentina</w:t>
      </w:r>
      <w:r w:rsidDel="00000000" w:rsidR="00000000" w:rsidRPr="00000000">
        <w:rPr>
          <w:rtl w:val="0"/>
        </w:rPr>
        <w:t xml:space="preserve"> consistently relied on developing the </w:t>
      </w:r>
      <w:r w:rsidDel="00000000" w:rsidR="00000000" w:rsidRPr="00000000">
        <w:rPr>
          <w:rtl w:val="0"/>
        </w:rPr>
        <w:t xml:space="preserve">Machinery and Construction</w:t>
      </w:r>
      <w:r w:rsidDel="00000000" w:rsidR="00000000" w:rsidRPr="00000000">
        <w:rPr>
          <w:rtl w:val="0"/>
        </w:rPr>
        <w:t xml:space="preserve"> industry </w:t>
      </w:r>
      <w:r w:rsidDel="00000000" w:rsidR="00000000" w:rsidRPr="00000000">
        <w:rPr>
          <w:rtl w:val="0"/>
        </w:rPr>
        <w:t xml:space="preserve">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Argentina can further its gains by </w:t>
      </w:r>
      <w:r w:rsidDel="00000000" w:rsidR="00000000" w:rsidRPr="00000000">
        <w:rPr>
          <w:rtl w:val="0"/>
        </w:rPr>
        <w:t xml:space="preserve">prioritizing </w:t>
      </w:r>
      <w:r w:rsidDel="00000000" w:rsidR="00000000" w:rsidRPr="00000000">
        <w:rPr>
          <w:rtl w:val="0"/>
        </w:rPr>
        <w:t xml:space="preserve">Energy and Drilling </w:t>
      </w:r>
      <w:r w:rsidDel="00000000" w:rsidR="00000000" w:rsidRPr="00000000">
        <w:rPr>
          <w:rtl w:val="0"/>
        </w:rPr>
        <w:t xml:space="preserve">and Precious Stone</w:t>
      </w:r>
      <w:r w:rsidDel="00000000" w:rsidR="00000000" w:rsidRPr="00000000">
        <w:rPr>
          <w:rtl w:val="0"/>
        </w:rPr>
        <w:t xml:space="preserve">s. We further note that Argentina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27.8%</w:t>
      </w:r>
      <w:r w:rsidDel="00000000" w:rsidR="00000000" w:rsidRPr="00000000">
        <w:rPr>
          <w:rtl w:val="0"/>
        </w:rPr>
        <w:t xml:space="preserve">. A significant positive correlation exists between five-year GDP growth and the structural optimality index of an economy as we define and calculate, but Argentina still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Argentina went through during the period from 2013 to 2018. Specifically, we dive into the topic through a macroeconomic overview of Argentina from the perspective of Gross Domestic Product (GDP) and Economic Complexity Index (ECI), which reflect countries’ production capability and production structure, respectively. We then analyze the industrial framework of Argentina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Argentina,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Argentina and three of its peer countries (Uruguay, Paraguay, Costa Rica) from 2013-2018. Argentina, like other peer countries, has shown upwards growth in GDP over the years.Moreover, Argentina’s GDP has grown at a faster rate than its peer countries.  Argentina’s average annual growth rate of 5.3% has been higher than its peers, which are 3.01%, 4.94% and 4.35% for Uruguay, Paraguay and Chile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ind w:left="720" w:firstLine="720"/>
        <w:jc w:val="both"/>
        <w:rPr/>
      </w:pPr>
      <w:r w:rsidDel="00000000" w:rsidR="00000000" w:rsidRPr="00000000">
        <w:rPr/>
        <w:drawing>
          <wp:inline distB="114300" distT="114300" distL="114300" distR="114300">
            <wp:extent cx="3705225" cy="2514600"/>
            <wp:effectExtent b="0" l="0" r="0" t="0"/>
            <wp:docPr id="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7052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Argentina. As illustrated in Figure 2 below, Argentina (-95.16% ECI change) exhibited a decrease in terms of its production capability from 2013 to 2018, which is different from Uruguay (-183.37%), Chile (-85.47%)and the Paraguay (8.67%). Ultimately, Argentina is among the weakest of the peer country set, as it displays the medium GDP growth rate and abysmal ECI change across the period.</w:t>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ind w:left="720" w:firstLine="720"/>
        <w:jc w:val="both"/>
        <w:rPr/>
      </w:pPr>
      <w:r w:rsidDel="00000000" w:rsidR="00000000" w:rsidRPr="00000000">
        <w:rPr>
          <w:rtl w:val="0"/>
        </w:rPr>
        <w:t xml:space="preserve">      </w:t>
      </w:r>
      <w:r w:rsidDel="00000000" w:rsidR="00000000" w:rsidRPr="00000000">
        <w:rPr/>
        <w:drawing>
          <wp:inline distB="114300" distT="114300" distL="114300" distR="114300">
            <wp:extent cx="3752850" cy="2514600"/>
            <wp:effectExtent b="0" l="0" r="0" t="0"/>
            <wp:docPr id="2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ind w:firstLine="720"/>
        <w:jc w:val="center"/>
        <w:rPr/>
      </w:pPr>
      <w:r w:rsidDel="00000000" w:rsidR="00000000" w:rsidRPr="00000000">
        <w:rPr/>
        <w:drawing>
          <wp:inline distB="114300" distT="114300" distL="114300" distR="114300">
            <wp:extent cx="4191000" cy="2514600"/>
            <wp:effectExtent b="0" l="0" r="0" t="0"/>
            <wp:docPr id="1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191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(Argentina)</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Argentina. The increase in GDP during the period from 2013 to 2018 is accompanied by a sharp decline in ECI. The results show that the economic growth experienced by Argentina during the period from 2013 to 2018 is not very consistent with the predictions by ECI and Argentina did not effectively make strides to develop a competitive product space that helps to accumulate complicated knowledge and technology. In order to provide a more concrete answer to why this has happened, we will dive into an analysis of Argentina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Argentina’s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C">
      <w:pPr>
        <w:pageBreakBefore w:val="0"/>
        <w:ind w:left="2160" w:firstLine="72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1972548" cy="3843338"/>
            <wp:effectExtent b="0" l="0" r="0" t="0"/>
            <wp:docPr id="2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972548"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Argentina</w:t>
      </w: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Argentina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Argentina’s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114300</wp:posOffset>
            </wp:positionV>
            <wp:extent cx="5731200" cy="2463800"/>
            <wp:effectExtent b="0" l="0" r="0" t="0"/>
            <wp:wrapTopAndBottom distB="0" distT="0"/>
            <wp:docPr id="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2463800"/>
                    </a:xfrm>
                    <a:prstGeom prst="rect"/>
                    <a:ln/>
                  </pic:spPr>
                </pic:pic>
              </a:graphicData>
            </a:graphic>
          </wp:anchor>
        </w:drawing>
      </w:r>
    </w:p>
    <w:p w:rsidR="00000000" w:rsidDel="00000000" w:rsidP="00000000" w:rsidRDefault="00000000" w:rsidRPr="00000000" w14:paraId="000000D1">
      <w:pPr>
        <w:pageBreakBefore w:val="0"/>
        <w:ind w:left="0" w:firstLine="0"/>
        <w:jc w:val="both"/>
        <w:rPr/>
      </w:pPr>
      <w:r w:rsidDel="00000000" w:rsidR="00000000" w:rsidRPr="00000000">
        <w:rPr>
          <w:rtl w:val="0"/>
        </w:rPr>
      </w:r>
    </w:p>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   </w:t>
      </w:r>
    </w:p>
    <w:p w:rsidR="00000000" w:rsidDel="00000000" w:rsidP="00000000" w:rsidRDefault="00000000" w:rsidRPr="00000000" w14:paraId="000000D5">
      <w:pPr>
        <w:pageBreakBefore w:val="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76200</wp:posOffset>
            </wp:positionV>
            <wp:extent cx="5731200" cy="2400300"/>
            <wp:effectExtent b="0" l="0" r="0" t="0"/>
            <wp:wrapTopAndBottom distB="0" distT="0"/>
            <wp:docPr id="16"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2400300"/>
                    </a:xfrm>
                    <a:prstGeom prst="rect"/>
                    <a:ln/>
                  </pic:spPr>
                </pic:pic>
              </a:graphicData>
            </a:graphic>
          </wp:anchor>
        </w:drawing>
      </w:r>
    </w:p>
    <w:p w:rsidR="00000000" w:rsidDel="00000000" w:rsidP="00000000" w:rsidRDefault="00000000" w:rsidRPr="00000000" w14:paraId="000000D6">
      <w:pPr>
        <w:pageBreakBefore w:val="0"/>
        <w:jc w:val="center"/>
        <w:rPr/>
      </w:pPr>
      <w:r w:rsidDel="00000000" w:rsidR="00000000" w:rsidRPr="00000000">
        <w:rPr>
          <w:rtl w:val="0"/>
        </w:rPr>
        <w:t xml:space="preserve">Table 5: SDV of Argentina and Comparable</w:t>
      </w:r>
      <w:r w:rsidDel="00000000" w:rsidR="00000000" w:rsidRPr="00000000">
        <w:rPr>
          <w:rtl w:val="0"/>
        </w:rPr>
        <w:t xml:space="preserve"> Countries 2013(up), 2018(down)</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Argentina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Argentina shares the characters of developing countries, with a balanced economics structure that leans towards intermediate-level industries. </w:t>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drawing>
          <wp:inline distB="114300" distT="114300" distL="114300" distR="114300">
            <wp:extent cx="5731200" cy="2387600"/>
            <wp:effectExtent b="0" l="0" r="0" t="0"/>
            <wp:docPr id="2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pageBreakBefore w:val="0"/>
        <w:jc w:val="center"/>
        <w:rPr/>
      </w:pPr>
      <w:r w:rsidDel="00000000" w:rsidR="00000000" w:rsidRPr="00000000">
        <w:rPr/>
        <w:drawing>
          <wp:inline distB="114300" distT="114300" distL="114300" distR="114300">
            <wp:extent cx="2528888" cy="1141284"/>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7">
      <w:pPr>
        <w:pageBreakBefore w:val="0"/>
        <w:jc w:val="both"/>
        <w:rPr/>
      </w:pPr>
      <w:r w:rsidDel="00000000" w:rsidR="00000000" w:rsidRPr="00000000">
        <w:rPr>
          <w:rtl w:val="0"/>
        </w:rPr>
        <w:t xml:space="preserve"> </w:t>
      </w:r>
    </w:p>
    <w:p w:rsidR="00000000" w:rsidDel="00000000" w:rsidP="00000000" w:rsidRDefault="00000000" w:rsidRPr="00000000" w14:paraId="000000E8">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center"/>
        <w:rPr/>
      </w:pPr>
      <w:r w:rsidDel="00000000" w:rsidR="00000000" w:rsidRPr="00000000">
        <w:rPr/>
        <w:drawing>
          <wp:inline distB="114300" distT="114300" distL="114300" distR="114300">
            <wp:extent cx="2138363" cy="71863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E">
      <w:pPr>
        <w:pageBreakBefore w:val="0"/>
        <w:rPr/>
      </w:pPr>
      <w:r w:rsidDel="00000000" w:rsidR="00000000" w:rsidRPr="00000000">
        <w:rPr>
          <w:rtl w:val="0"/>
        </w:rPr>
        <w:t xml:space="preserve"> </w:t>
      </w:r>
    </w:p>
    <w:p w:rsidR="00000000" w:rsidDel="00000000" w:rsidP="00000000" w:rsidRDefault="00000000" w:rsidRPr="00000000" w14:paraId="000000EF">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3">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4">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B">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C">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Below is the economic panel for Argentina in 2013. We can see that for different percentages of heuristic total export growth, the ECIs of Argentina have different amounts of increments. Overall, 5 and 10 percent export growth result in a similar ECI improvement pattern, which starts from around -0.02 and ends at around 0.69. However, 15 and 20 percent export growth are able to result in obvious ECI improvement trajectories. For both 15 and 20 percent growth budget, the ECI of Argentina is able to end at around 1.1. </w:t>
      </w:r>
    </w:p>
    <w:p w:rsidR="00000000" w:rsidDel="00000000" w:rsidP="00000000" w:rsidRDefault="00000000" w:rsidRPr="00000000" w14:paraId="0000011F">
      <w:pPr>
        <w:pageBreakBefore w:val="0"/>
        <w:jc w:val="both"/>
        <w:rPr/>
      </w:pPr>
      <w:r w:rsidDel="00000000" w:rsidR="00000000" w:rsidRPr="00000000">
        <w:rPr>
          <w:rtl w:val="0"/>
        </w:rPr>
        <w:t xml:space="preserve"> </w:t>
      </w:r>
    </w:p>
    <w:p w:rsidR="00000000" w:rsidDel="00000000" w:rsidP="00000000" w:rsidRDefault="00000000" w:rsidRPr="00000000" w14:paraId="00000120">
      <w:pPr>
        <w:pageBreakBefore w:val="0"/>
        <w:jc w:val="both"/>
        <w:rPr/>
      </w:pPr>
      <w:r w:rsidDel="00000000" w:rsidR="00000000" w:rsidRPr="00000000">
        <w:rPr>
          <w:rtl w:val="0"/>
        </w:rPr>
        <w:t xml:space="preserve">For the case of 5 and 10 percent export growth, chemicals, wood products and transportation account for most of the portfolio. For 10 percent export growth, a higher weighting is derived from wood products. For the case of 15 and 20 percent increment budgets, we realize that the development trajectories are in a similar pattern except that there are a few additional steps when there are more budgets. Unlike the previous two cases, the solutions suggest that Argentina should invest more on Machinery and Construction and Weapons.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5734050" cy="1876425"/>
            <wp:effectExtent b="0" l="0" r="0" t="0"/>
            <wp:docPr id="28" name="image31.png"/>
            <a:graphic>
              <a:graphicData uri="http://schemas.openxmlformats.org/drawingml/2006/picture">
                <pic:pic>
                  <pic:nvPicPr>
                    <pic:cNvPr id="0" name="image31.png"/>
                    <pic:cNvPicPr preferRelativeResize="0"/>
                  </pic:nvPicPr>
                  <pic:blipFill>
                    <a:blip r:embed="rId16"/>
                    <a:srcRect b="29568" l="0" r="0" t="4983"/>
                    <a:stretch>
                      <a:fillRect/>
                    </a:stretch>
                  </pic:blipFill>
                  <pic:spPr>
                    <a:xfrm>
                      <a:off x="0" y="0"/>
                      <a:ext cx="57340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734050" cy="1695450"/>
            <wp:effectExtent b="0" l="0" r="0" t="0"/>
            <wp:docPr id="21" name="image11.png"/>
            <a:graphic>
              <a:graphicData uri="http://schemas.openxmlformats.org/drawingml/2006/picture">
                <pic:pic>
                  <pic:nvPicPr>
                    <pic:cNvPr id="0" name="image11.png"/>
                    <pic:cNvPicPr preferRelativeResize="0"/>
                  </pic:nvPicPr>
                  <pic:blipFill>
                    <a:blip r:embed="rId17"/>
                    <a:srcRect b="13216" l="0" r="0" t="8370"/>
                    <a:stretch>
                      <a:fillRect/>
                    </a:stretch>
                  </pic:blipFill>
                  <pic:spPr>
                    <a:xfrm>
                      <a:off x="0" y="0"/>
                      <a:ext cx="57340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Figure 5: Greedy Based ECI Improvement Results of Argentina in 2013 with Different Budgets</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drawing>
          <wp:inline distB="114300" distT="114300" distL="114300" distR="114300">
            <wp:extent cx="5581650" cy="180975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81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rtl w:val="0"/>
        </w:rPr>
        <w:t xml:space="preserve">Table 8: Portfolio of Argentina in 2013</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For further suggestions on Argentina’s development in the future. We also offer the optimization result of Argentina based on export data in 2018. Below is the economic panel for Argentina in 2018. We can see that the ECI improvement trajectories are lower than in the 2013 case, the improvements in 5 and 10 percent export growth are lower, and the ones in 15 and 20 are also lower. Another striking difference in the growth optimization result is that for a 10 percent export growth, there is a greater emphasis on Machinery and construction, which falls in line with higher budget of investment cases. However, as seen in the 2013 case, for 15 or 20 percent of growth, the portfolios are much more diverse than the previous two cases. In detail, industries like Daily Instruments and Chemical manufacturing contribute a lot more in ECI increments. A more detailed numerical representation of the portfolio is shown in Table 9. </w:t>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drawing>
          <wp:inline distB="114300" distT="114300" distL="114300" distR="114300">
            <wp:extent cx="5734050" cy="2047875"/>
            <wp:effectExtent b="0" l="0" r="0" t="0"/>
            <wp:docPr id="31" name="image28.png"/>
            <a:graphic>
              <a:graphicData uri="http://schemas.openxmlformats.org/drawingml/2006/picture">
                <pic:pic>
                  <pic:nvPicPr>
                    <pic:cNvPr id="0" name="image28.png"/>
                    <pic:cNvPicPr preferRelativeResize="0"/>
                  </pic:nvPicPr>
                  <pic:blipFill>
                    <a:blip r:embed="rId19"/>
                    <a:srcRect b="21595" l="0" r="0" t="6977"/>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4050" cy="1695450"/>
            <wp:effectExtent b="0" l="0" r="0" t="0"/>
            <wp:docPr id="29" name="image25.png"/>
            <a:graphic>
              <a:graphicData uri="http://schemas.openxmlformats.org/drawingml/2006/picture">
                <pic:pic>
                  <pic:nvPicPr>
                    <pic:cNvPr id="0" name="image25.png"/>
                    <pic:cNvPicPr preferRelativeResize="0"/>
                  </pic:nvPicPr>
                  <pic:blipFill>
                    <a:blip r:embed="rId20"/>
                    <a:srcRect b="14978" l="0" r="0" t="6608"/>
                    <a:stretch>
                      <a:fillRect/>
                    </a:stretch>
                  </pic:blipFill>
                  <pic:spPr>
                    <a:xfrm>
                      <a:off x="0" y="0"/>
                      <a:ext cx="57340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center"/>
        <w:rPr/>
      </w:pPr>
      <w:r w:rsidDel="00000000" w:rsidR="00000000" w:rsidRPr="00000000">
        <w:rPr>
          <w:rtl w:val="0"/>
        </w:rPr>
        <w:t xml:space="preserve">Figure 6: Greedy Based ECI Improvement Results of Argentina in 2018 with Different Budgets</w:t>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drawing>
          <wp:inline distB="114300" distT="114300" distL="114300" distR="114300">
            <wp:extent cx="5572125" cy="1800225"/>
            <wp:effectExtent b="0" l="0" r="0" t="0"/>
            <wp:docPr id="2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5721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center"/>
        <w:rPr/>
      </w:pPr>
      <w:r w:rsidDel="00000000" w:rsidR="00000000" w:rsidRPr="00000000">
        <w:rPr>
          <w:rtl w:val="0"/>
        </w:rPr>
        <w:t xml:space="preserve">Table 9: Portfolio of Argentina in 2018</w:t>
      </w:r>
    </w:p>
    <w:p w:rsidR="00000000" w:rsidDel="00000000" w:rsidP="00000000" w:rsidRDefault="00000000" w:rsidRPr="00000000" w14:paraId="00000134">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In the following section our broad aim is to understand how sensitive Argentina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6">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9">
      <w:pPr>
        <w:pageBreakBefore w:val="0"/>
        <w:spacing w:after="240" w:before="240" w:line="276" w:lineRule="auto"/>
        <w:ind w:left="720" w:firstLine="720"/>
        <w:rPr>
          <w:b w:val="1"/>
          <w:bCs w:val="1"/>
        </w:rPr>
      </w:pPr>
      <w:r w:rsidDel="00000000" w:rsidR="00000000" w:rsidRPr="00000000">
        <w:rPr>
          <w:b w:val="1"/>
          <w:bCs w:val="1"/>
        </w:rPr>
        <w:drawing>
          <wp:inline distB="114300" distT="114300" distL="114300" distR="114300">
            <wp:extent cx="4350544" cy="2071688"/>
            <wp:effectExtent b="0" l="0" r="0" t="0"/>
            <wp:docPr id="14" name="image5.jpg"/>
            <a:graphic>
              <a:graphicData uri="http://schemas.openxmlformats.org/drawingml/2006/picture">
                <pic:pic>
                  <pic:nvPicPr>
                    <pic:cNvPr id="0" name="image5.jpg"/>
                    <pic:cNvPicPr preferRelativeResize="0"/>
                  </pic:nvPicPr>
                  <pic:blipFill>
                    <a:blip r:embed="rId22"/>
                    <a:srcRect b="0" l="0" r="0" t="9709"/>
                    <a:stretch>
                      <a:fillRect/>
                    </a:stretch>
                  </pic:blipFill>
                  <pic:spPr>
                    <a:xfrm>
                      <a:off x="0" y="0"/>
                      <a:ext cx="4350544"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ind w:left="2160" w:firstLine="720"/>
        <w:jc w:val="left"/>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B">
      <w:pPr>
        <w:pageBreakBefore w:val="0"/>
        <w:jc w:val="both"/>
        <w:rPr>
          <w:b w:val="1"/>
          <w:bCs w:val="1"/>
        </w:rPr>
      </w:pPr>
      <w:r w:rsidDel="00000000" w:rsidR="00000000" w:rsidRPr="00000000">
        <w:rPr>
          <w:rtl w:val="0"/>
        </w:rPr>
      </w:r>
    </w:p>
    <w:p w:rsidR="00000000" w:rsidDel="00000000" w:rsidP="00000000" w:rsidRDefault="00000000" w:rsidRPr="00000000" w14:paraId="0000013C">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E">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F">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0">
      <w:pPr>
        <w:pageBreakBefore w:val="0"/>
        <w:spacing w:line="276" w:lineRule="auto"/>
        <w:rPr/>
      </w:pPr>
      <w:r w:rsidDel="00000000" w:rsidR="00000000" w:rsidRPr="00000000">
        <w:rPr>
          <w:rtl w:val="0"/>
        </w:rPr>
      </w:r>
    </w:p>
    <w:p w:rsidR="00000000" w:rsidDel="00000000" w:rsidP="00000000" w:rsidRDefault="00000000" w:rsidRPr="00000000" w14:paraId="00000141">
      <w:pPr>
        <w:pageBreakBefore w:val="0"/>
        <w:jc w:val="both"/>
        <w:rPr/>
      </w:pPr>
      <w:r w:rsidDel="00000000" w:rsidR="00000000" w:rsidRPr="00000000">
        <w:rPr/>
        <w:drawing>
          <wp:inline distB="114300" distT="114300" distL="114300" distR="114300">
            <wp:extent cx="5734050" cy="1739900"/>
            <wp:effectExtent b="0" l="0" r="0" t="0"/>
            <wp:docPr id="5"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3">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4">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5">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6">
      <w:pPr>
        <w:pageBreakBefore w:val="0"/>
        <w:spacing w:line="276" w:lineRule="auto"/>
        <w:rPr/>
      </w:pP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Pr>
        <w:drawing>
          <wp:inline distB="114300" distT="114300" distL="114300" distR="114300">
            <wp:extent cx="5731200" cy="3530600"/>
            <wp:effectExtent b="0" l="0" r="0" t="0"/>
            <wp:docPr id="1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ageBreakBefore w:val="0"/>
        <w:jc w:val="center"/>
        <w:rPr>
          <w:sz w:val="22"/>
          <w:szCs w:val="22"/>
        </w:rPr>
      </w:pPr>
      <w:r w:rsidDel="00000000" w:rsidR="00000000" w:rsidRPr="00000000">
        <w:rPr>
          <w:rtl w:val="0"/>
        </w:rPr>
      </w:r>
    </w:p>
    <w:p w:rsidR="00000000" w:rsidDel="00000000" w:rsidP="00000000" w:rsidRDefault="00000000" w:rsidRPr="00000000" w14:paraId="00000149">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Below is Argentina’s 2018 ECI Sensitivity Charts. Firstly in the positive chart, we notice immediately that increases in High Complexity Products and Transportation lead to an uptrend in ECI. Chemical Manufacturing offers the best ECI growth per unit of export increase. Most other industries tend to not greatly affect the ECI level making it fairly clear which industry to pursue. </w:t>
      </w:r>
    </w:p>
    <w:p w:rsidR="00000000" w:rsidDel="00000000" w:rsidP="00000000" w:rsidRDefault="00000000" w:rsidRPr="00000000" w14:paraId="00000150">
      <w:pPr>
        <w:pageBreakBefore w:val="0"/>
        <w:jc w:val="both"/>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Next we consider Argentina’s 2018 Negative Shock chart. We see that Argentina’s ECI is highly sensitive to multiple industry groups, including Animals and By-products, Vegetables, Fruits &amp; Plants, Food and Preparations and Services &amp; Utilities. Large decreases in all of the aforementioned industries seems to greatly increase the ECI score. These industries are important industries for Argentina’s economy and thus the results that are reflected in the chart may be suggesting that there is another industry that could be very beneficial for Argentina that is far in proximity from them.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19050</wp:posOffset>
            </wp:positionV>
            <wp:extent cx="4626912" cy="2938463"/>
            <wp:effectExtent b="0" l="0" r="0" t="0"/>
            <wp:wrapTopAndBottom distB="0" distT="0"/>
            <wp:docPr id="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626912" cy="2938463"/>
                    </a:xfrm>
                    <a:prstGeom prst="rect"/>
                    <a:ln/>
                  </pic:spPr>
                </pic:pic>
              </a:graphicData>
            </a:graphic>
          </wp:anchor>
        </w:drawing>
      </w:r>
    </w:p>
    <w:p w:rsidR="00000000" w:rsidDel="00000000" w:rsidP="00000000" w:rsidRDefault="00000000" w:rsidRPr="00000000" w14:paraId="00000155">
      <w:pPr>
        <w:pageBreakBefore w:val="0"/>
        <w:jc w:val="center"/>
        <w:rPr>
          <w:b w:val="1"/>
          <w:bCs w:val="1"/>
        </w:rPr>
      </w:pPr>
      <w:r w:rsidDel="00000000" w:rsidR="00000000" w:rsidRPr="00000000">
        <w:rPr>
          <w:rtl w:val="0"/>
        </w:rPr>
        <w:t xml:space="preserve">Argentina 2018 (Incremental ECI Sensitivity)</w:t>
      </w:r>
      <w:r w:rsidDel="00000000" w:rsidR="00000000" w:rsidRPr="00000000">
        <w:rPr>
          <w:rtl w:val="0"/>
        </w:rPr>
      </w:r>
    </w:p>
    <w:p w:rsidR="00000000" w:rsidDel="00000000" w:rsidP="00000000" w:rsidRDefault="00000000" w:rsidRPr="00000000" w14:paraId="00000156">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157">
      <w:pPr>
        <w:pageBreakBefore w:val="0"/>
        <w:jc w:val="both"/>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485775</wp:posOffset>
            </wp:positionH>
            <wp:positionV relativeFrom="paragraph">
              <wp:posOffset>9525</wp:posOffset>
            </wp:positionV>
            <wp:extent cx="4748213" cy="3020873"/>
            <wp:effectExtent b="0" l="0" r="0" t="0"/>
            <wp:wrapTopAndBottom distB="0" distT="0"/>
            <wp:docPr id="1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748213" cy="3020873"/>
                    </a:xfrm>
                    <a:prstGeom prst="rect"/>
                    <a:ln/>
                  </pic:spPr>
                </pic:pic>
              </a:graphicData>
            </a:graphic>
          </wp:anchor>
        </w:drawing>
      </w:r>
    </w:p>
    <w:p w:rsidR="00000000" w:rsidDel="00000000" w:rsidP="00000000" w:rsidRDefault="00000000" w:rsidRPr="00000000" w14:paraId="00000158">
      <w:pPr>
        <w:pageBreakBefore w:val="0"/>
        <w:jc w:val="center"/>
        <w:rPr/>
      </w:pPr>
      <w:r w:rsidDel="00000000" w:rsidR="00000000" w:rsidRPr="00000000">
        <w:rPr>
          <w:rtl w:val="0"/>
        </w:rPr>
        <w:t xml:space="preserve">Argentina 2018 (Decremental  ECI Sensitivity)</w:t>
      </w:r>
    </w:p>
    <w:p w:rsidR="00000000" w:rsidDel="00000000" w:rsidP="00000000" w:rsidRDefault="00000000" w:rsidRPr="00000000" w14:paraId="00000159">
      <w:pPr>
        <w:pageBreakBefore w:val="0"/>
        <w:jc w:val="center"/>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and Transportation seem to offer the best ECI growth prospects. However, there are more industry groups which negatively impact ECI, namely Animals and By-Products and Food and Preparations. In the decremental scenario, we see a common trend of a decrease in Food and Preparations improving ECI, but we also see that decreasing industries like Chemical Manufacturing and Services &amp; Utilities does negatively impact the ECI, suggesting that they may indeed be important to the economy.</w:t>
      </w:r>
    </w:p>
    <w:p w:rsidR="00000000" w:rsidDel="00000000" w:rsidP="00000000" w:rsidRDefault="00000000" w:rsidRPr="00000000" w14:paraId="0000015B">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Argentina 2013 (Incremental ECI Sensitivity)</w:t>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jc w:val="center"/>
        <w:rPr>
          <w:b w:val="1"/>
          <w:bCs w:val="1"/>
        </w:rPr>
      </w:pPr>
      <w:r w:rsidDel="00000000" w:rsidR="00000000" w:rsidRPr="00000000">
        <w:rPr>
          <w:rtl w:val="0"/>
        </w:rPr>
        <w:t xml:space="preserve">Argentina 2013 (Decremental  ECI Sensitivity)</w:t>
      </w: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Below we see the SDV sensitivity charts for High-Complexity Products. We see that after increasing the export of High-Complexity Products by 200% leads to an additional gain in ECI as we open more positive opportunity-gain industries. However, this is a large jump to achieve, and we see no further gains past this point. </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In the negative  SDV chart, we see that as we decrease the export of High-Complexity products, the ECI does also increase, to an even greater extent, as we see one additional industry become opportunity gain-neutral.</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Concerning Food and Preparations, Argentina seems to experience an increase in ECI and a gain in the number of Opportunity-gain positive industries after a 100% increase in this export. However, we see much higher gains when we decrease Food and Preparations exports – at just a 18% decrease, ECI jumps to -0.568, and this trend continues as we go to a 96% decrease.</w:t>
      </w:r>
    </w:p>
    <w:p w:rsidR="00000000" w:rsidDel="00000000" w:rsidP="00000000" w:rsidRDefault="00000000" w:rsidRPr="00000000" w14:paraId="00000165">
      <w:pPr>
        <w:pageBreakBefore w:val="0"/>
        <w:jc w:val="center"/>
        <w:rPr>
          <w:b w:val="1"/>
          <w:bCs w:val="1"/>
        </w:rPr>
      </w:pPr>
      <w:r w:rsidDel="00000000" w:rsidR="00000000" w:rsidRPr="00000000">
        <w:rPr>
          <w:b w:val="1"/>
          <w:bCs w:val="1"/>
        </w:rPr>
        <w:drawing>
          <wp:inline distB="114300" distT="114300" distL="114300" distR="114300">
            <wp:extent cx="3011325" cy="2776544"/>
            <wp:effectExtent b="0" l="0" r="0" t="0"/>
            <wp:docPr id="1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011325" cy="277654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ind w:left="0" w:firstLine="0"/>
        <w:jc w:val="center"/>
        <w:rPr/>
      </w:pPr>
      <w:r w:rsidDel="00000000" w:rsidR="00000000" w:rsidRPr="00000000">
        <w:rPr>
          <w:rtl w:val="0"/>
        </w:rPr>
        <w:t xml:space="preserve">Argentina High-complexity Products 2018 (Incremental SDV Sensitivity)  </w:t>
      </w:r>
      <w:r w:rsidDel="00000000" w:rsidR="00000000" w:rsidRPr="00000000">
        <w:rPr>
          <w:rtl w:val="0"/>
        </w:rPr>
        <w:t xml:space="preserve">                          </w:t>
      </w:r>
    </w:p>
    <w:p w:rsidR="00000000" w:rsidDel="00000000" w:rsidP="00000000" w:rsidRDefault="00000000" w:rsidRPr="00000000" w14:paraId="00000167">
      <w:pPr>
        <w:pageBreakBefore w:val="0"/>
        <w:ind w:left="720" w:firstLine="720"/>
        <w:jc w:val="left"/>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1376363</wp:posOffset>
            </wp:positionH>
            <wp:positionV relativeFrom="paragraph">
              <wp:posOffset>57150</wp:posOffset>
            </wp:positionV>
            <wp:extent cx="2967038" cy="2728808"/>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967038" cy="2728808"/>
                    </a:xfrm>
                    <a:prstGeom prst="rect"/>
                    <a:ln/>
                  </pic:spPr>
                </pic:pic>
              </a:graphicData>
            </a:graphic>
          </wp:anchor>
        </w:drawing>
      </w:r>
    </w:p>
    <w:p w:rsidR="00000000" w:rsidDel="00000000" w:rsidP="00000000" w:rsidRDefault="00000000" w:rsidRPr="00000000" w14:paraId="00000168">
      <w:pPr>
        <w:pageBreakBefore w:val="0"/>
        <w:ind w:left="0" w:firstLine="0"/>
        <w:jc w:val="center"/>
        <w:rPr/>
      </w:pPr>
      <w:r w:rsidDel="00000000" w:rsidR="00000000" w:rsidRPr="00000000">
        <w:rPr>
          <w:rtl w:val="0"/>
        </w:rPr>
        <w:t xml:space="preserve">Argentina High-complexity Products 2018 (Decremental SDV Sensitivity)  </w:t>
      </w:r>
    </w:p>
    <w:p w:rsidR="00000000" w:rsidDel="00000000" w:rsidP="00000000" w:rsidRDefault="00000000" w:rsidRPr="00000000" w14:paraId="00000169">
      <w:pPr>
        <w:pageBreakBefore w:val="0"/>
        <w:ind w:left="720" w:firstLine="720"/>
        <w:jc w:val="center"/>
        <w:rPr/>
      </w:pPr>
      <w:r w:rsidDel="00000000" w:rsidR="00000000" w:rsidRPr="00000000">
        <w:rPr>
          <w:rtl w:val="0"/>
        </w:rPr>
      </w:r>
    </w:p>
    <w:p w:rsidR="00000000" w:rsidDel="00000000" w:rsidP="00000000" w:rsidRDefault="00000000" w:rsidRPr="00000000" w14:paraId="0000016A">
      <w:pPr>
        <w:pageBreakBefore w:val="0"/>
        <w:ind w:left="0" w:firstLine="0"/>
        <w:jc w:val="center"/>
        <w:rPr/>
      </w:pPr>
      <w:r w:rsidDel="00000000" w:rsidR="00000000" w:rsidRPr="00000000">
        <w:rPr/>
        <w:drawing>
          <wp:inline distB="114300" distT="114300" distL="114300" distR="114300">
            <wp:extent cx="2901788" cy="2714257"/>
            <wp:effectExtent b="0" l="0" r="0" t="0"/>
            <wp:docPr id="30" name="image30.png"/>
            <a:graphic>
              <a:graphicData uri="http://schemas.openxmlformats.org/drawingml/2006/picture">
                <pic:pic>
                  <pic:nvPicPr>
                    <pic:cNvPr id="0" name="image30.png"/>
                    <pic:cNvPicPr preferRelativeResize="0"/>
                  </pic:nvPicPr>
                  <pic:blipFill>
                    <a:blip r:embed="rId31"/>
                    <a:srcRect b="0" l="1163" r="0" t="891"/>
                    <a:stretch>
                      <a:fillRect/>
                    </a:stretch>
                  </pic:blipFill>
                  <pic:spPr>
                    <a:xfrm>
                      <a:off x="0" y="0"/>
                      <a:ext cx="2901788" cy="271425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ind w:left="0" w:firstLine="0"/>
        <w:jc w:val="center"/>
        <w:rPr/>
      </w:pPr>
      <w:r w:rsidDel="00000000" w:rsidR="00000000" w:rsidRPr="00000000">
        <w:rPr>
          <w:rtl w:val="0"/>
        </w:rPr>
        <w:t xml:space="preserve">Argentina Food and Preparations 2018 (Incremental SDV Sensitivity)</w:t>
      </w:r>
    </w:p>
    <w:p w:rsidR="00000000" w:rsidDel="00000000" w:rsidP="00000000" w:rsidRDefault="00000000" w:rsidRPr="00000000" w14:paraId="0000016C">
      <w:pPr>
        <w:pageBreakBefore w:val="0"/>
        <w:ind w:left="720" w:firstLine="720"/>
        <w:jc w:val="center"/>
        <w:rPr/>
      </w:pPr>
      <w:r w:rsidDel="00000000" w:rsidR="00000000" w:rsidRPr="00000000">
        <w:rPr>
          <w:rtl w:val="0"/>
        </w:rPr>
      </w:r>
    </w:p>
    <w:p w:rsidR="00000000" w:rsidDel="00000000" w:rsidP="00000000" w:rsidRDefault="00000000" w:rsidRPr="00000000" w14:paraId="0000016D">
      <w:pPr>
        <w:pageBreakBefore w:val="0"/>
        <w:jc w:val="center"/>
        <w:rPr>
          <w:b w:val="1"/>
          <w:bCs w:val="1"/>
        </w:rPr>
      </w:pPr>
      <w:r w:rsidDel="00000000" w:rsidR="00000000" w:rsidRPr="00000000">
        <w:rPr>
          <w:rtl w:val="0"/>
        </w:rPr>
      </w:r>
    </w:p>
    <w:p w:rsidR="00000000" w:rsidDel="00000000" w:rsidP="00000000" w:rsidRDefault="00000000" w:rsidRPr="00000000" w14:paraId="0000016E">
      <w:pPr>
        <w:tabs>
          <w:tab w:val="center" w:leader="none" w:pos="4680"/>
          <w:tab w:val="right" w:leader="none" w:pos="9360"/>
        </w:tabs>
        <w:jc w:val="center"/>
        <w:rPr>
          <w:b w:val="1"/>
          <w:bCs w:val="1"/>
        </w:rPr>
      </w:pPr>
      <w:r w:rsidDel="00000000" w:rsidR="00000000" w:rsidRPr="00000000">
        <w:rPr>
          <w:rFonts w:ascii="Calibri" w:cs="Calibri" w:eastAsia="Calibri" w:hAnsi="Calibri"/>
        </w:rPr>
        <w:drawing>
          <wp:inline distB="114300" distT="114300" distL="114300" distR="114300">
            <wp:extent cx="3557588" cy="2339566"/>
            <wp:effectExtent b="0" l="0" r="0" t="0"/>
            <wp:docPr id="18" name="image24.png"/>
            <a:graphic>
              <a:graphicData uri="http://schemas.openxmlformats.org/drawingml/2006/picture">
                <pic:pic>
                  <pic:nvPicPr>
                    <pic:cNvPr id="0" name="image24.png"/>
                    <pic:cNvPicPr preferRelativeResize="0"/>
                  </pic:nvPicPr>
                  <pic:blipFill>
                    <a:blip r:embed="rId32"/>
                    <a:srcRect b="0" l="1993" r="0" t="0"/>
                    <a:stretch>
                      <a:fillRect/>
                    </a:stretch>
                  </pic:blipFill>
                  <pic:spPr>
                    <a:xfrm>
                      <a:off x="0" y="0"/>
                      <a:ext cx="3557588" cy="233956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ind w:left="0" w:firstLine="0"/>
        <w:jc w:val="center"/>
        <w:rPr/>
      </w:pPr>
      <w:r w:rsidDel="00000000" w:rsidR="00000000" w:rsidRPr="00000000">
        <w:rPr>
          <w:rtl w:val="0"/>
        </w:rPr>
        <w:t xml:space="preserve">Argentina Food and Preparations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2">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3">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4">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5">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6">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7">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8">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9">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A">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B">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C">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D">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t xml:space="preserve">Decreasing export of each industry in Argentina’s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3225800"/>
            <wp:effectExtent b="0" l="0" r="0" t="0"/>
            <wp:docPr id="23"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jc w:val="center"/>
        <w:rPr>
          <w:sz w:val="22"/>
          <w:szCs w:val="22"/>
        </w:rPr>
      </w:pPr>
      <w:r w:rsidDel="00000000" w:rsidR="00000000" w:rsidRPr="00000000">
        <w:rPr>
          <w:sz w:val="22"/>
          <w:szCs w:val="22"/>
          <w:rtl w:val="0"/>
        </w:rPr>
        <w:t xml:space="preserve">Argentina Contingency Strategy 2018</w:t>
      </w:r>
    </w:p>
    <w:p w:rsidR="00000000" w:rsidDel="00000000" w:rsidP="00000000" w:rsidRDefault="00000000" w:rsidRPr="00000000" w14:paraId="00000183">
      <w:pPr>
        <w:pageBreakBefore w:val="0"/>
        <w:jc w:val="center"/>
        <w:rPr>
          <w:sz w:val="22"/>
          <w:szCs w:val="22"/>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8">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B">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5">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b w:val="1"/>
          <w:bCs w:val="1"/>
          <w:rtl w:val="0"/>
        </w:rPr>
        <w:t xml:space="preserve">5.2 SOI of Argentina and Its Implications</w:t>
      </w:r>
    </w:p>
    <w:p w:rsidR="00000000" w:rsidDel="00000000" w:rsidP="00000000" w:rsidRDefault="00000000" w:rsidRPr="00000000" w14:paraId="00000198">
      <w:pPr>
        <w:pageBreakBefore w:val="0"/>
        <w:jc w:val="both"/>
        <w:rPr/>
      </w:pPr>
      <w:r w:rsidDel="00000000" w:rsidR="00000000" w:rsidRPr="00000000">
        <w:rPr>
          <w:rtl w:val="0"/>
        </w:rPr>
        <w:t xml:space="preserve">Argentina for instance, has a high level of structural optimality as compared with its developed peers. As the regression in Figure 7 suggests (the orange curve represents export increase and the blue curve stands for opportunity gain of the corresponding industry), Argentina demonstrates a high level of correlation with the suggested developmental path, having an adjusted R-square of around 27.8%. Argentina ranks in the top quartile among all countries in terms of SOI and has made a medium rate of economic progress in line its developed peers from 2013 to 2018 with a 5-year GDP growth rate of 15.6%, which is consistent with the regression result in Figure 6. This is in direct contrast to other developed economies such as Japan, where there is low SOI of around -5.7% and a corresponding GDP growth of 9.05% from 2013 to 2018, making it a much faster developing economy during the period. In sum, Argentina’s mixed economic progress from 2013 to 2018 can be at least partially explained by a development strategy that demonstrates a strong level of matches with our suggested developmental path. In specific, Argentina invested heavily in the Machinery and Construction industry, while it should have focused more on more industry groups such as Precious Stones and Energy &amp; Drilling. That being said, it stayed fairly in line with our expectations in the Raw Manufacturing and Metals industry.</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center"/>
        <w:rPr/>
      </w:pPr>
      <w:r w:rsidDel="00000000" w:rsidR="00000000" w:rsidRPr="00000000">
        <w:rPr/>
        <w:drawing>
          <wp:inline distB="114300" distT="114300" distL="114300" distR="114300">
            <wp:extent cx="5731200" cy="2298700"/>
            <wp:effectExtent b="0" l="0" r="0" t="0"/>
            <wp:docPr id="7"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jc w:val="center"/>
        <w:rPr>
          <w:b w:val="1"/>
          <w:bCs w:val="1"/>
        </w:rPr>
      </w:pPr>
      <w:r w:rsidDel="00000000" w:rsidR="00000000" w:rsidRPr="00000000">
        <w:rPr>
          <w:rtl w:val="0"/>
        </w:rPr>
        <w:t xml:space="preserve">Figure 7: SOI of Argentina (2013-2018)</w:t>
      </w: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b w:val="1"/>
          <w:bCs w:val="1"/>
        </w:rPr>
      </w:pPr>
      <w:r w:rsidDel="00000000" w:rsidR="00000000" w:rsidRPr="00000000">
        <w:rPr>
          <w:rtl w:val="0"/>
        </w:rPr>
      </w:r>
    </w:p>
    <w:p w:rsidR="00000000" w:rsidDel="00000000" w:rsidP="00000000" w:rsidRDefault="00000000" w:rsidRPr="00000000" w14:paraId="000001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In conclusion, Argentina has demonstrated a strong level of economic growth in terms of annual GDP increase during the period from 2013 to 2018, concurrent with a relative increase in economic complexity as compared with other major developed economies. </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The progress during the period, we believe, can be partially explained through analysis of the economic and product complexity structure of Argentina on the industry group level. The product classification system we adopt allows us to measure the realized industry development for various industry groups and to observe that Argentina</w:t>
      </w:r>
      <w:r w:rsidDel="00000000" w:rsidR="00000000" w:rsidRPr="00000000">
        <w:rPr>
          <w:rtl w:val="0"/>
        </w:rPr>
        <w:t xml:space="preserve"> consistently relied on developing the Machinery &amp; Construction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Based on our analysis of the opportunity gain and a sensitivity analysis of major industry groups, Argentina can further its gains by prioritizing Energy and drilling and Precious Stones. We further note that Argentina has a slightly mismatched development strategy that indicates a moderately high (compared to other developed countries) level of structural optimality on the complexity level, having an adjusted R-square of around 27.8%. Since a significant positive correlation exists between five-year GDP growth and the structural optimality index of an economy as we define and calculate, Argentina,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8">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5.jpg"/><Relationship Id="rId21" Type="http://schemas.openxmlformats.org/officeDocument/2006/relationships/image" Target="media/image23.png"/><Relationship Id="rId24" Type="http://schemas.openxmlformats.org/officeDocument/2006/relationships/image" Target="media/image8.pn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3.png"/><Relationship Id="rId25" Type="http://schemas.openxmlformats.org/officeDocument/2006/relationships/image" Target="media/image16.png"/><Relationship Id="rId28"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9.png"/><Relationship Id="rId7" Type="http://schemas.openxmlformats.org/officeDocument/2006/relationships/image" Target="media/image15.png"/><Relationship Id="rId8" Type="http://schemas.openxmlformats.org/officeDocument/2006/relationships/image" Target="media/image29.png"/><Relationship Id="rId31" Type="http://schemas.openxmlformats.org/officeDocument/2006/relationships/image" Target="media/image30.png"/><Relationship Id="rId30" Type="http://schemas.openxmlformats.org/officeDocument/2006/relationships/image" Target="media/image22.png"/><Relationship Id="rId11" Type="http://schemas.openxmlformats.org/officeDocument/2006/relationships/image" Target="media/image18.png"/><Relationship Id="rId33" Type="http://schemas.openxmlformats.org/officeDocument/2006/relationships/image" Target="media/image26.png"/><Relationship Id="rId10" Type="http://schemas.openxmlformats.org/officeDocument/2006/relationships/image" Target="media/image17.png"/><Relationship Id="rId32" Type="http://schemas.openxmlformats.org/officeDocument/2006/relationships/image" Target="media/image24.png"/><Relationship Id="rId13" Type="http://schemas.openxmlformats.org/officeDocument/2006/relationships/image" Target="media/image12.png"/><Relationship Id="rId35" Type="http://schemas.openxmlformats.org/officeDocument/2006/relationships/image" Target="media/image14.png"/><Relationship Id="rId12" Type="http://schemas.openxmlformats.org/officeDocument/2006/relationships/image" Target="media/image27.png"/><Relationship Id="rId34" Type="http://schemas.openxmlformats.org/officeDocument/2006/relationships/image" Target="media/image6.png"/><Relationship Id="rId15" Type="http://schemas.openxmlformats.org/officeDocument/2006/relationships/image" Target="media/image2.png"/><Relationship Id="rId37" Type="http://schemas.openxmlformats.org/officeDocument/2006/relationships/footer" Target="footer2.xml"/><Relationship Id="rId14" Type="http://schemas.openxmlformats.org/officeDocument/2006/relationships/image" Target="media/image1.png"/><Relationship Id="rId36" Type="http://schemas.openxmlformats.org/officeDocument/2006/relationships/header" Target="header1.xml"/><Relationship Id="rId17" Type="http://schemas.openxmlformats.org/officeDocument/2006/relationships/image" Target="media/image11.png"/><Relationship Id="rId39" Type="http://schemas.openxmlformats.org/officeDocument/2006/relationships/footer" Target="footer1.xml"/><Relationship Id="rId16" Type="http://schemas.openxmlformats.org/officeDocument/2006/relationships/image" Target="media/image31.png"/><Relationship Id="rId38" Type="http://schemas.openxmlformats.org/officeDocument/2006/relationships/footer" Target="footer3.xml"/><Relationship Id="rId19" Type="http://schemas.openxmlformats.org/officeDocument/2006/relationships/image" Target="media/image2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