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88" w:lineRule="auto"/>
        <w:rPr>
          <w:rFonts w:ascii="Open Sans" w:cs="Open Sans" w:eastAsia="Open Sans" w:hAnsi="Open Sans"/>
          <w:b w:val="1"/>
          <w:bCs w:val="1"/>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731200" cy="101600"/>
            <wp:effectExtent b="0" l="0" r="0" t="0"/>
            <wp:docPr descr="horizontal line" id="28" name="image18.png"/>
            <a:graphic>
              <a:graphicData uri="http://schemas.openxmlformats.org/drawingml/2006/picture">
                <pic:pic>
                  <pic:nvPicPr>
                    <pic:cNvPr descr="horizontal line" id="0" name="image1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2"/>
          <w:szCs w:val="22"/>
        </w:rPr>
        <w:drawing>
          <wp:inline distB="114300" distT="114300" distL="114300" distR="114300">
            <wp:extent cx="5731200" cy="4000500"/>
            <wp:effectExtent b="0" l="0" r="0" t="0"/>
            <wp:docPr id="5"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 https://atlas.cid.harvard.edu/</w:t>
      </w:r>
    </w:p>
    <w:p w:rsidR="00000000" w:rsidDel="00000000" w:rsidP="00000000" w:rsidRDefault="00000000" w:rsidRPr="00000000" w14:paraId="00000003">
      <w:pPr>
        <w:pStyle w:val="Title"/>
        <w:keepNext w:val="0"/>
        <w:keepLines w:val="0"/>
        <w:spacing w:after="0" w:before="320" w:line="24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spacing w:after="0" w:before="320" w:line="24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Kuwait</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440" w:line="288" w:lineRule="auto"/>
        <w:rPr>
          <w:rFonts w:ascii="PT Sans Narrow" w:cs="PT Sans Narrow" w:eastAsia="PT Sans Narrow" w:hAnsi="PT Sans Narrow"/>
          <w:color w:val="008575"/>
          <w:sz w:val="32"/>
          <w:szCs w:val="3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7">
      <w:pPr>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Alex Chung, Alexandra Garcia, Kelly Mi, Alex Chung, </w:t>
      </w:r>
      <w:r w:rsidDel="00000000" w:rsidR="00000000" w:rsidRPr="00000000">
        <w:br w:type="page"/>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Finland</w:t>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B">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uncover the economic path Kuwait went through during the period from 2013 to 2018. Specifically, we dive into the topic through a macroeconomic overview of Finland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demonstrated a relatively low level of economic growth with an average annual GDP growth rate of 1.54%, concurrent with a decrease in economic complexity as compared with other major developed economies. </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can be partially explained through analysis of the economic and product complexity structure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on the industry group level. The product classification system we adopt allows us to measure the realized development for various industry groups and to observe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consistently relied on developing the Energy Drilling and Mining industry during the period, while its developed counterparts and emerging economies around the globe have adopted much more complex and progressive paths. </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can further its gains by prioritizing High Complexity Products and Daily Instruments. We further note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relatively mismatched development strategy that indicates a moderately low (compared to other developed countries such as Turkey) level of structural optimality on the complexity level, having an adjusted R-square of around 5.38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significant positive correlation exists between five-year GDP growth and the structural optimality index of an economy as we define and calculate, but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3">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uncover the economic path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went through during the period from 2013 to 2018. Specifically, we dive into the topic through a macroeconomic overview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from the perspective of Gross Domestic Product (GDP) and Economic Complexity Index (ECI), which reflect countries’ production capability and production structure, respectively. We then analyze the industrial framework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7">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time-series GDP results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and three of its peer countries (Qatar, Saudi Arabia, and the United States) from 2013-2018. In contrast to the other countries, which generally displayed either constant or upwards growth over all years,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had a noticeable dip in GDP from 2014-2015. Additionally,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average annual growth rate of 1.54</w:t>
      </w:r>
      <w:r w:rsidDel="00000000" w:rsidR="00000000" w:rsidRPr="00000000">
        <w:rPr>
          <w:rFonts w:ascii="Times New Roman" w:cs="Times New Roman" w:eastAsia="Times New Roman" w:hAnsi="Times New Roman"/>
          <w:sz w:val="24"/>
          <w:szCs w:val="24"/>
          <w:rtl w:val="0"/>
        </w:rPr>
        <w:t xml:space="preserve">% over the five-year period is lower relative to its peers, which are 3.22%, 3.88%, and 5.41% for Sweden, Norway, and Denmark respectively.</w:t>
      </w:r>
    </w:p>
    <w:p w:rsidR="00000000" w:rsidDel="00000000" w:rsidP="00000000" w:rsidRDefault="00000000" w:rsidRPr="00000000" w14:paraId="0000001A">
      <w:pPr>
        <w:spacing w:line="240" w:lineRule="auto"/>
        <w:jc w:val="center"/>
        <w:rPr>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rPr>
        <w:drawing>
          <wp:inline distB="114300" distT="114300" distL="114300" distR="114300">
            <wp:extent cx="4471988" cy="2946557"/>
            <wp:effectExtent b="0" l="0" r="0" t="0"/>
            <wp:docPr id="10"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4471988" cy="29465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GDP Comparison Among Peer Countries</w:t>
      </w:r>
    </w:p>
    <w:p w:rsidR="00000000" w:rsidDel="00000000" w:rsidP="00000000" w:rsidRDefault="00000000" w:rsidRPr="00000000" w14:paraId="000000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growth pattern for Finland. As illustrated in Figure 2 below, Kuwait (76.91% ECI change) exhibited an increase in terms of its production capability from 2013 to 2018, to a much smaller extent than Turkey (473.18%) compared to decreases in the United Arab Emirates (-18.38%) and Turkey (-21.27%). </w:t>
      </w:r>
      <w:r w:rsidDel="00000000" w:rsidR="00000000" w:rsidRPr="00000000">
        <w:rPr>
          <w:rFonts w:ascii="Times New Roman" w:cs="Times New Roman" w:eastAsia="Times New Roman" w:hAnsi="Times New Roman"/>
          <w:sz w:val="24"/>
          <w:szCs w:val="24"/>
          <w:rtl w:val="0"/>
        </w:rPr>
        <w:t xml:space="preserve">Ultimately, Kuwait performs moderately amongst its peer country set, as it displays a low GDP growth rate and relatively median ECI change across the period.</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2160" w:firstLine="0"/>
        <w:rPr>
          <w:rFonts w:ascii="Times New Roman" w:cs="Times New Roman" w:eastAsia="Times New Roman" w:hAnsi="Times New Roman"/>
          <w:sz w:val="24"/>
          <w:szCs w:val="24"/>
          <w:highlight w:val="yellow"/>
        </w:rPr>
      </w:pPr>
      <w:r w:rsidDel="00000000" w:rsidR="00000000" w:rsidRPr="00000000">
        <w:rPr/>
        <w:drawing>
          <wp:inline distB="114300" distT="114300" distL="114300" distR="114300">
            <wp:extent cx="3459398" cy="2239417"/>
            <wp:effectExtent b="0" l="0" r="0" t="0"/>
            <wp:docPr id="24"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3459398" cy="223941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w:t>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highlight w:val="yellow"/>
        </w:rPr>
      </w:pPr>
      <w:r w:rsidDel="00000000" w:rsidR="00000000" w:rsidRPr="00000000">
        <w:rPr/>
        <w:drawing>
          <wp:inline distB="114300" distT="114300" distL="114300" distR="114300">
            <wp:extent cx="4281488" cy="2517256"/>
            <wp:effectExtent b="0" l="0" r="0" t="0"/>
            <wp:docPr id="9"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281488" cy="251725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 GDP Growth and ECI (Kuwait)</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Growth and ECI over the time span from 2013 to 2018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increase in GDP during the period from 2013 to 2018 is accompanied by an initial period of sharp growth followed by a plateau in ECI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show that the economic growth experienced by Finland during the period from 2013 to 2018 is not optimally consistent with the predictions by ECI and Kuwait can make more improved strides to develop a competitive product space that helps to accumulate complicated knowledge and technology.</w:t>
      </w:r>
      <w:r w:rsidDel="00000000" w:rsidR="00000000" w:rsidRPr="00000000">
        <w:rPr>
          <w:rFonts w:ascii="Times New Roman" w:cs="Times New Roman" w:eastAsia="Times New Roman" w:hAnsi="Times New Roman"/>
          <w:sz w:val="24"/>
          <w:szCs w:val="24"/>
          <w:rtl w:val="0"/>
        </w:rPr>
        <w:t xml:space="preserve"> In order to provide a more concrete answer to why this has happened, we will dive into an analysis of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production structure and its product space designs in the next few chapters. </w:t>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9">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F">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0">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B">
            <w:pPr>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F">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3">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3">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B">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Kuwait’s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1440" w:firstLine="0"/>
        <w:jc w:val="center"/>
        <w:rPr/>
      </w:pPr>
      <w:r w:rsidDel="00000000" w:rsidR="00000000" w:rsidRPr="00000000">
        <w:rPr/>
        <w:drawing>
          <wp:inline distB="114300" distT="114300" distL="114300" distR="114300">
            <wp:extent cx="3152775" cy="5681924"/>
            <wp:effectExtent b="0" l="0" r="0" t="0"/>
            <wp:docPr id="11"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3152775" cy="568192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2: Realized Industry Development (RID) of Kuwait</w:t>
      </w:r>
    </w:p>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Kuwait compares with leading economies and a selected group of emerging economies in the world, as measured in RID. </w:t>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t>
            </w:r>
          </w:p>
        </w:tc>
        <w:tc>
          <w:tcPr/>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1">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5">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9">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D">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1">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D">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1">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5">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9">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D">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Kuwait’s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7">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7"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2"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CI Countries 2013(up), 2018(down)</w:t>
      </w:r>
    </w:p>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Kuwait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w:t>
      </w:r>
      <w:r w:rsidDel="00000000" w:rsidR="00000000" w:rsidRPr="00000000">
        <w:rPr>
          <w:rFonts w:ascii="Times New Roman" w:cs="Times New Roman" w:eastAsia="Times New Roman" w:hAnsi="Times New Roman"/>
          <w:sz w:val="24"/>
          <w:szCs w:val="24"/>
          <w:rtl w:val="0"/>
        </w:rPr>
        <w:t xml:space="preserve">The result shows that leading countries barely have any industries with positive opportunity gain. In other words, those countries are already in the most stable and efficient economic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Kuwait shares the characters of developing countries, with a balanced economics structure that leans towards intermediate-level industries. </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a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E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Services and Utilities</w:t>
            </w:r>
          </w:p>
        </w:tc>
      </w:tr>
    </w:tbl>
    <w:p w:rsidR="00000000" w:rsidDel="00000000" w:rsidP="00000000" w:rsidRDefault="00000000" w:rsidRPr="00000000" w14:paraId="000001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Products Labeling</w:t>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Kuwait in 2013. We can see that for different percentages of heuristic total export growth, the ECIs of Kuwait have different amounts of increments. A 5% export growth results in an ECI improvement pattern of around -1.999 and ends at around 0.361. The ECI improvement pattern is similarly positive for a bit and then plateaus for export growth of 10%, 15%, and 20%. In particular, the ECI for 10% export growth ends at around 0.374. For the 15% growth budget, the ECI of Kuwait ends at around 0.359, and for the 20% growth budget, the ECI ends at around 0.871.</w:t>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case of 5 percent export growth, Services and Utilities accounts for the majority of the portfolio</w:t>
      </w:r>
      <w:r w:rsidDel="00000000" w:rsidR="00000000" w:rsidRPr="00000000">
        <w:rPr>
          <w:rFonts w:ascii="Times New Roman" w:cs="Times New Roman" w:eastAsia="Times New Roman" w:hAnsi="Times New Roman"/>
          <w:sz w:val="24"/>
          <w:szCs w:val="24"/>
          <w:rtl w:val="0"/>
        </w:rPr>
        <w:t xml:space="preserve">. For 10 percent export growth, more weight is awarded to Weapons, suggesting that with a low economic improvement anticipation, Finland should focus more on developing this industry. Going to 15 percent export growth, we see that Wood Products is now the heavily recommended strategy, while 20 percent growth recommends the majority in Machinery and Construction. Thus, there is a very different distribution for each level of export growth. A more detailed numerical representation of the portfolio is shown in Table 8.</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31" name="image28.jpg"/>
            <a:graphic>
              <a:graphicData uri="http://schemas.openxmlformats.org/drawingml/2006/picture">
                <pic:pic>
                  <pic:nvPicPr>
                    <pic:cNvPr id="0" name="image28.jpg"/>
                    <pic:cNvPicPr preferRelativeResize="0"/>
                  </pic:nvPicPr>
                  <pic:blipFill>
                    <a:blip r:embed="rId1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21" name="image25.jpg"/>
            <a:graphic>
              <a:graphicData uri="http://schemas.openxmlformats.org/drawingml/2006/picture">
                <pic:pic>
                  <pic:nvPicPr>
                    <pic:cNvPr id="0" name="image25.jpg"/>
                    <pic:cNvPicPr preferRelativeResize="0"/>
                  </pic:nvPicPr>
                  <pic:blipFill>
                    <a:blip r:embed="rId1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Greedy Based ECI Improvement Results of Kuwait in 2013 with Different Budgets</w:t>
      </w:r>
    </w:p>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7"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Portfolio of Kuwait in 2013</w:t>
      </w:r>
    </w:p>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development in the future, we also offer the optimization result of Kuwait based on export data in 2018. Below is the economic panel for Kuwait in 2018. </w:t>
      </w:r>
      <w:r w:rsidDel="00000000" w:rsidR="00000000" w:rsidRPr="00000000">
        <w:rPr>
          <w:rFonts w:ascii="Times New Roman" w:cs="Times New Roman" w:eastAsia="Times New Roman" w:hAnsi="Times New Roman"/>
          <w:sz w:val="24"/>
          <w:szCs w:val="24"/>
          <w:rtl w:val="0"/>
        </w:rPr>
        <w:t xml:space="preserve">We can see that there is a similar pattern for the ECI improvement trajectories, but the growth trajectories do not plateau as they did previously, instead continuing to trend upwards continuously for all percentages of growth. Also, we notice that the main components that result in ECI improvements are not similar. For a 5 percent export growth, the improvement is now concentrated in Raw Manufacturing, while for 10, 15, and 20 percent growth, it is increasingly concentrated in Chemical Manufacturing and Daily Instruments. A more detailed numerical representation of the portfolio is shown in Table 9. </w:t>
      </w:r>
    </w:p>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3"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66900"/>
            <wp:effectExtent b="0" l="0" r="0" t="0"/>
            <wp:docPr id="26" name="image23.jpg"/>
            <a:graphic>
              <a:graphicData uri="http://schemas.openxmlformats.org/drawingml/2006/picture">
                <pic:pic>
                  <pic:nvPicPr>
                    <pic:cNvPr id="0" name="image23.jpg"/>
                    <pic:cNvPicPr preferRelativeResize="0"/>
                  </pic:nvPicPr>
                  <pic:blipFill>
                    <a:blip r:embed="rId2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Greedy Based ECI Improvement Results of Kuwait in 2018 with Different Budgets</w:t>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2295243"/>
            <wp:effectExtent b="0" l="0" r="0" t="0"/>
            <wp:docPr id="25"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5367338" cy="229524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Portfolio of Kuwait in 2018</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Kuwait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w:t>
      </w:r>
      <w:r w:rsidDel="00000000" w:rsidR="00000000" w:rsidRPr="00000000">
        <w:rPr>
          <w:rFonts w:ascii="Times New Roman" w:cs="Times New Roman" w:eastAsia="Times New Roman" w:hAnsi="Times New Roman"/>
          <w:sz w:val="24"/>
          <w:szCs w:val="24"/>
          <w:rtl w:val="0"/>
        </w:rPr>
        <w:t xml:space="preserve">shocking</w:t>
      </w:r>
      <w:r w:rsidDel="00000000" w:rsidR="00000000" w:rsidRPr="00000000">
        <w:rPr>
          <w:rFonts w:ascii="Times New Roman" w:cs="Times New Roman" w:eastAsia="Times New Roman" w:hAnsi="Times New Roman"/>
          <w:sz w:val="24"/>
          <w:szCs w:val="24"/>
          <w:rtl w:val="0"/>
        </w:rPr>
        <w:t xml:space="preserve">.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0188" cy="2519630"/>
            <wp:effectExtent b="0" l="0" r="0" t="0"/>
            <wp:docPr id="4" name="image4.jpg"/>
            <a:graphic>
              <a:graphicData uri="http://schemas.openxmlformats.org/drawingml/2006/picture">
                <pic:pic>
                  <pic:nvPicPr>
                    <pic:cNvPr id="0" name="image4.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3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2"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2989911"/>
            <wp:effectExtent b="0" l="0" r="0" t="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Contingency Strategy 2018</w:t>
      </w:r>
    </w:p>
    <w:p w:rsidR="00000000" w:rsidDel="00000000" w:rsidP="00000000" w:rsidRDefault="00000000" w:rsidRPr="00000000" w14:paraId="0000014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4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Kuwait’s 2013 ECI Sensitivity Charts. Firstly in the positive chart, we notice immediately that increases in High Complexity Products and Daily Instruments lead to an uptrend in ECI. In particular, Daily Instruments</w:t>
      </w:r>
      <w:r w:rsidDel="00000000" w:rsidR="00000000" w:rsidRPr="00000000">
        <w:rPr>
          <w:rFonts w:ascii="Times New Roman" w:cs="Times New Roman" w:eastAsia="Times New Roman" w:hAnsi="Times New Roman"/>
          <w:sz w:val="24"/>
          <w:szCs w:val="24"/>
          <w:rtl w:val="0"/>
        </w:rPr>
        <w:t xml:space="preserve"> offer the best ECI growth per unit of export increase. All other industries besides the two mentioned above tend to not greatly affect the ECI level making it fairly clear which industries to pursue. </w:t>
      </w:r>
    </w:p>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Next we consider Kuwait’s 2013 Negative Shock chart. We see that Kuwait’s ECI is not very highly sensitive to drawdowns in any particular category, but </w:t>
      </w:r>
      <w:r w:rsidDel="00000000" w:rsidR="00000000" w:rsidRPr="00000000">
        <w:rPr>
          <w:rFonts w:ascii="Times New Roman" w:cs="Times New Roman" w:eastAsia="Times New Roman" w:hAnsi="Times New Roman"/>
          <w:sz w:val="24"/>
          <w:szCs w:val="24"/>
          <w:rtl w:val="0"/>
        </w:rPr>
        <w:t xml:space="preserve">we see that large decreases in Energy Drilling and Mining seems to greatly increase the ECI score. </w:t>
      </w:r>
      <w:r w:rsidDel="00000000" w:rsidR="00000000" w:rsidRPr="00000000">
        <w:rPr>
          <w:rFonts w:ascii="Times New Roman" w:cs="Times New Roman" w:eastAsia="Times New Roman" w:hAnsi="Times New Roman"/>
          <w:sz w:val="24"/>
          <w:szCs w:val="24"/>
          <w:rtl w:val="0"/>
        </w:rPr>
        <w:t xml:space="preserve">These industries are very important industries for Kuwait’s economy and thus the results that are reflected in the chart may be suggesting that there is another industry that could be very beneficial for Kuwait that is far in proximity from the Energy Drilling and Mining industries.</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114675"/>
            <wp:effectExtent b="0" l="0" r="0" t="0"/>
            <wp:docPr id="20"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2959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(Incremental ECI Sensitivity)</w:t>
      </w:r>
      <w:r w:rsidDel="00000000" w:rsidR="00000000" w:rsidRPr="00000000">
        <w:rPr>
          <w:rtl w:val="0"/>
        </w:rPr>
      </w:r>
    </w:p>
    <w:p w:rsidR="00000000" w:rsidDel="00000000" w:rsidP="00000000" w:rsidRDefault="00000000" w:rsidRPr="00000000" w14:paraId="0000014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086100"/>
            <wp:effectExtent b="0" l="0" r="0" t="0"/>
            <wp:docPr id="15"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2959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(Decremental ECI Sensitivity)</w:t>
      </w:r>
    </w:p>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2018 ECI Sensitivity graphs. We see that in the positive shocking case, the landscape of ECI sensitivity has altered a bit over the five year period. Daily Instruments still seem to offer positive ECI growth prospects, and Kuwait is sensitive to negative ECI growth due to Energy Drilling and Mining.</w:t>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2018 negative shocking case, we see that Kuwait is sensitive to drawdowns in Chemicals and would benefit in ECI growth from Energy Drilling and Mining.</w:t>
      </w: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6"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(Incremental ECI Sensitivity)</w:t>
      </w:r>
    </w:p>
    <w:p w:rsidR="00000000" w:rsidDel="00000000" w:rsidP="00000000" w:rsidRDefault="00000000" w:rsidRPr="00000000" w14:paraId="00000155">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29" name="image29.jpg"/>
            <a:graphic>
              <a:graphicData uri="http://schemas.openxmlformats.org/drawingml/2006/picture">
                <pic:pic>
                  <pic:nvPicPr>
                    <pic:cNvPr id="0" name="image29.jp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(Decremental ECI Sensitivity)</w:t>
      </w:r>
    </w:p>
    <w:p w:rsidR="00000000" w:rsidDel="00000000" w:rsidP="00000000" w:rsidRDefault="00000000" w:rsidRPr="00000000" w14:paraId="0000015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Energy Drilling and Mining. We see that increasing the export of </w:t>
      </w:r>
      <w:r w:rsidDel="00000000" w:rsidR="00000000" w:rsidRPr="00000000">
        <w:rPr>
          <w:rFonts w:ascii="Times New Roman" w:cs="Times New Roman" w:eastAsia="Times New Roman" w:hAnsi="Times New Roman"/>
          <w:sz w:val="24"/>
          <w:szCs w:val="24"/>
          <w:rtl w:val="0"/>
        </w:rPr>
        <w:t xml:space="preserve">Energy Drilling and Mining opens up many positive opportunity gain industries for Kuwait to move into. </w:t>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negative </w:t>
      </w:r>
      <w:r w:rsidDel="00000000" w:rsidR="00000000" w:rsidRPr="00000000">
        <w:rPr>
          <w:rFonts w:ascii="Times New Roman" w:cs="Times New Roman" w:eastAsia="Times New Roman" w:hAnsi="Times New Roman"/>
          <w:sz w:val="24"/>
          <w:szCs w:val="24"/>
          <w:rtl w:val="0"/>
        </w:rPr>
        <w:t xml:space="preserve">Energy Drilling and Mining SDV chart, we see that as we decrease the export of Energy Drilling and Mining products, the exact opposite happens. The number of industries with positive opportunity gain shrink suggesting that the opportunities available to Kuwait are highly dependent on its Energy Drilling and Mining footprint.</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w:t>
      </w:r>
      <w:r w:rsidDel="00000000" w:rsidR="00000000" w:rsidRPr="00000000">
        <w:rPr>
          <w:rFonts w:ascii="Times New Roman" w:cs="Times New Roman" w:eastAsia="Times New Roman" w:hAnsi="Times New Roman"/>
          <w:sz w:val="24"/>
          <w:szCs w:val="24"/>
          <w:rtl w:val="0"/>
        </w:rPr>
        <w:t xml:space="preserve">Food and Preparations, Kuwait </w:t>
      </w:r>
      <w:r w:rsidDel="00000000" w:rsidR="00000000" w:rsidRPr="00000000">
        <w:rPr>
          <w:rFonts w:ascii="Times New Roman" w:cs="Times New Roman" w:eastAsia="Times New Roman" w:hAnsi="Times New Roman"/>
          <w:sz w:val="24"/>
          <w:szCs w:val="24"/>
          <w:rtl w:val="0"/>
        </w:rPr>
        <w:t xml:space="preserve">seems to be mostly insensitive to this industry suggesting that this is not an important industry in terms of the stability of its SDV. </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71938" cy="3924025"/>
            <wp:effectExtent b="0" l="0" r="0" t="0"/>
            <wp:docPr id="16" name="image26.jpg"/>
            <a:graphic>
              <a:graphicData uri="http://schemas.openxmlformats.org/drawingml/2006/picture">
                <pic:pic>
                  <pic:nvPicPr>
                    <pic:cNvPr id="0" name="image26.jpg"/>
                    <pic:cNvPicPr preferRelativeResize="0"/>
                  </pic:nvPicPr>
                  <pic:blipFill>
                    <a:blip r:embed="rId30"/>
                    <a:srcRect b="0" l="0" r="0" t="0"/>
                    <a:stretch>
                      <a:fillRect/>
                    </a:stretch>
                  </pic:blipFill>
                  <pic:spPr>
                    <a:xfrm>
                      <a:off x="0" y="0"/>
                      <a:ext cx="4071938" cy="39240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High-complexity Products 2018 (Incremental SDV Sensitivity)</w:t>
      </w:r>
    </w:p>
    <w:p w:rsidR="00000000" w:rsidDel="00000000" w:rsidP="00000000" w:rsidRDefault="00000000" w:rsidRPr="00000000" w14:paraId="00000164">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65">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66">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8800"/>
            <wp:effectExtent b="0" l="0" r="0" t="0"/>
            <wp:docPr id="8" name="image31.jpg"/>
            <a:graphic>
              <a:graphicData uri="http://schemas.openxmlformats.org/drawingml/2006/picture">
                <pic:pic>
                  <pic:nvPicPr>
                    <pic:cNvPr id="0" name="image31.jpg"/>
                    <pic:cNvPicPr preferRelativeResize="0"/>
                  </pic:nvPicPr>
                  <pic:blipFill>
                    <a:blip r:embed="rId3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 High-complexity Products 2018 (Decremental SDV Sensitivity)</w:t>
      </w:r>
    </w:p>
    <w:p w:rsidR="00000000" w:rsidDel="00000000" w:rsidP="00000000" w:rsidRDefault="00000000" w:rsidRPr="00000000" w14:paraId="00000168">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9938" cy="5552153"/>
            <wp:effectExtent b="0" l="0" r="0" t="0"/>
            <wp:docPr id="14" name="image19.jpg"/>
            <a:graphic>
              <a:graphicData uri="http://schemas.openxmlformats.org/drawingml/2006/picture">
                <pic:pic>
                  <pic:nvPicPr>
                    <pic:cNvPr id="0" name="image19.jpg"/>
                    <pic:cNvPicPr preferRelativeResize="0"/>
                  </pic:nvPicPr>
                  <pic:blipFill>
                    <a:blip r:embed="rId32"/>
                    <a:srcRect b="0" l="0" r="0" t="0"/>
                    <a:stretch>
                      <a:fillRect/>
                    </a:stretch>
                  </pic:blipFill>
                  <pic:spPr>
                    <a:xfrm>
                      <a:off x="0" y="0"/>
                      <a:ext cx="3309938" cy="555215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 Chemicals 2018 (Incremental SDV Sensitivity)</w:t>
      </w:r>
      <w:r w:rsidDel="00000000" w:rsidR="00000000" w:rsidRPr="00000000">
        <w:rPr>
          <w:rtl w:val="0"/>
        </w:rPr>
      </w:r>
    </w:p>
    <w:p w:rsidR="00000000" w:rsidDel="00000000" w:rsidP="00000000" w:rsidRDefault="00000000" w:rsidRPr="00000000" w14:paraId="00000174">
      <w:pPr>
        <w:spacing w:line="24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75">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5409" cy="5074485"/>
            <wp:effectExtent b="0" l="0" r="0" t="0"/>
            <wp:docPr id="30" name="image27.jpg"/>
            <a:graphic>
              <a:graphicData uri="http://schemas.openxmlformats.org/drawingml/2006/picture">
                <pic:pic>
                  <pic:nvPicPr>
                    <pic:cNvPr id="0" name="image27.jpg"/>
                    <pic:cNvPicPr preferRelativeResize="0"/>
                  </pic:nvPicPr>
                  <pic:blipFill>
                    <a:blip r:embed="rId33"/>
                    <a:srcRect b="0" l="0" r="0" t="0"/>
                    <a:stretch>
                      <a:fillRect/>
                    </a:stretch>
                  </pic:blipFill>
                  <pic:spPr>
                    <a:xfrm>
                      <a:off x="0" y="0"/>
                      <a:ext cx="5115409" cy="50744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Kuwait Chemicals</w:t>
      </w:r>
      <w:r w:rsidDel="00000000" w:rsidR="00000000" w:rsidRPr="00000000">
        <w:rPr>
          <w:rFonts w:ascii="Times New Roman" w:cs="Times New Roman" w:eastAsia="Times New Roman" w:hAnsi="Times New Roman"/>
          <w:sz w:val="24"/>
          <w:szCs w:val="24"/>
          <w:rtl w:val="0"/>
        </w:rPr>
        <w:t xml:space="preserve"> 2018 (Decremental SDV Sensitivity)</w:t>
      </w:r>
    </w:p>
    <w:p w:rsidR="00000000" w:rsidDel="00000000" w:rsidP="00000000" w:rsidRDefault="00000000" w:rsidRPr="00000000" w14:paraId="0000017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Contingency Strategy</w:t>
      </w:r>
    </w:p>
    <w:p w:rsidR="00000000" w:rsidDel="00000000" w:rsidP="00000000" w:rsidRDefault="00000000" w:rsidRPr="00000000" w14:paraId="0000017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Decreasing export of each industry in Kuwait’s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91125" cy="2724150"/>
            <wp:effectExtent b="0" l="0" r="0" t="0"/>
            <wp:docPr id="3"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5191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Kuwait</w:t>
      </w:r>
      <w:r w:rsidDel="00000000" w:rsidR="00000000" w:rsidRPr="00000000">
        <w:rPr>
          <w:rFonts w:ascii="Times New Roman" w:cs="Times New Roman" w:eastAsia="Times New Roman" w:hAnsi="Times New Roman"/>
          <w:rtl w:val="0"/>
        </w:rPr>
        <w:t xml:space="preserve"> Contingency Strategy 2018</w:t>
      </w:r>
    </w:p>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1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Kuwait and Its Implications</w:t>
      </w:r>
    </w:p>
    <w:p w:rsidR="00000000" w:rsidDel="00000000" w:rsidP="00000000" w:rsidRDefault="00000000" w:rsidRPr="00000000" w14:paraId="000001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instance, has a </w:t>
      </w: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level of structural optimality as compared with its developed peers. As the regression in Figure 7 suggests (the orange curve represents export increase and the blue curve stands for opportunity gain of the corresponding industry), Kuwait demonstrates a </w:t>
      </w:r>
      <w:r w:rsidDel="00000000" w:rsidR="00000000" w:rsidRPr="00000000">
        <w:rPr>
          <w:rFonts w:ascii="Times New Roman" w:cs="Times New Roman" w:eastAsia="Times New Roman" w:hAnsi="Times New Roman"/>
          <w:sz w:val="24"/>
          <w:szCs w:val="24"/>
          <w:rtl w:val="0"/>
        </w:rPr>
        <w:t xml:space="preserve">low level of correlation</w:t>
      </w:r>
      <w:r w:rsidDel="00000000" w:rsidR="00000000" w:rsidRPr="00000000">
        <w:rPr>
          <w:rFonts w:ascii="Times New Roman" w:cs="Times New Roman" w:eastAsia="Times New Roman" w:hAnsi="Times New Roman"/>
          <w:sz w:val="24"/>
          <w:szCs w:val="24"/>
          <w:rtl w:val="0"/>
        </w:rPr>
        <w:t xml:space="preserve"> with the suggested developmental path, having an adjusted R-square of around 5.38%. </w:t>
      </w:r>
      <w:r w:rsidDel="00000000" w:rsidR="00000000" w:rsidRPr="00000000">
        <w:rPr>
          <w:rFonts w:ascii="Times New Roman" w:cs="Times New Roman" w:eastAsia="Times New Roman" w:hAnsi="Times New Roman"/>
          <w:sz w:val="24"/>
          <w:szCs w:val="24"/>
          <w:rtl w:val="0"/>
        </w:rPr>
        <w:t xml:space="preserve">Kuwait ranks in the lower quartile</w:t>
      </w:r>
      <w:r w:rsidDel="00000000" w:rsidR="00000000" w:rsidRPr="00000000">
        <w:rPr>
          <w:rFonts w:ascii="Times New Roman" w:cs="Times New Roman" w:eastAsia="Times New Roman" w:hAnsi="Times New Roman"/>
          <w:sz w:val="24"/>
          <w:szCs w:val="24"/>
          <w:rtl w:val="0"/>
        </w:rPr>
        <w:t xml:space="preserve"> among all countries in terms of SOI and has made a low rate of economic progress below its developed peers from 2013 to 2018 with a 5-year GDP growth rate of 1.54%, which is consistent with the regression result in Figure 6. This is in direct contrast to other developed economies such as Japan, where there is low SOI of around -5.7% and a corresponding GDP growth of 9.05% from 2013 to 2018, making Kuwait a much slower developing economy during the period. In sum, Kuwait’s </w:t>
      </w:r>
      <w:r w:rsidDel="00000000" w:rsidR="00000000" w:rsidRPr="00000000">
        <w:rPr>
          <w:rFonts w:ascii="Times New Roman" w:cs="Times New Roman" w:eastAsia="Times New Roman" w:hAnsi="Times New Roman"/>
          <w:sz w:val="24"/>
          <w:szCs w:val="24"/>
          <w:rtl w:val="0"/>
        </w:rPr>
        <w:t xml:space="preserve">mixed economic progress</w:t>
      </w:r>
      <w:r w:rsidDel="00000000" w:rsidR="00000000" w:rsidRPr="00000000">
        <w:rPr>
          <w:rFonts w:ascii="Times New Roman" w:cs="Times New Roman" w:eastAsia="Times New Roman" w:hAnsi="Times New Roman"/>
          <w:sz w:val="24"/>
          <w:szCs w:val="24"/>
          <w:rtl w:val="0"/>
        </w:rPr>
        <w:t xml:space="preserve"> from 2013 to 2018 can be at least partially explained by a development strategy that demonstrates a </w:t>
      </w:r>
      <w:r w:rsidDel="00000000" w:rsidR="00000000" w:rsidRPr="00000000">
        <w:rPr>
          <w:rFonts w:ascii="Times New Roman" w:cs="Times New Roman" w:eastAsia="Times New Roman" w:hAnsi="Times New Roman"/>
          <w:sz w:val="24"/>
          <w:szCs w:val="24"/>
          <w:rtl w:val="0"/>
        </w:rPr>
        <w:t xml:space="preserve">suboptimal level of matches</w:t>
      </w:r>
      <w:r w:rsidDel="00000000" w:rsidR="00000000" w:rsidRPr="00000000">
        <w:rPr>
          <w:rFonts w:ascii="Times New Roman" w:cs="Times New Roman" w:eastAsia="Times New Roman" w:hAnsi="Times New Roman"/>
          <w:sz w:val="24"/>
          <w:szCs w:val="24"/>
          <w:rtl w:val="0"/>
        </w:rPr>
        <w:t xml:space="preserve"> with our suggested developmental path. In specific, </w:t>
      </w:r>
      <w:r w:rsidDel="00000000" w:rsidR="00000000" w:rsidRPr="00000000">
        <w:rPr>
          <w:rFonts w:ascii="Times New Roman" w:cs="Times New Roman" w:eastAsia="Times New Roman" w:hAnsi="Times New Roman"/>
          <w:sz w:val="24"/>
          <w:szCs w:val="24"/>
          <w:rtl w:val="0"/>
        </w:rPr>
        <w:t xml:space="preserve">Kuwait invested heavily in the Chemicals and Raw Manufacturing industry, while it should have focused more on more complex industry groups such as Energy Drilling and Mining. That being said, it stayed fairly in line with our expectations in the Precious Stones industry.</w:t>
      </w:r>
    </w:p>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13" name="image8.jpg"/>
            <a:graphic>
              <a:graphicData uri="http://schemas.openxmlformats.org/drawingml/2006/picture">
                <pic:pic>
                  <pic:nvPicPr>
                    <pic:cNvPr id="0" name="image8.jpg"/>
                    <pic:cNvPicPr preferRelativeResize="0"/>
                  </pic:nvPicPr>
                  <pic:blipFill>
                    <a:blip r:embed="rId3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Kuwait (2013-2018)</w:t>
      </w: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Kuwait has demonstrated a moderately low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we believe, can be partially explained through analysis of the economic and product complexity structure of Kuwaiton the industry group level. The product classification system we adopt allows us to measure the realized industry development for various industry groups and to observe that Kuwait </w:t>
      </w:r>
      <w:r w:rsidDel="00000000" w:rsidR="00000000" w:rsidRPr="00000000">
        <w:rPr>
          <w:rFonts w:ascii="Times New Roman" w:cs="Times New Roman" w:eastAsia="Times New Roman" w:hAnsi="Times New Roman"/>
          <w:sz w:val="24"/>
          <w:szCs w:val="24"/>
          <w:rtl w:val="0"/>
        </w:rPr>
        <w:t xml:space="preserve">consistently relied on developing the Energy Drilling and Mining industry during the period</w:t>
      </w:r>
      <w:r w:rsidDel="00000000" w:rsidR="00000000" w:rsidRPr="00000000">
        <w:rPr>
          <w:rFonts w:ascii="Times New Roman" w:cs="Times New Roman" w:eastAsia="Times New Roman" w:hAnsi="Times New Roman"/>
          <w:sz w:val="24"/>
          <w:szCs w:val="24"/>
          <w:rtl w:val="0"/>
        </w:rPr>
        <w:t xml:space="preserve">, while its developed counterparts and emerging economies around the globe have adopted much more complex and progressive paths. </w:t>
      </w:r>
    </w:p>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 can further its gains by prioritizing Chemical Manufacturing and Daily Instruments. </w:t>
      </w:r>
      <w:r w:rsidDel="00000000" w:rsidR="00000000" w:rsidRPr="00000000">
        <w:rPr>
          <w:rFonts w:ascii="Times New Roman" w:cs="Times New Roman" w:eastAsia="Times New Roman" w:hAnsi="Times New Roman"/>
          <w:sz w:val="24"/>
          <w:szCs w:val="24"/>
          <w:rtl w:val="0"/>
        </w:rPr>
        <w:t xml:space="preserve">We further note that Kuwait has a slightly mismatched development strategy that indicates a </w:t>
      </w:r>
      <w:r w:rsidDel="00000000" w:rsidR="00000000" w:rsidRPr="00000000">
        <w:rPr>
          <w:rFonts w:ascii="Times New Roman" w:cs="Times New Roman" w:eastAsia="Times New Roman" w:hAnsi="Times New Roman"/>
          <w:sz w:val="24"/>
          <w:szCs w:val="24"/>
          <w:rtl w:val="0"/>
        </w:rPr>
        <w:t xml:space="preserve">moderately low (compared to other developed countries) level of structural optimality on the complexity level, having an adjusted R-square of around 0.64%.</w:t>
      </w:r>
      <w:r w:rsidDel="00000000" w:rsidR="00000000" w:rsidRPr="00000000">
        <w:rPr>
          <w:rFonts w:ascii="Times New Roman" w:cs="Times New Roman" w:eastAsia="Times New Roman" w:hAnsi="Times New Roman"/>
          <w:sz w:val="24"/>
          <w:szCs w:val="24"/>
          <w:rtl w:val="0"/>
        </w:rPr>
        <w:t xml:space="preserve"> Since a significant positive correlation exists between five-year GDP growth and the structural optimality index of an economy as we define and calculate, Kuwait,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A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24.jpg"/><Relationship Id="rId21" Type="http://schemas.openxmlformats.org/officeDocument/2006/relationships/image" Target="media/image23.jpg"/><Relationship Id="rId24" Type="http://schemas.openxmlformats.org/officeDocument/2006/relationships/image" Target="media/image5.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9.jpg"/><Relationship Id="rId25" Type="http://schemas.openxmlformats.org/officeDocument/2006/relationships/image" Target="media/image1.jpg"/><Relationship Id="rId28" Type="http://schemas.openxmlformats.org/officeDocument/2006/relationships/image" Target="media/image16.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9.jpg"/><Relationship Id="rId7" Type="http://schemas.openxmlformats.org/officeDocument/2006/relationships/image" Target="media/image30.png"/><Relationship Id="rId8" Type="http://schemas.openxmlformats.org/officeDocument/2006/relationships/image" Target="media/image11.jpg"/><Relationship Id="rId31" Type="http://schemas.openxmlformats.org/officeDocument/2006/relationships/image" Target="media/image31.jpg"/><Relationship Id="rId30" Type="http://schemas.openxmlformats.org/officeDocument/2006/relationships/image" Target="media/image26.jpg"/><Relationship Id="rId11" Type="http://schemas.openxmlformats.org/officeDocument/2006/relationships/image" Target="media/image20.jpg"/><Relationship Id="rId33" Type="http://schemas.openxmlformats.org/officeDocument/2006/relationships/image" Target="media/image27.jpg"/><Relationship Id="rId10" Type="http://schemas.openxmlformats.org/officeDocument/2006/relationships/image" Target="media/image7.jpg"/><Relationship Id="rId32" Type="http://schemas.openxmlformats.org/officeDocument/2006/relationships/image" Target="media/image19.jpg"/><Relationship Id="rId13" Type="http://schemas.openxmlformats.org/officeDocument/2006/relationships/image" Target="media/image21.jpg"/><Relationship Id="rId35" Type="http://schemas.openxmlformats.org/officeDocument/2006/relationships/image" Target="media/image3.png"/><Relationship Id="rId12" Type="http://schemas.openxmlformats.org/officeDocument/2006/relationships/image" Target="media/image15.jpg"/><Relationship Id="rId34" Type="http://schemas.openxmlformats.org/officeDocument/2006/relationships/image" Target="media/image10.jpg"/><Relationship Id="rId15" Type="http://schemas.openxmlformats.org/officeDocument/2006/relationships/image" Target="media/image2.png"/><Relationship Id="rId14" Type="http://schemas.openxmlformats.org/officeDocument/2006/relationships/image" Target="media/image6.png"/><Relationship Id="rId36" Type="http://schemas.openxmlformats.org/officeDocument/2006/relationships/image" Target="media/image8.jpg"/><Relationship Id="rId17" Type="http://schemas.openxmlformats.org/officeDocument/2006/relationships/image" Target="media/image28.jpg"/><Relationship Id="rId16" Type="http://schemas.openxmlformats.org/officeDocument/2006/relationships/image" Target="media/image17.png"/><Relationship Id="rId19" Type="http://schemas.openxmlformats.org/officeDocument/2006/relationships/image" Target="media/image13.jpg"/><Relationship Id="rId18"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