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4" name="image5.png"/>
            <a:graphic>
              <a:graphicData uri="http://schemas.openxmlformats.org/drawingml/2006/picture">
                <pic:pic>
                  <pic:nvPicPr>
                    <pic:cNvPr descr="horizontal line" id="0" name="image5.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6" name="image17.png"/>
            <a:graphic>
              <a:graphicData uri="http://schemas.openxmlformats.org/drawingml/2006/picture">
                <pic:pic>
                  <pic:nvPicPr>
                    <pic:cNvPr id="0" name="image17.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Myanmar</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 Alex Chung, Kelly Mi</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Myanmar</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Myanmar went through during the period from 2013 to 2018. Specifically, we dive into the topic through a macroeconomic overview of Myanmar from the perspective of Gross Domestic Product (GDP) and Economic Complexity Index (ECI), which reflect countries’ production capability and production structure, respectively. We find that during the period of our interest, Myanmar demonstrated a moderate level of economic growth with an average annual GDP growth rate of 7.09%, concurrent with a decrease in economic complexity as compared with other major developed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Myanmar on the industry group level. The product classification system we adopt allows us to measure the realized industry development for various industry groups and to observe that Myanmar</w:t>
      </w:r>
      <w:r w:rsidDel="00000000" w:rsidR="00000000" w:rsidRPr="00000000">
        <w:rPr>
          <w:rtl w:val="0"/>
        </w:rPr>
        <w:t xml:space="preserve"> consistently relied on developing the Metals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Myanmar can further its gains by prioritizing Textiles, Wood Products, or Daily Instruments. We further note that Myanmar has a slightly mismatched development strategy that indicates a moderate (compared to other developed countries) level of structural optimality on the complexity level, having an adjusted R-square of around 7.51%. Since a significant positive correlation exists between five-year GDP growth and the structural optimality index of an economy as we define and calculate, Myanmar,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Myanmar went through during the period from 2013 to 2018. Specifically, we dive into the topic through a macroeconomic overview of Myanmar from the perspective of Gross Domestic Product (GDP) and Economic Complexity Index (ECI), which reflect countries’ production capability and production structure, respectively. We then analyze the industrial framework and changes of Myanmar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Myanmar,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Myanmar and three of its peer countries (Kuwait, Kazakhstan, Oman) from 2013-2018. Similar to most of the other countries, Myanmar generally displayed relatively steady positive growth over all years. Additionally, Myanmar’s average annual growth rate of 7.09% over the five-year period is at the top of its peers, which are 1.54%, 3.91%, and 3.88% for Kuwait, Kazakhstan, and Oman respectively.</w:t>
      </w:r>
    </w:p>
    <w:p w:rsidR="00000000" w:rsidDel="00000000" w:rsidP="00000000" w:rsidRDefault="00000000" w:rsidRPr="00000000" w14:paraId="0000001B">
      <w:pPr>
        <w:pageBreakBefore w:val="0"/>
        <w:jc w:val="center"/>
        <w:rPr/>
      </w:pPr>
      <w:r w:rsidDel="00000000" w:rsidR="00000000" w:rsidRPr="00000000">
        <w:rPr/>
        <w:drawing>
          <wp:inline distB="114300" distT="114300" distL="114300" distR="114300">
            <wp:extent cx="3773325" cy="2556654"/>
            <wp:effectExtent b="0" l="0" r="0" t="0"/>
            <wp:docPr id="2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773325" cy="255665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D">
      <w:pPr>
        <w:pageBreakBefore w:val="0"/>
        <w:jc w:val="center"/>
        <w:rPr/>
      </w:pPr>
      <w:r w:rsidDel="00000000" w:rsidR="00000000" w:rsidRPr="00000000">
        <w:rPr>
          <w:rtl w:val="0"/>
        </w:rPr>
      </w:r>
    </w:p>
    <w:p w:rsidR="00000000" w:rsidDel="00000000" w:rsidP="00000000" w:rsidRDefault="00000000" w:rsidRPr="00000000" w14:paraId="0000001E">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1F">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Myanmar. As illustrated in Figure 2 below, Myanmar (-64.32% ECI change) exhibited a decrease in terms of its production capability from 2013 to 2018, which is similar to Kazakhstan (-118.18%) and Oman (-440.13%), but different from Kuwait (70.41%). Ultimately, Myanmar is in the middle of the peer country set, as it displays the highest GDP growth rate and average ECI change across the period.</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drawing>
          <wp:inline distB="114300" distT="114300" distL="114300" distR="114300">
            <wp:extent cx="3751874" cy="2528888"/>
            <wp:effectExtent b="0" l="0" r="0" t="0"/>
            <wp:docPr id="1"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751874"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4">
      <w:pPr>
        <w:pageBreakBefore w:val="0"/>
        <w:jc w:val="center"/>
        <w:rPr/>
      </w:pP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3729038" cy="2304322"/>
            <wp:effectExtent b="0" l="0" r="0" t="0"/>
            <wp:docPr id="1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729038" cy="230432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6">
      <w:pPr>
        <w:pageBreakBefore w:val="0"/>
        <w:jc w:val="center"/>
        <w:rPr/>
      </w:pPr>
      <w:r w:rsidDel="00000000" w:rsidR="00000000" w:rsidRPr="00000000">
        <w:rPr>
          <w:rtl w:val="0"/>
        </w:rPr>
        <w:t xml:space="preserve"> Figure 3: GDP Growth and ECI (Myanmar)</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t xml:space="preserve">Figure 3 offers a further comparison of GDP Growth and ECI over the time span from 2013 to 2018 for Myanmar. The increase in GDP during the period from 2013 to 2018 is accompanied by a sharp decline in ECI. The results show that the economic growth experienced by Myanmar during the period from 2013 to 2018 is not very consistent with the predictions by ECI and Myanmar did not effectively make strides to develop a competitive product space that helps to accumulate complicated knowledge and technology. In order to provide a more concrete answer to why this has happened, we will dive into an analysis of Myanmar’s production structure and its product space designs in the next few chapters. </w:t>
      </w:r>
    </w:p>
    <w:p w:rsidR="00000000" w:rsidDel="00000000" w:rsidP="00000000" w:rsidRDefault="00000000" w:rsidRPr="00000000" w14:paraId="00000029">
      <w:pPr>
        <w:pageBreakBefore w:val="0"/>
        <w:jc w:val="both"/>
        <w:rPr>
          <w:b w:val="1"/>
          <w:bCs w:val="1"/>
        </w:rPr>
      </w:pPr>
      <w:r w:rsidDel="00000000" w:rsidR="00000000" w:rsidRPr="00000000">
        <w:rPr>
          <w:rtl w:val="0"/>
        </w:rPr>
      </w:r>
    </w:p>
    <w:p w:rsidR="00000000" w:rsidDel="00000000" w:rsidP="00000000" w:rsidRDefault="00000000" w:rsidRPr="00000000" w14:paraId="0000002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C">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2D">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0">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1">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2">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3">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4">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5">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1">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4D">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7">
      <w:pPr>
        <w:pageBreakBefore w:val="0"/>
        <w:jc w:val="both"/>
        <w:rPr/>
      </w:pPr>
      <w:r w:rsidDel="00000000" w:rsidR="00000000" w:rsidRPr="00000000">
        <w:rPr>
          <w:rtl w:val="0"/>
        </w:rPr>
      </w:r>
    </w:p>
    <w:p w:rsidR="00000000" w:rsidDel="00000000" w:rsidP="00000000" w:rsidRDefault="00000000" w:rsidRPr="00000000" w14:paraId="00000058">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9">
      <w:pPr>
        <w:pageBreakBefore w:val="0"/>
        <w:jc w:val="both"/>
        <w:rPr/>
      </w:pPr>
      <w:r w:rsidDel="00000000" w:rsidR="00000000" w:rsidRPr="00000000">
        <w:rPr>
          <w:rtl w:val="0"/>
        </w:rPr>
      </w:r>
    </w:p>
    <w:p w:rsidR="00000000" w:rsidDel="00000000" w:rsidP="00000000" w:rsidRDefault="00000000" w:rsidRPr="00000000" w14:paraId="0000005A">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D">
            <w:pPr>
              <w:pageBreakBefore w:val="0"/>
              <w:jc w:val="center"/>
              <w:rPr/>
            </w:pPr>
            <w:r w:rsidDel="00000000" w:rsidR="00000000" w:rsidRPr="00000000">
              <w:rPr>
                <w:rtl w:val="0"/>
              </w:rPr>
            </w:r>
          </w:p>
        </w:tc>
        <w:tc>
          <w:tcPr/>
          <w:p w:rsidR="00000000" w:rsidDel="00000000" w:rsidP="00000000" w:rsidRDefault="00000000" w:rsidRPr="00000000" w14:paraId="0000005E">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F">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0">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1">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2">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3">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4">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6">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7">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107</w:t>
            </w:r>
          </w:p>
        </w:tc>
      </w:tr>
    </w:tbl>
    <w:p w:rsidR="00000000" w:rsidDel="00000000" w:rsidP="00000000" w:rsidRDefault="00000000" w:rsidRPr="00000000" w14:paraId="0000006D">
      <w:pPr>
        <w:pageBreakBefore w:val="0"/>
        <w:jc w:val="center"/>
        <w:rPr/>
      </w:pPr>
      <w:r w:rsidDel="00000000" w:rsidR="00000000" w:rsidRPr="00000000">
        <w:rPr>
          <w:rtl w:val="0"/>
        </w:rPr>
      </w:r>
    </w:p>
    <w:p w:rsidR="00000000" w:rsidDel="00000000" w:rsidP="00000000" w:rsidRDefault="00000000" w:rsidRPr="00000000" w14:paraId="0000006E">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6F">
      <w:pPr>
        <w:pageBreakBefore w:val="0"/>
        <w:jc w:val="both"/>
        <w:rPr/>
      </w:pPr>
      <w:r w:rsidDel="00000000" w:rsidR="00000000" w:rsidRPr="00000000">
        <w:rPr>
          <w:rtl w:val="0"/>
        </w:rPr>
      </w:r>
    </w:p>
    <w:p w:rsidR="00000000" w:rsidDel="00000000" w:rsidP="00000000" w:rsidRDefault="00000000" w:rsidRPr="00000000" w14:paraId="00000070">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1">
            <w:pPr>
              <w:pageBreakBefore w:val="0"/>
              <w:jc w:val="center"/>
              <w:rPr/>
            </w:pPr>
            <w:r w:rsidDel="00000000" w:rsidR="00000000" w:rsidRPr="00000000">
              <w:rPr>
                <w:rtl w:val="0"/>
              </w:rPr>
            </w:r>
          </w:p>
        </w:tc>
        <w:tc>
          <w:tcPr/>
          <w:p w:rsidR="00000000" w:rsidDel="00000000" w:rsidP="00000000" w:rsidRDefault="00000000" w:rsidRPr="00000000" w14:paraId="0000007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6">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7">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8">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A">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B">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21</w:t>
            </w:r>
          </w:p>
        </w:tc>
      </w:tr>
    </w:tbl>
    <w:p w:rsidR="00000000" w:rsidDel="00000000" w:rsidP="00000000" w:rsidRDefault="00000000" w:rsidRPr="00000000" w14:paraId="00000081">
      <w:pPr>
        <w:pageBreakBefore w:val="0"/>
        <w:jc w:val="center"/>
        <w:rPr/>
      </w:pPr>
      <w:r w:rsidDel="00000000" w:rsidR="00000000" w:rsidRPr="00000000">
        <w:rPr>
          <w:rtl w:val="0"/>
        </w:rPr>
      </w:r>
    </w:p>
    <w:p w:rsidR="00000000" w:rsidDel="00000000" w:rsidP="00000000" w:rsidRDefault="00000000" w:rsidRPr="00000000" w14:paraId="00000082">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3">
      <w:pPr>
        <w:pageBreakBefore w:val="0"/>
        <w:jc w:val="center"/>
        <w:rPr>
          <w:sz w:val="20"/>
          <w:szCs w:val="20"/>
        </w:rPr>
      </w:pPr>
      <w:r w:rsidDel="00000000" w:rsidR="00000000" w:rsidRPr="00000000">
        <w:rPr>
          <w:rtl w:val="0"/>
        </w:rPr>
      </w:r>
    </w:p>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both"/>
        <w:rPr>
          <w:b w:val="1"/>
          <w:bCs w:val="1"/>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7">
      <w:pPr>
        <w:pageBreakBefore w:val="0"/>
        <w:jc w:val="both"/>
        <w:rPr/>
      </w:pPr>
      <w:r w:rsidDel="00000000" w:rsidR="00000000" w:rsidRPr="00000000">
        <w:rPr>
          <w:rtl w:val="0"/>
        </w:rPr>
        <w:t xml:space="preserve">Based on the product categorization aforementioned, we aim to capture Myanmar’s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8">
      <w:pPr>
        <w:pageBreakBefore w:val="0"/>
        <w:jc w:val="both"/>
        <w:rPr/>
      </w:pPr>
      <w:r w:rsidDel="00000000" w:rsidR="00000000" w:rsidRPr="00000000">
        <w:rPr>
          <w:rtl w:val="0"/>
        </w:rPr>
      </w:r>
    </w:p>
    <w:p w:rsidR="00000000" w:rsidDel="00000000" w:rsidP="00000000" w:rsidRDefault="00000000" w:rsidRPr="00000000" w14:paraId="00000089">
      <w:pPr>
        <w:pageBreakBefore w:val="0"/>
        <w:jc w:val="center"/>
        <w:rPr/>
      </w:pPr>
      <w:r w:rsidDel="00000000" w:rsidR="00000000" w:rsidRPr="00000000">
        <w:rPr/>
        <w:drawing>
          <wp:inline distB="114300" distT="114300" distL="114300" distR="114300">
            <wp:extent cx="2196938" cy="4361803"/>
            <wp:effectExtent b="0" l="0" r="0" t="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196938" cy="436180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jc w:val="center"/>
        <w:rPr/>
      </w:pPr>
      <w:r w:rsidDel="00000000" w:rsidR="00000000" w:rsidRPr="00000000">
        <w:rPr>
          <w:rtl w:val="0"/>
        </w:rPr>
        <w:t xml:space="preserve">Table 2: Realized Industry Development (RID) of Myanmar</w:t>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D">
      <w:pPr>
        <w:pageBreakBefore w:val="0"/>
        <w:jc w:val="both"/>
        <w:rPr/>
      </w:pPr>
      <w:r w:rsidDel="00000000" w:rsidR="00000000" w:rsidRPr="00000000">
        <w:rPr>
          <w:rtl w:val="0"/>
        </w:rPr>
        <w:t xml:space="preserve">Table 3 and 4 below summarize how the production strategy adopted by Myanmar compares with leading economies and a selected group of emerging economies in the world, as measured in RID. </w:t>
      </w:r>
    </w:p>
    <w:p w:rsidR="00000000" w:rsidDel="00000000" w:rsidP="00000000" w:rsidRDefault="00000000" w:rsidRPr="00000000" w14:paraId="0000008E">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F">
            <w:pPr>
              <w:pageBreakBefore w:val="0"/>
              <w:jc w:val="both"/>
              <w:rPr/>
            </w:pPr>
            <w:r w:rsidDel="00000000" w:rsidR="00000000" w:rsidRPr="00000000">
              <w:rPr>
                <w:rtl w:val="0"/>
              </w:rPr>
              <w:t xml:space="preserve">Ranking</w:t>
            </w:r>
          </w:p>
        </w:tc>
        <w:tc>
          <w:tcPr/>
          <w:p w:rsidR="00000000" w:rsidDel="00000000" w:rsidP="00000000" w:rsidRDefault="00000000" w:rsidRPr="00000000" w14:paraId="00000090">
            <w:pPr>
              <w:pageBreakBefore w:val="0"/>
              <w:jc w:val="both"/>
              <w:rPr/>
            </w:pPr>
            <w:r w:rsidDel="00000000" w:rsidR="00000000" w:rsidRPr="00000000">
              <w:rPr>
                <w:rtl w:val="0"/>
              </w:rPr>
              <w:t xml:space="preserve">France</w:t>
            </w:r>
          </w:p>
        </w:tc>
        <w:tc>
          <w:tcPr/>
          <w:p w:rsidR="00000000" w:rsidDel="00000000" w:rsidP="00000000" w:rsidRDefault="00000000" w:rsidRPr="00000000" w14:paraId="00000091">
            <w:pPr>
              <w:pageBreakBefore w:val="0"/>
              <w:jc w:val="both"/>
              <w:rPr/>
            </w:pPr>
            <w:r w:rsidDel="00000000" w:rsidR="00000000" w:rsidRPr="00000000">
              <w:rPr>
                <w:rtl w:val="0"/>
              </w:rPr>
              <w:t xml:space="preserve">US</w:t>
            </w:r>
          </w:p>
        </w:tc>
        <w:tc>
          <w:tcPr/>
          <w:p w:rsidR="00000000" w:rsidDel="00000000" w:rsidP="00000000" w:rsidRDefault="00000000" w:rsidRPr="00000000" w14:paraId="00000092">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5">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7">
      <w:pPr>
        <w:pageBreakBefore w:val="0"/>
        <w:jc w:val="center"/>
        <w:rPr/>
      </w:pPr>
      <w:r w:rsidDel="00000000" w:rsidR="00000000" w:rsidRPr="00000000">
        <w:rPr>
          <w:rtl w:val="0"/>
        </w:rPr>
      </w:r>
    </w:p>
    <w:p w:rsidR="00000000" w:rsidDel="00000000" w:rsidP="00000000" w:rsidRDefault="00000000" w:rsidRPr="00000000" w14:paraId="000000A8">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9">
      <w:pPr>
        <w:pageBreakBefore w:val="0"/>
        <w:jc w:val="center"/>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B">
            <w:pPr>
              <w:pageBreakBefore w:val="0"/>
              <w:jc w:val="both"/>
              <w:rPr/>
            </w:pPr>
            <w:r w:rsidDel="00000000" w:rsidR="00000000" w:rsidRPr="00000000">
              <w:rPr>
                <w:rtl w:val="0"/>
              </w:rPr>
              <w:t xml:space="preserve">Ranking</w:t>
            </w:r>
          </w:p>
        </w:tc>
        <w:tc>
          <w:tcPr/>
          <w:p w:rsidR="00000000" w:rsidDel="00000000" w:rsidP="00000000" w:rsidRDefault="00000000" w:rsidRPr="00000000" w14:paraId="000000AC">
            <w:pPr>
              <w:pageBreakBefore w:val="0"/>
              <w:jc w:val="both"/>
              <w:rPr/>
            </w:pPr>
            <w:r w:rsidDel="00000000" w:rsidR="00000000" w:rsidRPr="00000000">
              <w:rPr>
                <w:rtl w:val="0"/>
              </w:rPr>
              <w:t xml:space="preserve">China</w:t>
            </w:r>
          </w:p>
        </w:tc>
        <w:tc>
          <w:tcPr/>
          <w:p w:rsidR="00000000" w:rsidDel="00000000" w:rsidP="00000000" w:rsidRDefault="00000000" w:rsidRPr="00000000" w14:paraId="000000AD">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AE">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AF">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0">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1">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5">
      <w:pPr>
        <w:pageBreakBefore w:val="0"/>
        <w:jc w:val="both"/>
        <w:rPr/>
      </w:pPr>
      <w:r w:rsidDel="00000000" w:rsidR="00000000" w:rsidRPr="00000000">
        <w:rPr>
          <w:rtl w:val="0"/>
        </w:rPr>
      </w:r>
    </w:p>
    <w:p w:rsidR="00000000" w:rsidDel="00000000" w:rsidP="00000000" w:rsidRDefault="00000000" w:rsidRPr="00000000" w14:paraId="000000C6">
      <w:pPr>
        <w:pageBreakBefore w:val="0"/>
        <w:jc w:val="both"/>
        <w:rPr>
          <w:rFonts w:ascii="Times" w:cs="Times" w:eastAsia="Times" w:hAnsi="Times"/>
          <w:b w:val="1"/>
          <w:bCs w:val="1"/>
          <w:sz w:val="28"/>
          <w:szCs w:val="28"/>
        </w:rPr>
      </w:pPr>
      <w:r w:rsidDel="00000000" w:rsidR="00000000" w:rsidRPr="00000000">
        <w:rPr>
          <w:rtl w:val="0"/>
        </w:rPr>
        <w:t xml:space="preserve">Table 4 further examines Myanmar’s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7">
      <w:pPr>
        <w:pageBreakBefore w:val="0"/>
        <w:jc w:val="both"/>
        <w:rPr>
          <w:b w:val="1"/>
          <w:bCs w:val="1"/>
        </w:rPr>
      </w:pPr>
      <w:r w:rsidDel="00000000" w:rsidR="00000000" w:rsidRPr="00000000">
        <w:rPr>
          <w:rtl w:val="0"/>
        </w:rPr>
      </w:r>
    </w:p>
    <w:p w:rsidR="00000000" w:rsidDel="00000000" w:rsidP="00000000" w:rsidRDefault="00000000" w:rsidRPr="00000000" w14:paraId="000000C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A">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B">
      <w:pPr>
        <w:pageBreakBefore w:val="0"/>
        <w:jc w:val="both"/>
        <w:rPr>
          <w:b w:val="1"/>
          <w:bCs w:val="1"/>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r w:rsidDel="00000000" w:rsidR="00000000" w:rsidRPr="00000000">
        <w:rPr>
          <w:rtl w:val="0"/>
        </w:rPr>
      </w:r>
    </w:p>
    <w:p w:rsidR="00000000" w:rsidDel="00000000" w:rsidP="00000000" w:rsidRDefault="00000000" w:rsidRPr="00000000" w14:paraId="000000CC">
      <w:pPr>
        <w:pageBreakBefore w:val="0"/>
        <w:jc w:val="both"/>
        <w:rPr/>
      </w:pPr>
      <w:r w:rsidDel="00000000" w:rsidR="00000000" w:rsidRPr="00000000">
        <w:rPr>
          <w:rtl w:val="0"/>
        </w:rPr>
      </w:r>
    </w:p>
    <w:p w:rsidR="00000000" w:rsidDel="00000000" w:rsidP="00000000" w:rsidRDefault="00000000" w:rsidRPr="00000000" w14:paraId="000000CD">
      <w:pPr>
        <w:pageBreakBefore w:val="0"/>
        <w:jc w:val="center"/>
        <w:rPr/>
      </w:pPr>
      <w:r w:rsidDel="00000000" w:rsidR="00000000" w:rsidRPr="00000000">
        <w:rPr/>
        <w:drawing>
          <wp:inline distB="114300" distT="114300" distL="114300" distR="114300">
            <wp:extent cx="5731200" cy="2413000"/>
            <wp:effectExtent b="0" l="0" r="0" t="0"/>
            <wp:docPr id="1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jc w:val="center"/>
        <w:rPr/>
      </w:pPr>
      <w:r w:rsidDel="00000000" w:rsidR="00000000" w:rsidRPr="00000000">
        <w:rPr>
          <w:rtl w:val="0"/>
        </w:rPr>
        <w:t xml:space="preserve">   </w:t>
      </w:r>
    </w:p>
    <w:p w:rsidR="00000000" w:rsidDel="00000000" w:rsidP="00000000" w:rsidRDefault="00000000" w:rsidRPr="00000000" w14:paraId="000000CF">
      <w:pPr>
        <w:pageBreakBefore w:val="0"/>
        <w:jc w:val="center"/>
        <w:rPr/>
      </w:pPr>
      <w:r w:rsidDel="00000000" w:rsidR="00000000" w:rsidRPr="00000000">
        <w:rPr/>
        <w:drawing>
          <wp:inline distB="114300" distT="114300" distL="114300" distR="114300">
            <wp:extent cx="5731200" cy="2413000"/>
            <wp:effectExtent b="0" l="0" r="0" t="0"/>
            <wp:docPr id="3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0D1">
      <w:pPr>
        <w:pageBreakBefore w:val="0"/>
        <w:jc w:val="center"/>
        <w:rPr/>
      </w:pPr>
      <w:r w:rsidDel="00000000" w:rsidR="00000000" w:rsidRPr="00000000">
        <w:rPr>
          <w:rtl w:val="0"/>
        </w:rPr>
      </w:r>
    </w:p>
    <w:p w:rsidR="00000000" w:rsidDel="00000000" w:rsidP="00000000" w:rsidRDefault="00000000" w:rsidRPr="00000000" w14:paraId="000000D2">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Myanmar shares the characters of developing countries, with a balanced economics structure that leans towards intermediate-level industries. </w:t>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drawing>
          <wp:inline distB="114300" distT="114300" distL="114300" distR="114300">
            <wp:extent cx="5731200" cy="2387600"/>
            <wp:effectExtent b="0" l="0" r="0" t="0"/>
            <wp:docPr id="2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jc w:val="both"/>
        <w:rPr/>
      </w:pP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7">
      <w:pPr>
        <w:pageBreakBefore w:val="0"/>
        <w:jc w:val="center"/>
        <w:rPr/>
      </w:pPr>
      <w:r w:rsidDel="00000000" w:rsidR="00000000" w:rsidRPr="00000000">
        <w:rPr>
          <w:rtl w:val="0"/>
        </w:rPr>
      </w:r>
    </w:p>
    <w:p w:rsidR="00000000" w:rsidDel="00000000" w:rsidP="00000000" w:rsidRDefault="00000000" w:rsidRPr="00000000" w14:paraId="000000D8">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jc w:val="center"/>
        <w:rPr/>
      </w:pPr>
      <w:r w:rsidDel="00000000" w:rsidR="00000000" w:rsidRPr="00000000">
        <w:rPr/>
        <w:drawing>
          <wp:inline distB="114300" distT="114300" distL="114300" distR="114300">
            <wp:extent cx="2528888" cy="1141284"/>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rtl w:val="0"/>
        </w:rPr>
      </w:r>
    </w:p>
    <w:p w:rsidR="00000000" w:rsidDel="00000000" w:rsidP="00000000" w:rsidRDefault="00000000" w:rsidRPr="00000000" w14:paraId="000000DE">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DF">
      <w:pPr>
        <w:pageBreakBefore w:val="0"/>
        <w:jc w:val="both"/>
        <w:rPr/>
      </w:pPr>
      <w:r w:rsidDel="00000000" w:rsidR="00000000" w:rsidRPr="00000000">
        <w:rPr>
          <w:rtl w:val="0"/>
        </w:rPr>
        <w:t xml:space="preserve"> </w:t>
      </w:r>
    </w:p>
    <w:p w:rsidR="00000000" w:rsidDel="00000000" w:rsidP="00000000" w:rsidRDefault="00000000" w:rsidRPr="00000000" w14:paraId="000000E0">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1">
      <w:pPr>
        <w:pageBreakBefore w:val="0"/>
        <w:jc w:val="both"/>
        <w:rPr/>
      </w:pPr>
      <w:r w:rsidDel="00000000" w:rsidR="00000000" w:rsidRPr="00000000">
        <w:rPr>
          <w:rtl w:val="0"/>
        </w:rPr>
        <w:t xml:space="preserve"> </w:t>
      </w:r>
    </w:p>
    <w:p w:rsidR="00000000" w:rsidDel="00000000" w:rsidP="00000000" w:rsidRDefault="00000000" w:rsidRPr="00000000" w14:paraId="000000E2">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drawing>
          <wp:inline distB="114300" distT="114300" distL="114300" distR="114300">
            <wp:extent cx="2138363" cy="718630"/>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8">
      <w:pPr>
        <w:pageBreakBefore w:val="0"/>
        <w:rPr/>
      </w:pPr>
      <w:r w:rsidDel="00000000" w:rsidR="00000000" w:rsidRPr="00000000">
        <w:rPr>
          <w:rtl w:val="0"/>
        </w:rPr>
        <w:t xml:space="preserve"> </w:t>
      </w:r>
    </w:p>
    <w:p w:rsidR="00000000" w:rsidDel="00000000" w:rsidP="00000000" w:rsidRDefault="00000000" w:rsidRPr="00000000" w14:paraId="000000E9">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A">
      <w:pPr>
        <w:pageBreakBefore w:val="0"/>
        <w:jc w:val="both"/>
        <w:rPr>
          <w:b w:val="1"/>
          <w:bCs w:val="1"/>
        </w:rPr>
      </w:pPr>
      <w:r w:rsidDel="00000000" w:rsidR="00000000" w:rsidRPr="00000000">
        <w:rPr>
          <w:rtl w:val="0"/>
        </w:rPr>
      </w:r>
    </w:p>
    <w:p w:rsidR="00000000" w:rsidDel="00000000" w:rsidP="00000000" w:rsidRDefault="00000000" w:rsidRPr="00000000" w14:paraId="000000EB">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C">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ED">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EE">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5">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6">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7">
      <w:pPr>
        <w:pageBreakBefore w:val="0"/>
        <w:jc w:val="both"/>
        <w:rPr/>
      </w:pPr>
      <w:r w:rsidDel="00000000" w:rsidR="00000000" w:rsidRPr="00000000">
        <w:rPr>
          <w:rtl w:val="0"/>
        </w:rPr>
      </w:r>
    </w:p>
    <w:p w:rsidR="00000000" w:rsidDel="00000000" w:rsidP="00000000" w:rsidRDefault="00000000" w:rsidRPr="00000000" w14:paraId="00000118">
      <w:pPr>
        <w:pageBreakBefore w:val="0"/>
        <w:jc w:val="both"/>
        <w:rPr/>
      </w:pPr>
      <w:r w:rsidDel="00000000" w:rsidR="00000000" w:rsidRPr="00000000">
        <w:rPr>
          <w:rtl w:val="0"/>
        </w:rPr>
        <w:t xml:space="preserve">Below is the economic panel for Myanmar in 2013. We can see that for different percentages of heuristic total export growth, the ECIs of Myanmar have different amounts of increments. Overall, 5 </w:t>
      </w:r>
      <w:r w:rsidDel="00000000" w:rsidR="00000000" w:rsidRPr="00000000">
        <w:rPr>
          <w:rtl w:val="0"/>
        </w:rPr>
        <w:t xml:space="preserve">and 10 percent export growth result in a similar ECI improvement pattern, which starts from around -0.553 and ends at around -0.23 However, 15 and 20 percent export growth are able to result in more positive ECI improvement trajectories. For a 15 percent growth budget, ECI of Myanmar is able to end at around -0.09 while for a 20 percent budget, the increment is even more obvious, eventually achieving around 0.14, which enters the positive ECI range.  </w:t>
      </w:r>
      <w:r w:rsidDel="00000000" w:rsidR="00000000" w:rsidRPr="00000000">
        <w:rPr>
          <w:rtl w:val="0"/>
        </w:rPr>
      </w:r>
    </w:p>
    <w:p w:rsidR="00000000" w:rsidDel="00000000" w:rsidP="00000000" w:rsidRDefault="00000000" w:rsidRPr="00000000" w14:paraId="00000119">
      <w:pPr>
        <w:pageBreakBefore w:val="0"/>
        <w:jc w:val="both"/>
        <w:rPr/>
      </w:pPr>
      <w:r w:rsidDel="00000000" w:rsidR="00000000" w:rsidRPr="00000000">
        <w:rPr>
          <w:rtl w:val="0"/>
        </w:rPr>
        <w:t xml:space="preserve"> </w:t>
      </w:r>
    </w:p>
    <w:p w:rsidR="00000000" w:rsidDel="00000000" w:rsidP="00000000" w:rsidRDefault="00000000" w:rsidRPr="00000000" w14:paraId="0000011A">
      <w:pPr>
        <w:pageBreakBefore w:val="0"/>
        <w:jc w:val="both"/>
        <w:rPr/>
      </w:pPr>
      <w:r w:rsidDel="00000000" w:rsidR="00000000" w:rsidRPr="00000000">
        <w:rPr>
          <w:rtl w:val="0"/>
        </w:rPr>
        <w:t xml:space="preserve">For the case of 5 percent export growth, Chemicals and Wood Products account for most of the portfolio. For 10 percent export growth, in addition to the industries that we mentioned before, more weight is put on the Metal industry. For the case of 15 and 20 percent increment budgets, we realize that the development trajectories are in a relatively similar pattern except that there are a few additional steps when there are more budgets, and correspondingly new industries have more importance as well. Different from the previous two cases, in the 15 percent growth scenario the solutions suggest that Myanmar should invest more in Daily Instruments and Metals, while in the 20 percent growth scenario the solutions suggest that Myanmar should invest more in Machinery and Construction. This makes sense because with more budgets, a country should definitely focus more on the development of different product spaces. A more detailed numerical representation of the portfolio is shown in Table 8.</w:t>
      </w:r>
    </w:p>
    <w:p w:rsidR="00000000" w:rsidDel="00000000" w:rsidP="00000000" w:rsidRDefault="00000000" w:rsidRPr="00000000" w14:paraId="0000011B">
      <w:pPr>
        <w:pageBreakBefore w:val="0"/>
        <w:jc w:val="both"/>
        <w:rPr/>
      </w:pP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drawing>
          <wp:inline distB="114300" distT="114300" distL="114300" distR="114300">
            <wp:extent cx="5731200" cy="2870200"/>
            <wp:effectExtent b="0" l="0" r="0" t="0"/>
            <wp:docPr id="17"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2870200"/>
                    </a:xfrm>
                    <a:prstGeom prst="rect"/>
                    <a:ln/>
                  </pic:spPr>
                </pic:pic>
              </a:graphicData>
            </a:graphic>
          </wp:inline>
        </w:drawing>
      </w:r>
      <w:r w:rsidDel="00000000" w:rsidR="00000000" w:rsidRPr="00000000">
        <w:rPr/>
        <w:drawing>
          <wp:inline distB="114300" distT="114300" distL="114300" distR="114300">
            <wp:extent cx="5731200" cy="2159000"/>
            <wp:effectExtent b="0" l="0" r="0" t="0"/>
            <wp:docPr id="28"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ageBreakBefore w:val="0"/>
        <w:jc w:val="center"/>
        <w:rPr/>
      </w:pPr>
      <w:r w:rsidDel="00000000" w:rsidR="00000000" w:rsidRPr="00000000">
        <w:rPr>
          <w:rtl w:val="0"/>
        </w:rPr>
        <w:t xml:space="preserve">Figure 5: Greedy Based ECI Improvement Results of Myanmar in 2013 with Different Budgets</w:t>
      </w:r>
    </w:p>
    <w:p w:rsidR="00000000" w:rsidDel="00000000" w:rsidP="00000000" w:rsidRDefault="00000000" w:rsidRPr="00000000" w14:paraId="0000011E">
      <w:pPr>
        <w:pageBreakBefore w:val="0"/>
        <w:jc w:val="both"/>
        <w:rPr/>
      </w:pPr>
      <w:r w:rsidDel="00000000" w:rsidR="00000000" w:rsidRPr="00000000">
        <w:rPr/>
        <w:drawing>
          <wp:inline distB="114300" distT="114300" distL="114300" distR="114300">
            <wp:extent cx="5731200" cy="1358900"/>
            <wp:effectExtent b="0" l="0" r="0" t="0"/>
            <wp:docPr id="1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ageBreakBefore w:val="0"/>
        <w:jc w:val="center"/>
        <w:rPr/>
      </w:pPr>
      <w:r w:rsidDel="00000000" w:rsidR="00000000" w:rsidRPr="00000000">
        <w:rPr>
          <w:rtl w:val="0"/>
        </w:rPr>
        <w:t xml:space="preserve">Table 8: Portfolio of Myanmar in 2013</w:t>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rtl w:val="0"/>
        </w:rPr>
        <w:t xml:space="preserve">For further suggestions on Myanmar’s development in the future, we also offer the optimization result of Myanmar based on export data in 2018. Below is the economic panel for Myanmar in 2018. We can see that there is a similar pattern for the ECI improvement trajectories, which is that the improvements in 5 and 10 percent export growth are more similar, and the ones in 15 and 20 are similar. But one difference is that the main components that result in ECI improvements are not quite similar. For a 5 percent export growth, the main components include primarily Daily Instruments as well as Wood Products, while for a 10 percent growth, the main components also consist of Chemicals, with more importance placed on the Wood Products industry. For situations with higher budgets of investment, like 15 or 20 percent of growth, the portfolios are more diverse than the previous two cases. In detail, the Chemical Manufacturing industry is the one that contributes primarily in ECI increments. A more detailed numerical representation of the portfolio is shown in Table 9. </w:t>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drawing>
          <wp:inline distB="114300" distT="114300" distL="114300" distR="114300">
            <wp:extent cx="5731200" cy="2870200"/>
            <wp:effectExtent b="0" l="0" r="0" t="0"/>
            <wp:docPr id="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2870200"/>
                    </a:xfrm>
                    <a:prstGeom prst="rect"/>
                    <a:ln/>
                  </pic:spPr>
                </pic:pic>
              </a:graphicData>
            </a:graphic>
          </wp:inline>
        </w:drawing>
      </w:r>
      <w:r w:rsidDel="00000000" w:rsidR="00000000" w:rsidRPr="00000000">
        <w:rPr/>
        <w:drawing>
          <wp:inline distB="114300" distT="114300" distL="114300" distR="114300">
            <wp:extent cx="5731200" cy="2159000"/>
            <wp:effectExtent b="0" l="0" r="0" t="0"/>
            <wp:docPr id="30"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center"/>
        <w:rPr/>
      </w:pPr>
      <w:r w:rsidDel="00000000" w:rsidR="00000000" w:rsidRPr="00000000">
        <w:rPr>
          <w:rtl w:val="0"/>
        </w:rPr>
        <w:t xml:space="preserve">Figure 6: Greedy Based ECI Improvement Results of Myanmar in 2018 with Different Budgets</w:t>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drawing>
          <wp:inline distB="114300" distT="114300" distL="114300" distR="114300">
            <wp:extent cx="5731200" cy="1511300"/>
            <wp:effectExtent b="0" l="0" r="0" t="0"/>
            <wp:docPr id="23"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center"/>
        <w:rPr/>
      </w:pPr>
      <w:r w:rsidDel="00000000" w:rsidR="00000000" w:rsidRPr="00000000">
        <w:rPr>
          <w:rtl w:val="0"/>
        </w:rPr>
        <w:t xml:space="preserve">Table 9: Portfolio of Myanmar in 2018</w:t>
      </w:r>
    </w:p>
    <w:p w:rsidR="00000000" w:rsidDel="00000000" w:rsidP="00000000" w:rsidRDefault="00000000" w:rsidRPr="00000000" w14:paraId="0000012A">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2B">
      <w:pPr>
        <w:pageBreakBefore w:val="0"/>
        <w:spacing w:after="240" w:before="240" w:line="276" w:lineRule="auto"/>
        <w:rPr/>
      </w:pPr>
      <w:r w:rsidDel="00000000" w:rsidR="00000000" w:rsidRPr="00000000">
        <w:rPr>
          <w:rtl w:val="0"/>
        </w:rPr>
        <w:t xml:space="preserve">In the following section our broad aim is to understand how sensitive Myanmar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2C">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2D">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2E">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2F">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4" name="image1.jpg"/>
            <a:graphic>
              <a:graphicData uri="http://schemas.openxmlformats.org/drawingml/2006/picture">
                <pic:pic>
                  <pic:nvPicPr>
                    <pic:cNvPr id="0" name="image1.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1">
      <w:pPr>
        <w:pageBreakBefore w:val="0"/>
        <w:jc w:val="both"/>
        <w:rPr>
          <w:b w:val="1"/>
          <w:bCs w:val="1"/>
        </w:rPr>
      </w:pPr>
      <w:r w:rsidDel="00000000" w:rsidR="00000000" w:rsidRPr="00000000">
        <w:rPr>
          <w:rtl w:val="0"/>
        </w:rPr>
      </w:r>
    </w:p>
    <w:p w:rsidR="00000000" w:rsidDel="00000000" w:rsidP="00000000" w:rsidRDefault="00000000" w:rsidRPr="00000000" w14:paraId="00000132">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3">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4">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5">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6">
      <w:pPr>
        <w:pageBreakBefore w:val="0"/>
        <w:spacing w:line="276" w:lineRule="auto"/>
        <w:rPr/>
      </w:pPr>
      <w:r w:rsidDel="00000000" w:rsidR="00000000" w:rsidRPr="00000000">
        <w:rPr>
          <w:rtl w:val="0"/>
        </w:rPr>
      </w:r>
    </w:p>
    <w:p w:rsidR="00000000" w:rsidDel="00000000" w:rsidP="00000000" w:rsidRDefault="00000000" w:rsidRPr="00000000" w14:paraId="00000137">
      <w:pPr>
        <w:pageBreakBefore w:val="0"/>
        <w:jc w:val="both"/>
        <w:rPr/>
      </w:pPr>
      <w:r w:rsidDel="00000000" w:rsidR="00000000" w:rsidRPr="00000000">
        <w:rPr/>
        <w:drawing>
          <wp:inline distB="114300" distT="114300" distL="114300" distR="114300">
            <wp:extent cx="5734050" cy="1739900"/>
            <wp:effectExtent b="0" l="0" r="0" t="0"/>
            <wp:docPr id="11"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39">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3A">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3B">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3C">
      <w:pPr>
        <w:pageBreakBefore w:val="0"/>
        <w:spacing w:line="276" w:lineRule="auto"/>
        <w:rPr/>
      </w:pPr>
      <w:r w:rsidDel="00000000" w:rsidR="00000000" w:rsidRPr="00000000">
        <w:rPr>
          <w:rtl w:val="0"/>
        </w:rPr>
      </w:r>
    </w:p>
    <w:p w:rsidR="00000000" w:rsidDel="00000000" w:rsidP="00000000" w:rsidRDefault="00000000" w:rsidRPr="00000000" w14:paraId="0000013D">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3"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ageBreakBefore w:val="0"/>
        <w:jc w:val="center"/>
        <w:rPr>
          <w:b w:val="1"/>
          <w:bCs w:val="1"/>
          <w:sz w:val="28"/>
          <w:szCs w:val="28"/>
        </w:rPr>
      </w:pPr>
      <w:r w:rsidDel="00000000" w:rsidR="00000000" w:rsidRPr="00000000">
        <w:rPr>
          <w:sz w:val="22"/>
          <w:szCs w:val="22"/>
          <w:rtl w:val="0"/>
        </w:rPr>
        <w:t xml:space="preserve">Example Contingency Strategy 2018</w:t>
      </w:r>
      <w:r w:rsidDel="00000000" w:rsidR="00000000" w:rsidRPr="00000000">
        <w:rPr>
          <w:rtl w:val="0"/>
        </w:rPr>
      </w:r>
    </w:p>
    <w:p w:rsidR="00000000" w:rsidDel="00000000" w:rsidP="00000000" w:rsidRDefault="00000000" w:rsidRPr="00000000" w14:paraId="0000013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0">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2">
      <w:pPr>
        <w:pageBreakBefore w:val="0"/>
        <w:jc w:val="both"/>
        <w:rPr/>
      </w:pPr>
      <w:r w:rsidDel="00000000" w:rsidR="00000000" w:rsidRPr="00000000">
        <w:rPr>
          <w:rtl w:val="0"/>
        </w:rPr>
        <w:t xml:space="preserve">Below is Myanmar’s 2018 ECI Sensitivity Charts. Firstly in the positive chart, we notice immediately that increases in Daily Instruments, Raw Manufacturing, and Textiles lead to an uptrend in ECI. Daily Instruments offer the best ECI growth per unit of export increase. All other industries tend to not greatly affect the ECI level making it fairly clear which industries to pursue. </w:t>
      </w:r>
    </w:p>
    <w:p w:rsidR="00000000" w:rsidDel="00000000" w:rsidP="00000000" w:rsidRDefault="00000000" w:rsidRPr="00000000" w14:paraId="00000143">
      <w:pPr>
        <w:pageBreakBefore w:val="0"/>
        <w:jc w:val="both"/>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Next we consider Myanmar’s 2018 Negative Shock chart. We see that Myanmar’s ECI is slightly sensitive to drawdowns in Metals. More interestingly, we see that large decreases in several industries, such as Energy, Drilling, and Mining, Animals and By-products, Clothing and Accessories, and Vegetables, Fruits, and Plants, seem to greatly increase the ECI score. These industries are important industries for Myanmar’s economy and thus the results that are reflected in the chart may be suggesting that there is another industry that could be very beneficial for Myanmar that is far in proximity from those.</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jc w:val="both"/>
        <w:rPr>
          <w:b w:val="1"/>
          <w:bCs w:val="1"/>
        </w:rPr>
      </w:pPr>
      <w:r w:rsidDel="00000000" w:rsidR="00000000" w:rsidRPr="00000000">
        <w:rPr>
          <w:b w:val="1"/>
          <w:bCs w:val="1"/>
        </w:rPr>
        <w:drawing>
          <wp:inline distB="114300" distT="114300" distL="114300" distR="114300">
            <wp:extent cx="5731200" cy="3213100"/>
            <wp:effectExtent b="0" l="0" r="0" t="0"/>
            <wp:docPr id="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ageBreakBefore w:val="0"/>
        <w:jc w:val="center"/>
        <w:rPr>
          <w:b w:val="1"/>
          <w:bCs w:val="1"/>
        </w:rPr>
      </w:pPr>
      <w:r w:rsidDel="00000000" w:rsidR="00000000" w:rsidRPr="00000000">
        <w:rPr>
          <w:rtl w:val="0"/>
        </w:rPr>
        <w:t xml:space="preserve">Myanmar 2018 (Incremental ECI Sensitivity)</w:t>
      </w:r>
      <w:r w:rsidDel="00000000" w:rsidR="00000000" w:rsidRPr="00000000">
        <w:rPr>
          <w:rtl w:val="0"/>
        </w:rPr>
      </w:r>
    </w:p>
    <w:p w:rsidR="00000000" w:rsidDel="00000000" w:rsidP="00000000" w:rsidRDefault="00000000" w:rsidRPr="00000000" w14:paraId="00000148">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2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ageBreakBefore w:val="0"/>
        <w:jc w:val="both"/>
        <w:rPr>
          <w:b w:val="1"/>
          <w:bCs w:val="1"/>
        </w:rPr>
      </w:pPr>
      <w:r w:rsidDel="00000000" w:rsidR="00000000" w:rsidRPr="00000000">
        <w:rPr>
          <w:rtl w:val="0"/>
        </w:rPr>
      </w:r>
    </w:p>
    <w:p w:rsidR="00000000" w:rsidDel="00000000" w:rsidP="00000000" w:rsidRDefault="00000000" w:rsidRPr="00000000" w14:paraId="0000014A">
      <w:pPr>
        <w:pageBreakBefore w:val="0"/>
        <w:jc w:val="center"/>
        <w:rPr/>
      </w:pPr>
      <w:r w:rsidDel="00000000" w:rsidR="00000000" w:rsidRPr="00000000">
        <w:rPr>
          <w:rtl w:val="0"/>
        </w:rPr>
        <w:t xml:space="preserve">Myanmar 2018 (Decremental  ECI Sensitivity)</w:t>
      </w:r>
    </w:p>
    <w:p w:rsidR="00000000" w:rsidDel="00000000" w:rsidP="00000000" w:rsidRDefault="00000000" w:rsidRPr="00000000" w14:paraId="0000014B">
      <w:pPr>
        <w:pageBreakBefore w:val="0"/>
        <w:jc w:val="center"/>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Next we consider the 2013 ECI Sensitivity graphs. We see that in the positive shocking case,  the landscape of ECI sensitivity has changed substantially. Increases in Energy, Drilling, and Mining and Textile also lead to increases in ECI, whereas all other industries do not affect the ECI. Textiles presented potential to increase ECI for both 2013 and 2018 whereas the other industries changed over the 5 years. </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In the 2013 negative shocking case, we see that again Myanmar is very sensitive to drawdowns in Services and Utilities and Raw Manufacturing. </w:t>
      </w:r>
    </w:p>
    <w:p w:rsidR="00000000" w:rsidDel="00000000" w:rsidP="00000000" w:rsidRDefault="00000000" w:rsidRPr="00000000" w14:paraId="0000014F">
      <w:pPr>
        <w:pageBreakBefore w:val="0"/>
        <w:jc w:val="center"/>
        <w:rPr>
          <w:b w:val="1"/>
          <w:bCs w:val="1"/>
        </w:rPr>
      </w:pPr>
      <w:r w:rsidDel="00000000" w:rsidR="00000000" w:rsidRPr="00000000">
        <w:rPr>
          <w:b w:val="1"/>
          <w:bCs w:val="1"/>
        </w:rPr>
        <w:drawing>
          <wp:inline distB="114300" distT="114300" distL="114300" distR="114300">
            <wp:extent cx="4689965" cy="2986088"/>
            <wp:effectExtent b="0" l="0" r="0" t="0"/>
            <wp:docPr id="26"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4689965"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ageBreakBefore w:val="0"/>
        <w:jc w:val="center"/>
        <w:rPr/>
      </w:pPr>
      <w:r w:rsidDel="00000000" w:rsidR="00000000" w:rsidRPr="00000000">
        <w:rPr>
          <w:rtl w:val="0"/>
        </w:rPr>
        <w:t xml:space="preserve">Myanmar 2013 (Incremental ECI Sensitivity)</w:t>
      </w:r>
    </w:p>
    <w:p w:rsidR="00000000" w:rsidDel="00000000" w:rsidP="00000000" w:rsidRDefault="00000000" w:rsidRPr="00000000" w14:paraId="00000151">
      <w:pPr>
        <w:pageBreakBefore w:val="0"/>
        <w:jc w:val="both"/>
        <w:rPr>
          <w:b w:val="1"/>
          <w:bCs w:val="1"/>
        </w:rPr>
      </w:pPr>
      <w:r w:rsidDel="00000000" w:rsidR="00000000" w:rsidRPr="00000000">
        <w:rPr>
          <w:rtl w:val="0"/>
        </w:rPr>
      </w:r>
    </w:p>
    <w:p w:rsidR="00000000" w:rsidDel="00000000" w:rsidP="00000000" w:rsidRDefault="00000000" w:rsidRPr="00000000" w14:paraId="00000152">
      <w:pPr>
        <w:pageBreakBefore w:val="0"/>
        <w:jc w:val="center"/>
        <w:rPr>
          <w:b w:val="1"/>
          <w:bCs w:val="1"/>
        </w:rPr>
      </w:pPr>
      <w:r w:rsidDel="00000000" w:rsidR="00000000" w:rsidRPr="00000000">
        <w:rPr>
          <w:b w:val="1"/>
          <w:bCs w:val="1"/>
        </w:rPr>
        <w:drawing>
          <wp:inline distB="114300" distT="114300" distL="114300" distR="114300">
            <wp:extent cx="5022908" cy="3195638"/>
            <wp:effectExtent b="0" l="0" r="0" t="0"/>
            <wp:docPr id="22"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022908"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ageBreakBefore w:val="0"/>
        <w:jc w:val="center"/>
        <w:rPr>
          <w:b w:val="1"/>
          <w:bCs w:val="1"/>
        </w:rPr>
      </w:pPr>
      <w:r w:rsidDel="00000000" w:rsidR="00000000" w:rsidRPr="00000000">
        <w:rPr>
          <w:rtl w:val="0"/>
        </w:rPr>
        <w:t xml:space="preserve">Myanmar 2013 (Decremental  ECI Sensitivity)</w:t>
      </w:r>
      <w:r w:rsidDel="00000000" w:rsidR="00000000" w:rsidRPr="00000000">
        <w:rPr>
          <w:rtl w:val="0"/>
        </w:rPr>
      </w:r>
    </w:p>
    <w:p w:rsidR="00000000" w:rsidDel="00000000" w:rsidP="00000000" w:rsidRDefault="00000000" w:rsidRPr="00000000" w14:paraId="00000154">
      <w:pPr>
        <w:pageBreakBefore w:val="0"/>
        <w:jc w:val="both"/>
        <w:rPr>
          <w:b w:val="1"/>
          <w:bCs w:val="1"/>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Below we see the SDV sensitivity charts for Daily Instruments. We see that increasing the export of Daily Instruments opens up few positive opportunity gain industries for Myanmar to move into. In fact after a 150% increase, the number of positive opportunity gain countries actually decreases. </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In the negative Daily Instruments SDV chart, we see that decreasing the export of Daily Instruments has little impact, suggesting that this is not an important industry in terms of the stability of its SDV. </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Concerning Raw Manufacturing, Myanmar reacts similarly to Daily Instruments. Increasing the export of Raw Manufacturing generates fewer positive opportunity gain industries, and decreasing export has little impact.</w:t>
      </w:r>
    </w:p>
    <w:p w:rsidR="00000000" w:rsidDel="00000000" w:rsidP="00000000" w:rsidRDefault="00000000" w:rsidRPr="00000000" w14:paraId="0000015A">
      <w:pPr>
        <w:pageBreakBefore w:val="0"/>
        <w:ind w:left="720" w:firstLine="720"/>
        <w:jc w:val="center"/>
        <w:rPr/>
      </w:pPr>
      <w:r w:rsidDel="00000000" w:rsidR="00000000" w:rsidRPr="00000000">
        <w:rPr/>
        <w:drawing>
          <wp:inline distB="114300" distT="114300" distL="114300" distR="114300">
            <wp:extent cx="3975971" cy="3786188"/>
            <wp:effectExtent b="0" l="0" r="0" t="0"/>
            <wp:docPr id="21"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975971"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ageBreakBefore w:val="0"/>
        <w:jc w:val="center"/>
        <w:rPr>
          <w:b w:val="1"/>
          <w:bCs w:val="1"/>
        </w:rPr>
      </w:pPr>
      <w:r w:rsidDel="00000000" w:rsidR="00000000" w:rsidRPr="00000000">
        <w:rPr>
          <w:rtl w:val="0"/>
        </w:rPr>
      </w:r>
    </w:p>
    <w:p w:rsidR="00000000" w:rsidDel="00000000" w:rsidP="00000000" w:rsidRDefault="00000000" w:rsidRPr="00000000" w14:paraId="0000015C">
      <w:pPr>
        <w:pageBreakBefore w:val="0"/>
        <w:ind w:left="720" w:firstLine="720"/>
        <w:jc w:val="center"/>
        <w:rPr/>
      </w:pPr>
      <w:r w:rsidDel="00000000" w:rsidR="00000000" w:rsidRPr="00000000">
        <w:rPr>
          <w:rtl w:val="0"/>
        </w:rPr>
        <w:t xml:space="preserve">Myanmar Daily Instruments 2018 (Incremental SDV Sensitivity)</w:t>
      </w:r>
    </w:p>
    <w:p w:rsidR="00000000" w:rsidDel="00000000" w:rsidP="00000000" w:rsidRDefault="00000000" w:rsidRPr="00000000" w14:paraId="0000015D">
      <w:pPr>
        <w:pageBreakBefore w:val="0"/>
        <w:jc w:val="center"/>
        <w:rPr/>
      </w:pPr>
      <w:r w:rsidDel="00000000" w:rsidR="00000000" w:rsidRPr="00000000">
        <w:rPr>
          <w:b w:val="1"/>
          <w:bCs w:val="1"/>
        </w:rPr>
        <w:drawing>
          <wp:inline distB="114300" distT="114300" distL="114300" distR="114300">
            <wp:extent cx="1674669" cy="3148013"/>
            <wp:effectExtent b="0" l="0" r="0" t="0"/>
            <wp:docPr id="10"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1674669"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ageBreakBefore w:val="0"/>
        <w:ind w:left="720" w:firstLine="720"/>
        <w:jc w:val="center"/>
        <w:rPr/>
      </w:pPr>
      <w:r w:rsidDel="00000000" w:rsidR="00000000" w:rsidRPr="00000000">
        <w:rPr>
          <w:rtl w:val="0"/>
        </w:rPr>
        <w:t xml:space="preserve">Myanmar</w:t>
      </w:r>
      <w:r w:rsidDel="00000000" w:rsidR="00000000" w:rsidRPr="00000000">
        <w:rPr>
          <w:rtl w:val="0"/>
        </w:rPr>
        <w:t xml:space="preserve"> Daily Instruments Products 2018 (Decremental SDV Sensitivity)</w:t>
      </w:r>
    </w:p>
    <w:p w:rsidR="00000000" w:rsidDel="00000000" w:rsidP="00000000" w:rsidRDefault="00000000" w:rsidRPr="00000000" w14:paraId="0000015F">
      <w:pPr>
        <w:pageBreakBefore w:val="0"/>
        <w:ind w:left="720" w:firstLine="720"/>
        <w:jc w:val="center"/>
        <w:rPr/>
      </w:pPr>
      <w:r w:rsidDel="00000000" w:rsidR="00000000" w:rsidRPr="00000000">
        <w:rPr>
          <w:rtl w:val="0"/>
        </w:rPr>
      </w:r>
    </w:p>
    <w:p w:rsidR="00000000" w:rsidDel="00000000" w:rsidP="00000000" w:rsidRDefault="00000000" w:rsidRPr="00000000" w14:paraId="00000160">
      <w:pPr>
        <w:pageBreakBefore w:val="0"/>
        <w:ind w:left="720" w:firstLine="720"/>
        <w:jc w:val="center"/>
        <w:rPr/>
      </w:pPr>
      <w:r w:rsidDel="00000000" w:rsidR="00000000" w:rsidRPr="00000000">
        <w:rPr/>
        <w:drawing>
          <wp:inline distB="114300" distT="114300" distL="114300" distR="114300">
            <wp:extent cx="3178158" cy="3062288"/>
            <wp:effectExtent b="0" l="0" r="0" t="0"/>
            <wp:docPr id="7"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3178158"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ageBreakBefore w:val="0"/>
        <w:ind w:left="720" w:firstLine="720"/>
        <w:jc w:val="center"/>
        <w:rPr>
          <w:b w:val="1"/>
          <w:bCs w:val="1"/>
        </w:rPr>
      </w:pPr>
      <w:r w:rsidDel="00000000" w:rsidR="00000000" w:rsidRPr="00000000">
        <w:rPr>
          <w:rtl w:val="0"/>
        </w:rPr>
        <w:t xml:space="preserve">Myanmar Raw Manufacturing 2018 (Incremental SDV Sensitivity)</w:t>
      </w:r>
      <w:r w:rsidDel="00000000" w:rsidR="00000000" w:rsidRPr="00000000">
        <w:rPr>
          <w:rtl w:val="0"/>
        </w:rPr>
      </w:r>
    </w:p>
    <w:p w:rsidR="00000000" w:rsidDel="00000000" w:rsidP="00000000" w:rsidRDefault="00000000" w:rsidRPr="00000000" w14:paraId="00000162">
      <w:pPr>
        <w:jc w:val="center"/>
        <w:rPr>
          <w:b w:val="1"/>
          <w:bCs w:val="1"/>
        </w:rPr>
      </w:pPr>
      <w:r w:rsidDel="00000000" w:rsidR="00000000" w:rsidRPr="00000000">
        <w:rPr>
          <w:b w:val="1"/>
          <w:bCs w:val="1"/>
          <w:sz w:val="28"/>
          <w:szCs w:val="28"/>
        </w:rPr>
        <w:drawing>
          <wp:inline distB="114300" distT="114300" distL="114300" distR="114300">
            <wp:extent cx="1748622" cy="3024188"/>
            <wp:effectExtent b="0" l="0" r="0" t="0"/>
            <wp:docPr id="29"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1748622"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ageBreakBefore w:val="0"/>
        <w:ind w:left="720" w:firstLine="720"/>
        <w:jc w:val="center"/>
        <w:rPr/>
      </w:pPr>
      <w:r w:rsidDel="00000000" w:rsidR="00000000" w:rsidRPr="00000000">
        <w:rPr>
          <w:rtl w:val="0"/>
        </w:rPr>
        <w:t xml:space="preserve">Myanmar Raw Manufacturing 2018 (Decremental SDV Sensitivity)</w:t>
      </w:r>
    </w:p>
    <w:p w:rsidR="00000000" w:rsidDel="00000000" w:rsidP="00000000" w:rsidRDefault="00000000" w:rsidRPr="00000000" w14:paraId="00000164">
      <w:pPr>
        <w:pageBreakBefore w:val="0"/>
        <w:ind w:left="720" w:firstLine="720"/>
        <w:jc w:val="center"/>
        <w:rPr/>
      </w:pPr>
      <w:r w:rsidDel="00000000" w:rsidR="00000000" w:rsidRPr="00000000">
        <w:rPr>
          <w:rtl w:val="0"/>
        </w:rPr>
      </w:r>
    </w:p>
    <w:p w:rsidR="00000000" w:rsidDel="00000000" w:rsidP="00000000" w:rsidRDefault="00000000" w:rsidRPr="00000000" w14:paraId="00000165">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6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7">
      <w:pPr>
        <w:pageBreakBefore w:val="0"/>
        <w:jc w:val="both"/>
        <w:rPr>
          <w:b w:val="1"/>
          <w:bCs w:val="1"/>
          <w:sz w:val="28"/>
          <w:szCs w:val="28"/>
        </w:rPr>
      </w:pPr>
      <w:r w:rsidDel="00000000" w:rsidR="00000000" w:rsidRPr="00000000">
        <w:rPr>
          <w:rtl w:val="0"/>
        </w:rPr>
        <w:t xml:space="preserve">Decreasing export of each industry in Myanmar’s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6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9">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731200" cy="2844800"/>
            <wp:effectExtent b="0" l="0" r="0" t="0"/>
            <wp:docPr id="19"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jc w:val="center"/>
        <w:rPr>
          <w:sz w:val="22"/>
          <w:szCs w:val="22"/>
        </w:rPr>
      </w:pPr>
      <w:r w:rsidDel="00000000" w:rsidR="00000000" w:rsidRPr="00000000">
        <w:rPr>
          <w:sz w:val="22"/>
          <w:szCs w:val="22"/>
          <w:rtl w:val="0"/>
        </w:rPr>
        <w:t xml:space="preserve">Myanmar Contingency Strategy 2018</w:t>
      </w:r>
    </w:p>
    <w:p w:rsidR="00000000" w:rsidDel="00000000" w:rsidP="00000000" w:rsidRDefault="00000000" w:rsidRPr="00000000" w14:paraId="0000016B">
      <w:pPr>
        <w:pageBreakBefore w:val="0"/>
        <w:jc w:val="center"/>
        <w:rPr>
          <w:sz w:val="22"/>
          <w:szCs w:val="22"/>
        </w:rPr>
      </w:pPr>
      <w:r w:rsidDel="00000000" w:rsidR="00000000" w:rsidRPr="00000000">
        <w:rPr>
          <w:rtl w:val="0"/>
        </w:rPr>
      </w:r>
    </w:p>
    <w:p w:rsidR="00000000" w:rsidDel="00000000" w:rsidP="00000000" w:rsidRDefault="00000000" w:rsidRPr="00000000" w14:paraId="0000016C">
      <w:pPr>
        <w:pageBreakBefore w:val="0"/>
        <w:jc w:val="both"/>
        <w:rPr>
          <w:b w:val="1"/>
          <w:bCs w:val="1"/>
        </w:rPr>
      </w:pPr>
      <w:r w:rsidDel="00000000" w:rsidR="00000000" w:rsidRPr="00000000">
        <w:rPr>
          <w:rtl w:val="0"/>
        </w:rPr>
      </w:r>
    </w:p>
    <w:p w:rsidR="00000000" w:rsidDel="00000000" w:rsidP="00000000" w:rsidRDefault="00000000" w:rsidRPr="00000000" w14:paraId="0000016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6E">
      <w:pPr>
        <w:pageBreakBefore w:val="0"/>
        <w:jc w:val="both"/>
        <w:rPr>
          <w:b w:val="1"/>
          <w:bCs w:val="1"/>
        </w:rPr>
      </w:pPr>
      <w:r w:rsidDel="00000000" w:rsidR="00000000" w:rsidRPr="00000000">
        <w:rPr>
          <w:rtl w:val="0"/>
        </w:rPr>
      </w:r>
    </w:p>
    <w:p w:rsidR="00000000" w:rsidDel="00000000" w:rsidP="00000000" w:rsidRDefault="00000000" w:rsidRPr="00000000" w14:paraId="0000016F">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70">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71">
      <w:pPr>
        <w:pageBreakBefore w:val="0"/>
        <w:jc w:val="both"/>
        <w:rPr/>
      </w:pPr>
      <w:r w:rsidDel="00000000" w:rsidR="00000000" w:rsidRPr="00000000">
        <w:rPr>
          <w:rtl w:val="0"/>
        </w:rPr>
      </w:r>
    </w:p>
    <w:p w:rsidR="00000000" w:rsidDel="00000000" w:rsidP="00000000" w:rsidRDefault="00000000" w:rsidRPr="00000000" w14:paraId="00000172">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73">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7C">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7"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7D">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7E">
      <w:pPr>
        <w:pageBreakBefore w:val="0"/>
        <w:jc w:val="both"/>
        <w:rPr/>
      </w:pPr>
      <w:r w:rsidDel="00000000" w:rsidR="00000000" w:rsidRPr="00000000">
        <w:rPr>
          <w:rtl w:val="0"/>
        </w:rPr>
      </w:r>
    </w:p>
    <w:p w:rsidR="00000000" w:rsidDel="00000000" w:rsidP="00000000" w:rsidRDefault="00000000" w:rsidRPr="00000000" w14:paraId="0000017F">
      <w:pPr>
        <w:pageBreakBefore w:val="0"/>
        <w:jc w:val="both"/>
        <w:rPr>
          <w:b w:val="1"/>
          <w:bCs w:val="1"/>
        </w:rPr>
      </w:pPr>
      <w:r w:rsidDel="00000000" w:rsidR="00000000" w:rsidRPr="00000000">
        <w:rPr>
          <w:b w:val="1"/>
          <w:bCs w:val="1"/>
          <w:rtl w:val="0"/>
        </w:rPr>
        <w:t xml:space="preserve">5.2 SOI of Myanmar and Its Implications</w:t>
      </w:r>
    </w:p>
    <w:p w:rsidR="00000000" w:rsidDel="00000000" w:rsidP="00000000" w:rsidRDefault="00000000" w:rsidRPr="00000000" w14:paraId="00000180">
      <w:pPr>
        <w:pageBreakBefore w:val="0"/>
        <w:jc w:val="both"/>
        <w:rPr/>
      </w:pPr>
      <w:r w:rsidDel="00000000" w:rsidR="00000000" w:rsidRPr="00000000">
        <w:rPr>
          <w:rtl w:val="0"/>
        </w:rPr>
        <w:t xml:space="preserve">Myanmar for instance, has a moderate level of structural optimality as compared with its developed peers. As the regression in Figure 7 suggests (the orange curve represents export increase and the blue curve stands for opportunity gain of the corresponding industry), Myanmar demonstrates an average level of correlation with the suggested developmental path, having an adjusted R-square of around 7.51%. Myanmar ranks in</w:t>
      </w:r>
      <w:r w:rsidDel="00000000" w:rsidR="00000000" w:rsidRPr="00000000">
        <w:rPr>
          <w:rtl w:val="0"/>
        </w:rPr>
        <w:t xml:space="preserve"> the </w:t>
      </w:r>
      <w:r w:rsidDel="00000000" w:rsidR="00000000" w:rsidRPr="00000000">
        <w:rPr>
          <w:rtl w:val="0"/>
        </w:rPr>
        <w:t xml:space="preserve">bottom half among all countries in terms of SOI and has made a high rate of economic progress below its developed peers from 2013 to 2018 with a 5-year GDP growth rate of 7.09%, which is consistent with the regression result in Figure 6. This is in direct contrast to other developed economies such as Japan, where there is low SOI of around -5.7% and a corresponding GDP growth of 9.05% from 2013 to 2018, making it a slower developing economy during the period. In sum, Myanmar’s mixed economic progress from 2013 to 2018 can be at least partially explained by a development strategy that demonstrates a decent, but not perfect, level of matches with our suggested developmental path. In specific, Myanmar invested heavily in the Transportation and Metals industry, while it should have focused more on other groups such as Textiles.</w:t>
      </w:r>
    </w:p>
    <w:p w:rsidR="00000000" w:rsidDel="00000000" w:rsidP="00000000" w:rsidRDefault="00000000" w:rsidRPr="00000000" w14:paraId="00000181">
      <w:pPr>
        <w:pageBreakBefore w:val="0"/>
        <w:jc w:val="both"/>
        <w:rPr/>
      </w:pPr>
      <w:r w:rsidDel="00000000" w:rsidR="00000000" w:rsidRPr="00000000">
        <w:rPr>
          <w:rtl w:val="0"/>
        </w:rPr>
      </w:r>
    </w:p>
    <w:p w:rsidR="00000000" w:rsidDel="00000000" w:rsidP="00000000" w:rsidRDefault="00000000" w:rsidRPr="00000000" w14:paraId="00000182">
      <w:pPr>
        <w:pageBreakBefore w:val="0"/>
        <w:jc w:val="both"/>
        <w:rPr/>
      </w:pPr>
      <w:r w:rsidDel="00000000" w:rsidR="00000000" w:rsidRPr="00000000">
        <w:rPr/>
        <w:drawing>
          <wp:inline distB="114300" distT="114300" distL="114300" distR="114300">
            <wp:extent cx="5731200" cy="2298700"/>
            <wp:effectExtent b="0" l="0" r="0" t="0"/>
            <wp:docPr id="6"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ageBreakBefore w:val="0"/>
        <w:jc w:val="center"/>
        <w:rPr>
          <w:b w:val="1"/>
          <w:bCs w:val="1"/>
        </w:rPr>
      </w:pPr>
      <w:r w:rsidDel="00000000" w:rsidR="00000000" w:rsidRPr="00000000">
        <w:rPr>
          <w:rtl w:val="0"/>
        </w:rPr>
        <w:t xml:space="preserve">Figure 7: SOI of Myanmar (2009-2014)</w:t>
      </w:r>
      <w:r w:rsidDel="00000000" w:rsidR="00000000" w:rsidRPr="00000000">
        <w:rPr>
          <w:rtl w:val="0"/>
        </w:rPr>
      </w:r>
    </w:p>
    <w:p w:rsidR="00000000" w:rsidDel="00000000" w:rsidP="00000000" w:rsidRDefault="00000000" w:rsidRPr="00000000" w14:paraId="00000184">
      <w:pPr>
        <w:pageBreakBefore w:val="0"/>
        <w:jc w:val="both"/>
        <w:rPr>
          <w:b w:val="1"/>
          <w:bCs w:val="1"/>
        </w:rPr>
      </w:pPr>
      <w:r w:rsidDel="00000000" w:rsidR="00000000" w:rsidRPr="00000000">
        <w:rPr>
          <w:rtl w:val="0"/>
        </w:rPr>
      </w:r>
    </w:p>
    <w:p w:rsidR="00000000" w:rsidDel="00000000" w:rsidP="00000000" w:rsidRDefault="00000000" w:rsidRPr="00000000" w14:paraId="00000185">
      <w:pPr>
        <w:pageBreakBefore w:val="0"/>
        <w:jc w:val="both"/>
        <w:rPr>
          <w:b w:val="1"/>
          <w:bCs w:val="1"/>
        </w:rPr>
      </w:pPr>
      <w:r w:rsidDel="00000000" w:rsidR="00000000" w:rsidRPr="00000000">
        <w:rPr>
          <w:rtl w:val="0"/>
        </w:rPr>
      </w:r>
    </w:p>
    <w:p w:rsidR="00000000" w:rsidDel="00000000" w:rsidP="00000000" w:rsidRDefault="00000000" w:rsidRPr="00000000" w14:paraId="0000018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87">
      <w:pPr>
        <w:pageBreakBefore w:val="0"/>
        <w:jc w:val="both"/>
        <w:rPr/>
      </w:pPr>
      <w:r w:rsidDel="00000000" w:rsidR="00000000" w:rsidRPr="00000000">
        <w:rPr>
          <w:rtl w:val="0"/>
        </w:rPr>
      </w:r>
    </w:p>
    <w:p w:rsidR="00000000" w:rsidDel="00000000" w:rsidP="00000000" w:rsidRDefault="00000000" w:rsidRPr="00000000" w14:paraId="00000188">
      <w:pPr>
        <w:pageBreakBefore w:val="0"/>
        <w:jc w:val="both"/>
        <w:rPr/>
      </w:pPr>
      <w:r w:rsidDel="00000000" w:rsidR="00000000" w:rsidRPr="00000000">
        <w:rPr>
          <w:rtl w:val="0"/>
        </w:rPr>
        <w:t xml:space="preserve">In conclusion, Myanmar has demonstrated a moderate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189">
      <w:pPr>
        <w:pageBreakBefore w:val="0"/>
        <w:jc w:val="both"/>
        <w:rPr/>
      </w:pP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Myanmar on the industry group level. The product classification system we adopt allows us to measure the realized industry development for various industry groups and to observe that Myanmar</w:t>
      </w:r>
      <w:r w:rsidDel="00000000" w:rsidR="00000000" w:rsidRPr="00000000">
        <w:rPr>
          <w:rtl w:val="0"/>
        </w:rPr>
        <w:t xml:space="preserve"> consistently relied on developing the Transportation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8B">
      <w:pPr>
        <w:pageBreakBefore w:val="0"/>
        <w:jc w:val="both"/>
        <w:rPr/>
      </w:pPr>
      <w:r w:rsidDel="00000000" w:rsidR="00000000" w:rsidRPr="00000000">
        <w:rPr>
          <w:rtl w:val="0"/>
        </w:rPr>
      </w:r>
    </w:p>
    <w:p w:rsidR="00000000" w:rsidDel="00000000" w:rsidP="00000000" w:rsidRDefault="00000000" w:rsidRPr="00000000" w14:paraId="0000018C">
      <w:pPr>
        <w:pageBreakBefore w:val="0"/>
        <w:jc w:val="both"/>
        <w:rPr/>
      </w:pPr>
      <w:r w:rsidDel="00000000" w:rsidR="00000000" w:rsidRPr="00000000">
        <w:rPr>
          <w:rtl w:val="0"/>
        </w:rPr>
        <w:t xml:space="preserve">Based on our analysis of the opportunity gain and a sensitivity analysis of major industry groups, Myanmar can further its gains by prioritizing Textiles, Daily Instruments, or Wood Products with higher percentage export growth. We further note that Myanmar has a slightly mismatched development strategy that indicates a moderately high (compared to other developed countries) level of structural optimality on the complexity level, having an adjusted R-square of around 7.51%. Since a significant positive correlation exists between five-year GDP growth and the structural optimality index of an economy as we define and calculate, Myanmar,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8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8E">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8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0">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9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2">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9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4">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9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6">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9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8">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9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A">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9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C">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9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E">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9F">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6.png"/><Relationship Id="rId22" Type="http://schemas.openxmlformats.org/officeDocument/2006/relationships/image" Target="media/image25.png"/><Relationship Id="rId21" Type="http://schemas.openxmlformats.org/officeDocument/2006/relationships/image" Target="media/image26.png"/><Relationship Id="rId24" Type="http://schemas.openxmlformats.org/officeDocument/2006/relationships/image" Target="media/image6.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8.png"/><Relationship Id="rId25" Type="http://schemas.openxmlformats.org/officeDocument/2006/relationships/image" Target="media/image3.jpg"/><Relationship Id="rId28" Type="http://schemas.openxmlformats.org/officeDocument/2006/relationships/image" Target="media/image19.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5.png"/><Relationship Id="rId7" Type="http://schemas.openxmlformats.org/officeDocument/2006/relationships/image" Target="media/image17.png"/><Relationship Id="rId8" Type="http://schemas.openxmlformats.org/officeDocument/2006/relationships/image" Target="media/image9.png"/><Relationship Id="rId31" Type="http://schemas.openxmlformats.org/officeDocument/2006/relationships/image" Target="media/image10.png"/><Relationship Id="rId30" Type="http://schemas.openxmlformats.org/officeDocument/2006/relationships/image" Target="media/image22.png"/><Relationship Id="rId11" Type="http://schemas.openxmlformats.org/officeDocument/2006/relationships/image" Target="media/image13.png"/><Relationship Id="rId33" Type="http://schemas.openxmlformats.org/officeDocument/2006/relationships/image" Target="media/image27.png"/><Relationship Id="rId10" Type="http://schemas.openxmlformats.org/officeDocument/2006/relationships/image" Target="media/image14.png"/><Relationship Id="rId32" Type="http://schemas.openxmlformats.org/officeDocument/2006/relationships/image" Target="media/image23.png"/><Relationship Id="rId13" Type="http://schemas.openxmlformats.org/officeDocument/2006/relationships/image" Target="media/image31.png"/><Relationship Id="rId35" Type="http://schemas.openxmlformats.org/officeDocument/2006/relationships/image" Target="media/image11.png"/><Relationship Id="rId12" Type="http://schemas.openxmlformats.org/officeDocument/2006/relationships/image" Target="media/image28.png"/><Relationship Id="rId34" Type="http://schemas.openxmlformats.org/officeDocument/2006/relationships/image" Target="media/image29.png"/><Relationship Id="rId15" Type="http://schemas.openxmlformats.org/officeDocument/2006/relationships/image" Target="media/image2.png"/><Relationship Id="rId37" Type="http://schemas.openxmlformats.org/officeDocument/2006/relationships/header" Target="header1.xml"/><Relationship Id="rId14" Type="http://schemas.openxmlformats.org/officeDocument/2006/relationships/image" Target="media/image8.png"/><Relationship Id="rId36" Type="http://schemas.openxmlformats.org/officeDocument/2006/relationships/image" Target="media/image7.png"/><Relationship Id="rId17" Type="http://schemas.openxmlformats.org/officeDocument/2006/relationships/image" Target="media/image21.png"/><Relationship Id="rId39" Type="http://schemas.openxmlformats.org/officeDocument/2006/relationships/footer" Target="footer3.xml"/><Relationship Id="rId16" Type="http://schemas.openxmlformats.org/officeDocument/2006/relationships/image" Target="media/image4.png"/><Relationship Id="rId38" Type="http://schemas.openxmlformats.org/officeDocument/2006/relationships/footer" Target="footer2.xml"/><Relationship Id="rId19" Type="http://schemas.openxmlformats.org/officeDocument/2006/relationships/image" Target="media/image24.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