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31.png"/>
            <a:graphic>
              <a:graphicData uri="http://schemas.openxmlformats.org/drawingml/2006/picture">
                <pic:pic>
                  <pic:nvPicPr>
                    <pic:cNvPr id="0" name="image3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Peru</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 Kelly Mi, Alex Chung, Margarita Demkina, Javier Arevalo </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Peru</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Peru went through during the period from 2013 to 2018. Specifically, we dive into the topic through a macroeconomic overview of Peru from the perspective of Gross Domestic Product (GDP) and Economic Complexity Index (ECI), which reflect countries’ production capability and production structure, respectively. We find that during the period of our interest, Peru d</w:t>
      </w:r>
      <w:r w:rsidDel="00000000" w:rsidR="00000000" w:rsidRPr="00000000">
        <w:rPr>
          <w:rtl w:val="0"/>
        </w:rPr>
        <w:t xml:space="preserve">emonstrated a moderate level of economic growth with an average annual GDP growth rate of 5.26%, concurrent with a decrease in economic complexity as compared with other major developed economies. </w:t>
      </w:r>
      <w:r w:rsidDel="00000000" w:rsidR="00000000" w:rsidRPr="00000000">
        <w:rPr>
          <w:rtl w:val="0"/>
        </w:rPr>
        <w:t xml:space="preserve">Average annual GDP growth </w:t>
      </w:r>
      <w:commentRangeStart w:id="0"/>
      <w:commentRangeStart w:id="1"/>
      <w:r w:rsidDel="00000000" w:rsidR="00000000" w:rsidRPr="00000000">
        <w:rPr>
          <w:rtl w:val="0"/>
        </w:rPr>
      </w:r>
    </w:p>
    <w:p w:rsidR="00000000" w:rsidDel="00000000" w:rsidP="00000000" w:rsidRDefault="00000000" w:rsidRPr="00000000" w14:paraId="0000000E">
      <w:pPr>
        <w:pageBreakBefore w:val="0"/>
        <w:jc w:val="both"/>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can be partially explained through analysis of the economic complexity structure of Peru on an industry group level. The product classification system we adopt allows us to measure the realized development for various industry groups. We observe that </w:t>
      </w:r>
      <w:r w:rsidDel="00000000" w:rsidR="00000000" w:rsidRPr="00000000">
        <w:rPr>
          <w:rtl w:val="0"/>
        </w:rPr>
        <w:t xml:space="preserve">Peru</w:t>
      </w:r>
      <w:r w:rsidDel="00000000" w:rsidR="00000000" w:rsidRPr="00000000">
        <w:rPr>
          <w:rtl w:val="0"/>
        </w:rPr>
        <w:t xml:space="preserve"> consistently relied on developing the Transportation industry during the period, while its developed counterparts and emerging economies around the globe adopted much more complex and progressive paths. </w:t>
      </w:r>
      <w:commentRangeStart w:id="2"/>
      <w:r w:rsidDel="00000000" w:rsidR="00000000" w:rsidRPr="00000000">
        <w:rPr>
          <w:rtl w:val="0"/>
        </w:rPr>
      </w:r>
    </w:p>
    <w:p w:rsidR="00000000" w:rsidDel="00000000" w:rsidP="00000000" w:rsidRDefault="00000000" w:rsidRPr="00000000" w14:paraId="00000010">
      <w:pPr>
        <w:pageBreakBefore w:val="0"/>
        <w:jc w:val="both"/>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Peru can further its gains by </w:t>
      </w:r>
      <w:r w:rsidDel="00000000" w:rsidR="00000000" w:rsidRPr="00000000">
        <w:rPr>
          <w:rtl w:val="0"/>
        </w:rPr>
        <w:t xml:space="preserve">prioritizing </w:t>
      </w:r>
      <w:r w:rsidDel="00000000" w:rsidR="00000000" w:rsidRPr="00000000">
        <w:rPr>
          <w:rtl w:val="0"/>
        </w:rPr>
        <w:t xml:space="preserve">Metals and Precious Stones. We further note that Peru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19.5%</w:t>
      </w:r>
      <w:r w:rsidDel="00000000" w:rsidR="00000000" w:rsidRPr="00000000">
        <w:rPr>
          <w:rtl w:val="0"/>
        </w:rPr>
        <w:t xml:space="preserve">. </w:t>
      </w:r>
      <w:commentRangeStart w:id="3"/>
      <w:r w:rsidDel="00000000" w:rsidR="00000000" w:rsidRPr="00000000">
        <w:rPr>
          <w:rtl w:val="0"/>
        </w:rPr>
        <w:t xml:space="preserve">A</w:t>
      </w:r>
      <w:commentRangeEnd w:id="3"/>
      <w:r w:rsidDel="00000000" w:rsidR="00000000" w:rsidRPr="00000000">
        <w:commentReference w:id="3"/>
      </w:r>
      <w:r w:rsidDel="00000000" w:rsidR="00000000" w:rsidRPr="00000000">
        <w:rPr>
          <w:rtl w:val="0"/>
        </w:rPr>
        <w:t xml:space="preserve"> significant positive correlation exists between five-year GDP growth and the structural optimality index of an economy as we define and calculate, but Bolivia still has a suboptimal growth experience as compared with fast-growing economies both on a regional scale and on a global scale. However, the country has the potential to further its economic gains through industrial structure optimization as suggested in the paper.</w:t>
      </w:r>
      <w:commentRangeStart w:id="4"/>
      <w:r w:rsidDel="00000000" w:rsidR="00000000" w:rsidRPr="00000000">
        <w:rPr>
          <w:rtl w:val="0"/>
        </w:rPr>
      </w:r>
    </w:p>
    <w:p w:rsidR="00000000" w:rsidDel="00000000" w:rsidP="00000000" w:rsidRDefault="00000000" w:rsidRPr="00000000" w14:paraId="00000012">
      <w:pPr>
        <w:pageBreakBefore w:val="0"/>
        <w:rPr/>
      </w:pPr>
      <w:commentRangeEnd w:id="4"/>
      <w:r w:rsidDel="00000000" w:rsidR="00000000" w:rsidRPr="00000000">
        <w:commentReference w:id="4"/>
      </w: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Peru went through during the period from 2013 to 2018, and the impact of COVID 19 on its economic development as observed in 2021 Specifically, we dive into the topic through a macroeconomic overview of Peru from the perspective of Gross Domestic Product (GDP) and Economic Complexity Index (ECI), which reflect countries’ production capability and production structure, respectively. We then analyze the industrial framework of Peru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Peru,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Peru and three of its peer countries (Uruguay, Paraguay, Costa Rica) from 2013-2018. Peru, like other peer countries, has shown upwards growth in GDP over the years.Moreover, Peru’s GDP has grown at a faster rate than its peer countries.  Peru’s average annual growth rate of 5.3% has been higher than its peers, which are 3.01%, 4.94% and 4.35% for Uruguay, Paraguay and Costa Rica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ind w:left="720" w:firstLine="720"/>
        <w:jc w:val="both"/>
        <w:rPr/>
      </w:pPr>
      <w:r w:rsidDel="00000000" w:rsidR="00000000" w:rsidRPr="00000000">
        <w:rPr/>
        <w:drawing>
          <wp:inline distB="114300" distT="114300" distL="114300" distR="114300">
            <wp:extent cx="3718188" cy="2424113"/>
            <wp:effectExtent b="0" l="0" r="0" t="0"/>
            <wp:docPr id="1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718188"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Bolivia. As illustrated in Figure 2 below, Bolivia (23.23% ECI change) exhibited a increase in terms of its production capability from 2013 to 2018, which is different from Uruguay (-278.49%), Costa Rica (-85.47%)and the Paraguay (8.67%). Ultimately, Bolivia is the strongest of the peer country set, as it displays the highest GDP growth rate and ECI change across the period.</w:t>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ind w:left="720" w:firstLine="720"/>
        <w:jc w:val="both"/>
        <w:rPr/>
      </w:pPr>
      <w:r w:rsidDel="00000000" w:rsidR="00000000" w:rsidRPr="00000000">
        <w:rPr>
          <w:rtl w:val="0"/>
        </w:rPr>
        <w:t xml:space="preserve">      </w:t>
      </w:r>
      <w:r w:rsidDel="00000000" w:rsidR="00000000" w:rsidRPr="00000000">
        <w:rPr/>
        <w:drawing>
          <wp:inline distB="114300" distT="114300" distL="114300" distR="114300">
            <wp:extent cx="3529013" cy="2411226"/>
            <wp:effectExtent b="0" l="0" r="0" t="0"/>
            <wp:docPr id="1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529013" cy="241122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ind w:firstLine="720"/>
        <w:jc w:val="center"/>
        <w:rPr/>
      </w:pPr>
      <w:r w:rsidDel="00000000" w:rsidR="00000000" w:rsidRPr="00000000">
        <w:rPr/>
        <w:drawing>
          <wp:inline distB="114300" distT="114300" distL="114300" distR="114300">
            <wp:extent cx="3948113" cy="2367556"/>
            <wp:effectExtent b="0" l="0" r="0" t="0"/>
            <wp:docPr id="1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948113" cy="236755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(Bolivia)</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Bolivia. The increase in GDP during the period from 2013 to 2018 is accompanied by a sharp increase and then decline in ECI. The results show that the economic growth experienced by Bolivia during the period from 2013 to 2018 is not very consistent with the predictions by ECI and Bolivia did not effectively make strides to develop a competitive product space that helps to accumulate complicated knowledge and technology. In order to provide a more concrete answer to why this has happened, we will dive into an analysis of Bolivia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Bolivia’s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ind w:left="2160" w:firstLine="720"/>
        <w:jc w:val="both"/>
        <w:rPr/>
      </w:pPr>
      <w:r w:rsidDel="00000000" w:rsidR="00000000" w:rsidRPr="00000000">
        <w:rPr/>
        <w:drawing>
          <wp:inline distB="114300" distT="114300" distL="114300" distR="114300">
            <wp:extent cx="1947414" cy="3681413"/>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947414"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Bolivia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Bolivia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Boliva’s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ind w:left="0" w:firstLine="0"/>
        <w:jc w:val="both"/>
        <w:rPr/>
      </w:pPr>
      <w:r w:rsidDel="00000000" w:rsidR="00000000" w:rsidRPr="00000000">
        <w:rPr/>
        <w:drawing>
          <wp:inline distB="114300" distT="114300" distL="114300" distR="114300">
            <wp:extent cx="5725982" cy="3157538"/>
            <wp:effectExtent b="0" l="0" r="0" t="0"/>
            <wp:docPr id="1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25982"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drawing>
          <wp:inline distB="114300" distT="114300" distL="114300" distR="114300">
            <wp:extent cx="5731200" cy="3213100"/>
            <wp:effectExtent b="0" l="0" r="0" t="0"/>
            <wp:docPr id="20"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   </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SDV of Bolivia and Comparable</w:t>
      </w:r>
      <w:r w:rsidDel="00000000" w:rsidR="00000000" w:rsidRPr="00000000">
        <w:rPr>
          <w:rtl w:val="0"/>
        </w:rPr>
        <w:t xml:space="preserve"> Countries 2013(up), 2018(down)</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Bolivia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Bolivia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5731200" cy="2387600"/>
            <wp:effectExtent b="0" l="0" r="0" t="0"/>
            <wp:docPr id="2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Below is the economic panel for Bolivia in 2013. We can see that for different percentages of heuristic total export growth, the ECIs of Bolivia have different amounts of increments. Overall, 5 and 10 percent export growth result in a similar ECI improvement pattern, which starts from around -1.08 and ends at around -0.20. However, 15 and 20 percent export growth are able to result in obvious ECI improvement trajectories. For a 15 percent growth budget, ECI of Bolivia is able to end at around -0.12 while for a 20 percent budget, the increment is even more obvious, eventually achieving around 0.02. </w:t>
      </w:r>
    </w:p>
    <w:p w:rsidR="00000000" w:rsidDel="00000000" w:rsidP="00000000" w:rsidRDefault="00000000" w:rsidRPr="00000000" w14:paraId="00000120">
      <w:pPr>
        <w:pageBreakBefore w:val="0"/>
        <w:jc w:val="both"/>
        <w:rPr/>
      </w:pPr>
      <w:r w:rsidDel="00000000" w:rsidR="00000000" w:rsidRPr="00000000">
        <w:rPr>
          <w:rtl w:val="0"/>
        </w:rPr>
        <w:t xml:space="preserve"> </w:t>
      </w:r>
    </w:p>
    <w:p w:rsidR="00000000" w:rsidDel="00000000" w:rsidP="00000000" w:rsidRDefault="00000000" w:rsidRPr="00000000" w14:paraId="00000121">
      <w:pPr>
        <w:pageBreakBefore w:val="0"/>
        <w:jc w:val="both"/>
        <w:rPr/>
      </w:pPr>
      <w:r w:rsidDel="00000000" w:rsidR="00000000" w:rsidRPr="00000000">
        <w:rPr>
          <w:rtl w:val="0"/>
        </w:rPr>
        <w:t xml:space="preserve">For the case of 5 percent export growth, chemicals, wood products and animals and by-products account for most of the portfolio. For 10 percent export growth, in addition to the industries that we mentioned before, more weights are put on other industries, such as services and utilities, and metals. In these two ECI improvement trajectories, we also notice that the largest improvement comes from services and utilities, suggesting that with a low economic improvement anticipation, Bolivia should focus more on developing the industry of services and utilities. For the case of 15 and 20 percent increment budgets, we realize that the development trajectories are in a similar pattern except that there are a few additional steps when there are more budgets. Different from the previous two cases, the solutions suggest that Bolivia should invest more on raw manufacturing and chemical manufacturing.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1200" cy="28702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2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Figure 5: Greedy Based ECI Improvement Results of Bolivia in 2013 with Different Budgets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731200" cy="16510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center"/>
        <w:rPr/>
      </w:pPr>
      <w:r w:rsidDel="00000000" w:rsidR="00000000" w:rsidRPr="00000000">
        <w:rPr>
          <w:rtl w:val="0"/>
        </w:rPr>
        <w:t xml:space="preserve">Table 8: Portfolio of Bolivia in 2013</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For further suggestions on Bolivia’s development in the future. We also offer the optimization result of Bolivia based on export data in 2018. Below is the economic panel for Bolivia in 2018. We can see that the ECI improvement trajectories are much lower than in the 2013 case, the improvements in 5 and 10 percent export growth are lower, and the ones in 15 and 20 are also lower. Another striking difference in the growth optimization result is that for a 5 percent export growth, there is a greater emphasis on chemicals and animal products and lower on textile and metals. For a 10 percent growth, the main components are Raw Manufacturing and Services and Utilities. For situations with higher budgets of investment, like 15 or 20 percent of growth, the portfolios are much more diverse than the previous two cases. In detail, industries like animals and by-products, services and utilities. and raw manufacturing are the ones that contribute a lot in ECI increments. A more detailed numerical representation of the portfolio is shown in Table 9. </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1905000"/>
            <wp:effectExtent b="0" l="0" r="0" t="0"/>
            <wp:docPr id="1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1905000"/>
                    </a:xfrm>
                    <a:prstGeom prst="rect"/>
                    <a:ln/>
                  </pic:spPr>
                </pic:pic>
              </a:graphicData>
            </a:graphic>
          </wp:inline>
        </w:drawing>
      </w:r>
      <w:r w:rsidDel="00000000" w:rsidR="00000000" w:rsidRPr="00000000">
        <w:rPr/>
        <w:drawing>
          <wp:inline distB="114300" distT="114300" distL="114300" distR="114300">
            <wp:extent cx="5731200" cy="1625600"/>
            <wp:effectExtent b="0" l="0" r="0" t="0"/>
            <wp:docPr id="2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center"/>
        <w:rPr/>
      </w:pPr>
      <w:r w:rsidDel="00000000" w:rsidR="00000000" w:rsidRPr="00000000">
        <w:rPr>
          <w:rtl w:val="0"/>
        </w:rPr>
        <w:t xml:space="preserve">Figure 6: Greedy Based ECI Improvement Results of Bolivia in 2018 with Different Budgets</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drawing>
          <wp:inline distB="114300" distT="114300" distL="114300" distR="114300">
            <wp:extent cx="5731200" cy="1600200"/>
            <wp:effectExtent b="0" l="0" r="0" t="0"/>
            <wp:docPr id="2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center"/>
        <w:rPr/>
      </w:pPr>
      <w:r w:rsidDel="00000000" w:rsidR="00000000" w:rsidRPr="00000000">
        <w:rPr>
          <w:rtl w:val="0"/>
        </w:rPr>
        <w:t xml:space="preserve">Table 9: Portfolio of Bolivia in 2018</w:t>
      </w:r>
    </w:p>
    <w:p w:rsidR="00000000" w:rsidDel="00000000" w:rsidP="00000000" w:rsidRDefault="00000000" w:rsidRPr="00000000" w14:paraId="00000135">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In the following section our broad aim is to understand how sensitive Bolivia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7">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A">
      <w:pPr>
        <w:pageBreakBefore w:val="0"/>
        <w:spacing w:after="240" w:before="240" w:line="276" w:lineRule="auto"/>
        <w:ind w:left="720" w:firstLine="720"/>
        <w:rPr>
          <w:b w:val="1"/>
          <w:bCs w:val="1"/>
        </w:rPr>
      </w:pPr>
      <w:r w:rsidDel="00000000" w:rsidR="00000000" w:rsidRPr="00000000">
        <w:rPr>
          <w:b w:val="1"/>
          <w:bCs w:val="1"/>
        </w:rPr>
        <w:drawing>
          <wp:inline distB="114300" distT="114300" distL="114300" distR="114300">
            <wp:extent cx="4350544" cy="2071688"/>
            <wp:effectExtent b="0" l="0" r="0" t="0"/>
            <wp:docPr id="12" name="image5.jpg"/>
            <a:graphic>
              <a:graphicData uri="http://schemas.openxmlformats.org/drawingml/2006/picture">
                <pic:pic>
                  <pic:nvPicPr>
                    <pic:cNvPr id="0" name="image5.jpg"/>
                    <pic:cNvPicPr preferRelativeResize="0"/>
                  </pic:nvPicPr>
                  <pic:blipFill>
                    <a:blip r:embed="rId23"/>
                    <a:srcRect b="0" l="0" r="0" t="9709"/>
                    <a:stretch>
                      <a:fillRect/>
                    </a:stretch>
                  </pic:blipFill>
                  <pic:spPr>
                    <a:xfrm>
                      <a:off x="0" y="0"/>
                      <a:ext cx="435054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2160" w:firstLine="720"/>
        <w:jc w:val="left"/>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C">
      <w:pPr>
        <w:pageBreakBefore w:val="0"/>
        <w:jc w:val="both"/>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E">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F">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0">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1">
      <w:pPr>
        <w:pageBreakBefore w:val="0"/>
        <w:spacing w:line="276" w:lineRule="auto"/>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drawing>
          <wp:inline distB="114300" distT="114300" distL="114300" distR="114300">
            <wp:extent cx="5734050" cy="1739900"/>
            <wp:effectExtent b="0" l="0" r="0" t="0"/>
            <wp:docPr id="5"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4">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5">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6">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7">
      <w:pPr>
        <w:pageBreakBefore w:val="0"/>
        <w:spacing w:line="276" w:lineRule="auto"/>
        <w:rPr/>
      </w:pPr>
      <w:r w:rsidDel="00000000" w:rsidR="00000000" w:rsidRPr="00000000">
        <w:rPr>
          <w:rtl w:val="0"/>
        </w:rPr>
      </w:r>
    </w:p>
    <w:p w:rsidR="00000000" w:rsidDel="00000000" w:rsidP="00000000" w:rsidRDefault="00000000" w:rsidRPr="00000000" w14:paraId="00000148">
      <w:pPr>
        <w:pageBreakBefore w:val="0"/>
        <w:jc w:val="center"/>
        <w:rPr>
          <w:sz w:val="22"/>
          <w:szCs w:val="22"/>
        </w:rPr>
      </w:pPr>
      <w:r w:rsidDel="00000000" w:rsidR="00000000" w:rsidRPr="00000000">
        <w:rPr>
          <w:sz w:val="22"/>
          <w:szCs w:val="22"/>
        </w:rPr>
        <w:drawing>
          <wp:inline distB="114300" distT="114300" distL="114300" distR="114300">
            <wp:extent cx="5731200" cy="3530600"/>
            <wp:effectExtent b="0" l="0" r="0" t="0"/>
            <wp:docPr id="1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center"/>
        <w:rPr>
          <w:sz w:val="22"/>
          <w:szCs w:val="22"/>
        </w:rPr>
      </w:pP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rtl w:val="0"/>
        </w:rPr>
        <w:t xml:space="preserve">Below is Bolivia’s 2018 ECI Sensitivity Charts. Firstly in the positive chart, we notice immediately that increases in Raw Manufacturing lead to an uptrend in ECI. Raw Manufacturing offer the best ECI growth per unit of export increase. Chemicals and Textiles also greatly increase Peru’s ECI.  </w:t>
      </w:r>
    </w:p>
    <w:p w:rsidR="00000000" w:rsidDel="00000000" w:rsidP="00000000" w:rsidRDefault="00000000" w:rsidRPr="00000000" w14:paraId="00000151">
      <w:pPr>
        <w:pageBreakBefore w:val="0"/>
        <w:jc w:val="both"/>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Next we consider Bolivia’s 2018 Negative Shock chart. We see that Bolivia’s ECI is extremely sensitive to drawdowns in Energy Drilling. More interestingly we see that large decreases in Precious Stones and Energy, Mining and Drilling seem to greatly increase the ECI score. These industries are two very important industries for Bolivia’s economy and thus the results that are reflected in the chart may be suggesting that there is another industry that could be very beneficial for Bolivia that is far in proximity from them.  </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drawing>
          <wp:inline distB="114300" distT="114300" distL="114300" distR="114300">
            <wp:extent cx="5357813" cy="3408708"/>
            <wp:effectExtent b="0" l="0" r="0" t="0"/>
            <wp:docPr id="2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357813" cy="340870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ind w:left="0" w:firstLine="0"/>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Peru 2018 (Incremental ECI Sensitivity)</w:t>
      </w:r>
      <w:r w:rsidDel="00000000" w:rsidR="00000000" w:rsidRPr="00000000">
        <w:rPr>
          <w:rtl w:val="0"/>
        </w:rPr>
      </w:r>
    </w:p>
    <w:p w:rsidR="00000000" w:rsidDel="00000000" w:rsidP="00000000" w:rsidRDefault="00000000" w:rsidRPr="00000000" w14:paraId="00000158">
      <w:pPr>
        <w:pageBreakBefore w:val="0"/>
        <w:ind w:left="0" w:firstLine="0"/>
        <w:jc w:val="both"/>
        <w:rPr>
          <w:b w:val="1"/>
          <w:bCs w:val="1"/>
        </w:rPr>
      </w:pPr>
      <w:r w:rsidDel="00000000" w:rsidR="00000000" w:rsidRPr="00000000">
        <w:rPr>
          <w:b w:val="1"/>
          <w:bCs w:val="1"/>
        </w:rPr>
        <w:drawing>
          <wp:inline distB="114300" distT="114300" distL="114300" distR="114300">
            <wp:extent cx="5731200" cy="3644900"/>
            <wp:effectExtent b="0" l="0" r="0" t="0"/>
            <wp:docPr id="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Peru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b w:val="1"/>
          <w:bCs w:val="1"/>
        </w:rPr>
        <w:drawing>
          <wp:inline distB="114300" distT="114300" distL="114300" distR="114300">
            <wp:extent cx="5427136" cy="3452813"/>
            <wp:effectExtent b="0" l="0" r="0" t="0"/>
            <wp:docPr id="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427136"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Peru 2013 (Incremental ECI Sensitivity)</w:t>
      </w:r>
    </w:p>
    <w:p w:rsidR="00000000" w:rsidDel="00000000" w:rsidP="00000000" w:rsidRDefault="00000000" w:rsidRPr="00000000" w14:paraId="00000162">
      <w:pPr>
        <w:pageBreakBefore w:val="0"/>
        <w:jc w:val="both"/>
        <w:rPr>
          <w:b w:val="1"/>
          <w:bCs w:val="1"/>
        </w:rPr>
      </w:pPr>
      <w:r w:rsidDel="00000000" w:rsidR="00000000" w:rsidRPr="00000000">
        <w:rPr>
          <w:b w:val="1"/>
          <w:bCs w:val="1"/>
        </w:rPr>
        <w:drawing>
          <wp:inline distB="114300" distT="114300" distL="114300" distR="114300">
            <wp:extent cx="5529263" cy="3517787"/>
            <wp:effectExtent b="0" l="0" r="0" t="0"/>
            <wp:docPr id="2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529263" cy="351778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rtl w:val="0"/>
        </w:rPr>
        <w:t xml:space="preserve">Bolivia 2013 (Decremental  ECI Sensitivity)</w:t>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Below we see the SDV sensitivity charts for Metals. We see that after increasing the export of Metals by 20% there is no additional gain to ECI even by increasing the export more. As to start with, after 20% increase in export of metals no industries within the SDV have negative opportunity gain.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In the negative  SDV chart, we see that as we decrease the export of Metals the ECI does not change. Additionally, it is not optimal to decrease the export of metals at all.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Concerning Precious Stones, Bolivia seems to be mostly insensitive towards increasing this  However, decreasing exports in this sector leads to gains in ECI. Decreasing export by 82% leads to optimum ECI increase.  </w:t>
      </w:r>
    </w:p>
    <w:p w:rsidR="00000000" w:rsidDel="00000000" w:rsidP="00000000" w:rsidRDefault="00000000" w:rsidRPr="00000000" w14:paraId="0000016D">
      <w:pPr>
        <w:pageBreakBefore w:val="0"/>
        <w:ind w:left="1440" w:firstLine="720"/>
        <w:rPr/>
      </w:pPr>
      <w:r w:rsidDel="00000000" w:rsidR="00000000" w:rsidRPr="00000000">
        <w:rPr/>
        <w:drawing>
          <wp:inline distB="114300" distT="114300" distL="114300" distR="114300">
            <wp:extent cx="3491893" cy="3671888"/>
            <wp:effectExtent b="0" l="0" r="0" t="0"/>
            <wp:docPr id="31"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349189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r>
    </w:p>
    <w:p w:rsidR="00000000" w:rsidDel="00000000" w:rsidP="00000000" w:rsidRDefault="00000000" w:rsidRPr="00000000" w14:paraId="0000016F">
      <w:pPr>
        <w:pageBreakBefore w:val="0"/>
        <w:ind w:left="720" w:firstLine="720"/>
        <w:jc w:val="left"/>
        <w:rPr/>
      </w:pPr>
      <w:r w:rsidDel="00000000" w:rsidR="00000000" w:rsidRPr="00000000">
        <w:rPr>
          <w:rtl w:val="0"/>
        </w:rPr>
        <w:t xml:space="preserve">           Bolivia Metals 2018 (Incremental SDV Sensitivity)</w:t>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ind w:left="2880" w:firstLine="720"/>
        <w:rPr>
          <w:b w:val="1"/>
          <w:bCs w:val="1"/>
        </w:rPr>
      </w:pPr>
      <w:r w:rsidDel="00000000" w:rsidR="00000000" w:rsidRPr="00000000">
        <w:rPr/>
        <w:drawing>
          <wp:inline distB="114300" distT="114300" distL="114300" distR="114300">
            <wp:extent cx="1719208" cy="3267351"/>
            <wp:effectExtent b="0" l="0" r="0" t="0"/>
            <wp:docPr id="2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719208" cy="3267351"/>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jc w:val="center"/>
        <w:rPr>
          <w:b w:val="1"/>
          <w:bCs w:val="1"/>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Bolivia</w:t>
      </w:r>
      <w:r w:rsidDel="00000000" w:rsidR="00000000" w:rsidRPr="00000000">
        <w:rPr>
          <w:rtl w:val="0"/>
        </w:rPr>
        <w:t xml:space="preserve"> Metals 2018 (Decremental SDV Sensitivity)</w:t>
      </w:r>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720" w:firstLine="720"/>
        <w:jc w:val="left"/>
        <w:rPr/>
      </w:pPr>
      <w:r w:rsidDel="00000000" w:rsidR="00000000" w:rsidRPr="00000000">
        <w:rPr>
          <w:rtl w:val="0"/>
        </w:rPr>
        <w:t xml:space="preserve">                          </w:t>
      </w:r>
    </w:p>
    <w:p w:rsidR="00000000" w:rsidDel="00000000" w:rsidP="00000000" w:rsidRDefault="00000000" w:rsidRPr="00000000" w14:paraId="00000177">
      <w:pPr>
        <w:pageBreakBefore w:val="0"/>
        <w:ind w:left="720" w:firstLine="720"/>
        <w:jc w:val="left"/>
        <w:rPr/>
      </w:pPr>
      <w:r w:rsidDel="00000000" w:rsidR="00000000" w:rsidRPr="00000000">
        <w:rPr>
          <w:rtl w:val="0"/>
        </w:rPr>
        <w:t xml:space="preserve">                              </w:t>
      </w:r>
      <w:r w:rsidDel="00000000" w:rsidR="00000000" w:rsidRPr="00000000">
        <w:rPr/>
        <w:drawing>
          <wp:inline distB="114300" distT="114300" distL="114300" distR="114300">
            <wp:extent cx="1926068" cy="3186113"/>
            <wp:effectExtent b="0" l="0" r="0" t="0"/>
            <wp:docPr id="2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92606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ind w:left="720" w:firstLine="720"/>
        <w:jc w:val="left"/>
        <w:rPr/>
      </w:pP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t xml:space="preserve">Bolivia Precious Stones 2018 (Incremental SDV Sensitivity)</w:t>
      </w:r>
    </w:p>
    <w:p w:rsidR="00000000" w:rsidDel="00000000" w:rsidP="00000000" w:rsidRDefault="00000000" w:rsidRPr="00000000" w14:paraId="0000017A">
      <w:pPr>
        <w:pageBreakBefore w:val="0"/>
        <w:ind w:left="720" w:firstLine="720"/>
        <w:jc w:val="center"/>
        <w:rPr/>
      </w:pPr>
      <w:r w:rsidDel="00000000" w:rsidR="00000000" w:rsidRPr="00000000">
        <w:rPr>
          <w:rtl w:val="0"/>
        </w:rPr>
      </w:r>
    </w:p>
    <w:p w:rsidR="00000000" w:rsidDel="00000000" w:rsidP="00000000" w:rsidRDefault="00000000" w:rsidRPr="00000000" w14:paraId="0000017B">
      <w:pPr>
        <w:pageBreakBefore w:val="0"/>
        <w:jc w:val="center"/>
        <w:rPr>
          <w:b w:val="1"/>
          <w:bCs w:val="1"/>
        </w:rPr>
      </w:pPr>
      <w:r w:rsidDel="00000000" w:rsidR="00000000" w:rsidRPr="00000000">
        <w:rPr>
          <w:b w:val="1"/>
          <w:bCs w:val="1"/>
        </w:rPr>
        <w:drawing>
          <wp:inline distB="114300" distT="114300" distL="114300" distR="114300">
            <wp:extent cx="4603913" cy="3201287"/>
            <wp:effectExtent b="0" l="0" r="0" t="0"/>
            <wp:docPr id="1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4603913" cy="3201287"/>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center"/>
        <w:rPr>
          <w:b w:val="1"/>
          <w:bCs w:val="1"/>
        </w:rPr>
      </w:pPr>
      <w:r w:rsidDel="00000000" w:rsidR="00000000" w:rsidRPr="00000000">
        <w:rPr>
          <w:rtl w:val="0"/>
        </w:rPr>
      </w:r>
    </w:p>
    <w:p w:rsidR="00000000" w:rsidDel="00000000" w:rsidP="00000000" w:rsidRDefault="00000000" w:rsidRPr="00000000" w14:paraId="0000017D">
      <w:pPr>
        <w:pageBreakBefore w:val="0"/>
        <w:ind w:left="720" w:firstLine="720"/>
        <w:jc w:val="center"/>
        <w:rPr/>
      </w:pPr>
      <w:r w:rsidDel="00000000" w:rsidR="00000000" w:rsidRPr="00000000">
        <w:rPr>
          <w:rtl w:val="0"/>
        </w:rPr>
        <w:t xml:space="preserve">Bolivia Precious Stones 2018 (Decremental SDV Sensitivity)</w:t>
      </w:r>
    </w:p>
    <w:p w:rsidR="00000000" w:rsidDel="00000000" w:rsidP="00000000" w:rsidRDefault="00000000" w:rsidRPr="00000000" w14:paraId="0000017E">
      <w:pPr>
        <w:pageBreakBefore w:val="0"/>
        <w:ind w:left="720" w:firstLine="720"/>
        <w:jc w:val="center"/>
        <w:rPr/>
      </w:pPr>
      <w:r w:rsidDel="00000000" w:rsidR="00000000" w:rsidRPr="00000000">
        <w:rPr>
          <w:rtl w:val="0"/>
        </w:rPr>
      </w:r>
    </w:p>
    <w:p w:rsidR="00000000" w:rsidDel="00000000" w:rsidP="00000000" w:rsidRDefault="00000000" w:rsidRPr="00000000" w14:paraId="0000017F">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t xml:space="preserve">Decreasing export of each industry in Bolivia’s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4">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233863" cy="2609241"/>
            <wp:effectExtent b="0" l="0" r="0" t="0"/>
            <wp:docPr id="14"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4233863" cy="2609241"/>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jc w:val="center"/>
        <w:rPr>
          <w:sz w:val="22"/>
          <w:szCs w:val="22"/>
        </w:rPr>
      </w:pPr>
      <w:r w:rsidDel="00000000" w:rsidR="00000000" w:rsidRPr="00000000">
        <w:rPr>
          <w:sz w:val="22"/>
          <w:szCs w:val="22"/>
          <w:rtl w:val="0"/>
        </w:rPr>
        <w:t xml:space="preserve">Bolivia Contingency Strategy 2018</w:t>
      </w:r>
    </w:p>
    <w:p w:rsidR="00000000" w:rsidDel="00000000" w:rsidP="00000000" w:rsidRDefault="00000000" w:rsidRPr="00000000" w14:paraId="00000186">
      <w:pPr>
        <w:pageBreakBefore w:val="0"/>
        <w:jc w:val="center"/>
        <w:rPr>
          <w:sz w:val="22"/>
          <w:szCs w:val="22"/>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E">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8">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b w:val="1"/>
          <w:bCs w:val="1"/>
          <w:rtl w:val="0"/>
        </w:rPr>
        <w:t xml:space="preserve">5.2 SOI of Bolivia and Its Implications</w:t>
      </w:r>
    </w:p>
    <w:p w:rsidR="00000000" w:rsidDel="00000000" w:rsidP="00000000" w:rsidRDefault="00000000" w:rsidRPr="00000000" w14:paraId="0000019B">
      <w:pPr>
        <w:pageBreakBefore w:val="0"/>
        <w:jc w:val="both"/>
        <w:rPr/>
      </w:pPr>
      <w:r w:rsidDel="00000000" w:rsidR="00000000" w:rsidRPr="00000000">
        <w:rPr>
          <w:rtl w:val="0"/>
        </w:rPr>
        <w:t xml:space="preserve">Bolivia for instance, has a high level of structural optimality as compared with its developed peers. As the regression in Figure 7 suggests (the orange curve represents export increase and the blue curve stands for opportunity gain of the corresponding industry), Bolivia demonstrates an average level of correlation with the suggested developmental path, having an adjusted R-square of around 19.5%. Bolivia ranks in top quartile among all countries in terms of SOI and has made a medium rate of economic progress below its developed peers from 2013 to 2018 with a 5-year GDP growth rate of 5.26%, which is consistent with the regression result in Figure 6. This is in direct contrast to other developed economies such as Japan, where there is low SOI of around -5.7% and a corresponding GDP growth of 9.05% from 2013 to 2018, making it a much faster developing economy during the period. In sum, Bolivia’s mixed economic progress from 2013 to 2018 can be at least partially explained by a development strategy that demonstrates a decent, but not perfect, level of matches with our suggested developmental path. In specific, Bolivia invested heavily in the Machinery and Construction industry, while it should have focused more on more industry groups such as Precious Stones and metals. That being said, it stayed fairly in line with our expectations in the raw manufacturing and animals and by-products industry.</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drawing>
          <wp:inline distB="114300" distT="114300" distL="114300" distR="114300">
            <wp:extent cx="5731200" cy="2298700"/>
            <wp:effectExtent b="0" l="0" r="0" t="0"/>
            <wp:docPr id="30"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jc w:val="center"/>
        <w:rPr>
          <w:b w:val="1"/>
          <w:bCs w:val="1"/>
        </w:rPr>
      </w:pPr>
      <w:r w:rsidDel="00000000" w:rsidR="00000000" w:rsidRPr="00000000">
        <w:rPr>
          <w:rtl w:val="0"/>
        </w:rPr>
        <w:t xml:space="preserve">Figure 7: SOI of Peru (2009-2014)</w:t>
      </w:r>
      <w:r w:rsidDel="00000000" w:rsidR="00000000" w:rsidRPr="00000000">
        <w:rPr>
          <w:rtl w:val="0"/>
        </w:rPr>
      </w:r>
    </w:p>
    <w:p w:rsidR="00000000" w:rsidDel="00000000" w:rsidP="00000000" w:rsidRDefault="00000000" w:rsidRPr="00000000" w14:paraId="0000019F">
      <w:pPr>
        <w:pageBreakBefore w:val="0"/>
        <w:jc w:val="both"/>
        <w:rPr>
          <w:b w:val="1"/>
          <w:bCs w:val="1"/>
        </w:rPr>
      </w:pPr>
      <w:r w:rsidDel="00000000" w:rsidR="00000000" w:rsidRPr="00000000">
        <w:rPr>
          <w:rtl w:val="0"/>
        </w:rPr>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In conclusion, Bolivia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Bolivia on the industry group level. The product classification system we adopt allows us to measure the realized industry development for various industry groups and to observe that Bolivia</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Based on our analysis of the opportunity gain and a sensitivity analysis of major industry groups, Bolivia can further its gains by prioritizing Metals and Precious Stones. We further note that Bolivia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Bolivia,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B">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A. Arevalo" w:id="0" w:date="2023-01-18T20:59:13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add % of new annual GDP growth between 2019 to 2021 and if economic complexity decreased/increased</w:t>
      </w:r>
    </w:p>
  </w:comment>
  <w:comment w:author="Javier A. Arevalo" w:id="1" w:date="2023-01-18T20:59:2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decreased, it is in line with other major developed countries</w:t>
      </w:r>
    </w:p>
  </w:comment>
  <w:comment w:author="Javier A. Arevalo" w:id="4" w:date="2023-01-18T21:01:1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whether or not Peru has a comparable growth experience with fast growing economies</w:t>
      </w:r>
    </w:p>
  </w:comment>
  <w:comment w:author="Javier A. Arevalo" w:id="2" w:date="2023-01-18T21:00:17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add post covid explanation of GDP and ECI and whether or not the country prioritized basic, low complexity industries during the pandemic and consequential lockdown</w:t>
      </w:r>
    </w:p>
  </w:comment>
  <w:comment w:author="Javier A. Arevalo" w:id="3" w:date="2023-01-18T21:00:39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add 2021 adjusted R-square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3.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6.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9.png"/><Relationship Id="rId26" Type="http://schemas.openxmlformats.org/officeDocument/2006/relationships/image" Target="media/image7.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image" Target="media/image31.png"/><Relationship Id="rId8" Type="http://schemas.openxmlformats.org/officeDocument/2006/relationships/image" Target="media/image18.png"/><Relationship Id="rId31" Type="http://schemas.openxmlformats.org/officeDocument/2006/relationships/image" Target="media/image14.png"/><Relationship Id="rId30" Type="http://schemas.openxmlformats.org/officeDocument/2006/relationships/image" Target="media/image30.png"/><Relationship Id="rId11" Type="http://schemas.openxmlformats.org/officeDocument/2006/relationships/image" Target="media/image15.png"/><Relationship Id="rId33" Type="http://schemas.openxmlformats.org/officeDocument/2006/relationships/image" Target="media/image24.png"/><Relationship Id="rId10" Type="http://schemas.openxmlformats.org/officeDocument/2006/relationships/image" Target="media/image17.png"/><Relationship Id="rId32" Type="http://schemas.openxmlformats.org/officeDocument/2006/relationships/image" Target="media/image13.png"/><Relationship Id="rId13" Type="http://schemas.openxmlformats.org/officeDocument/2006/relationships/image" Target="media/image26.png"/><Relationship Id="rId35" Type="http://schemas.openxmlformats.org/officeDocument/2006/relationships/image" Target="media/image19.png"/><Relationship Id="rId12" Type="http://schemas.openxmlformats.org/officeDocument/2006/relationships/image" Target="media/image28.png"/><Relationship Id="rId34" Type="http://schemas.openxmlformats.org/officeDocument/2006/relationships/image" Target="media/image22.pn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16.png"/><Relationship Id="rId36" Type="http://schemas.openxmlformats.org/officeDocument/2006/relationships/image" Target="media/image25.png"/><Relationship Id="rId17" Type="http://schemas.openxmlformats.org/officeDocument/2006/relationships/image" Target="media/image9.png"/><Relationship Id="rId39" Type="http://schemas.openxmlformats.org/officeDocument/2006/relationships/footer" Target="footer3.xml"/><Relationship Id="rId16" Type="http://schemas.openxmlformats.org/officeDocument/2006/relationships/image" Target="media/image3.png"/><Relationship Id="rId38" Type="http://schemas.openxmlformats.org/officeDocument/2006/relationships/footer" Target="footer2.xml"/><Relationship Id="rId19" Type="http://schemas.openxmlformats.org/officeDocument/2006/relationships/image" Target="media/image2.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