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9" name="image30.png"/>
            <a:graphic>
              <a:graphicData uri="http://schemas.openxmlformats.org/drawingml/2006/picture">
                <pic:pic>
                  <pic:nvPicPr>
                    <pic:cNvPr id="0" name="image30.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Uruguay</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Ajit Akole, Alex Wei-Liang Ku, Sannidhya Modi, Nouhaila Elmajidi, Alexandra Garcia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Uruguay</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uncover the economic path Uruguay went through during the period from 2013 to 2018. Specifically, we dive into the topic through a macroeconomic overview of Uruguay from the perspective of Gross Domestic Product (GDP) and Economic Complexity Index (ECI), which reflect countries’ production capability and production structure, respectively. We find that during the period of our interest, Uruguay d</w:t>
      </w:r>
      <w:r w:rsidDel="00000000" w:rsidR="00000000" w:rsidRPr="00000000">
        <w:rPr>
          <w:rtl w:val="0"/>
        </w:rPr>
        <w:t xml:space="preserve">emonstrated a high level of economic growth with an average annual GDP growth rate of 19.37%, concurrent with a rate of growth in GDP as compared with other major developed economies and fast growing economies.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w:t>
      </w:r>
      <w:r w:rsidDel="00000000" w:rsidR="00000000" w:rsidRPr="00000000">
        <w:rPr>
          <w:rtl w:val="0"/>
        </w:rPr>
        <w:t xml:space="preserve">he fast pace of GDP growth during the period can be partially explained through analysis of the economic complexity structure of Uruguay on an industry group level. The product classification system we adopt allows us to measure the realized development for various industry groups. We observe that </w:t>
      </w:r>
      <w:r w:rsidDel="00000000" w:rsidR="00000000" w:rsidRPr="00000000">
        <w:rPr>
          <w:rtl w:val="0"/>
        </w:rPr>
        <w:t xml:space="preserve">Uruguay</w:t>
      </w:r>
      <w:r w:rsidDel="00000000" w:rsidR="00000000" w:rsidRPr="00000000">
        <w:rPr>
          <w:rtl w:val="0"/>
        </w:rPr>
        <w:t xml:space="preserve"> consistently relied on developing the </w:t>
      </w:r>
      <w:commentRangeStart w:id="0"/>
      <w:r w:rsidDel="00000000" w:rsidR="00000000" w:rsidRPr="00000000">
        <w:rPr>
          <w:rtl w:val="0"/>
        </w:rPr>
        <w:t xml:space="preserve">Transportation</w:t>
      </w:r>
      <w:commentRangeEnd w:id="0"/>
      <w:r w:rsidDel="00000000" w:rsidR="00000000" w:rsidRPr="00000000">
        <w:commentReference w:id="0"/>
      </w:r>
      <w:r w:rsidDel="00000000" w:rsidR="00000000" w:rsidRPr="00000000">
        <w:rPr>
          <w:rtl w:val="0"/>
        </w:rPr>
        <w:t xml:space="preserve"> industry during the period, while its developed counterparts and emerging economies around the globe adopted much more complex and progressive paths. </w:t>
      </w:r>
      <w:r w:rsidDel="00000000" w:rsidR="00000000" w:rsidRPr="00000000">
        <w:rPr>
          <w:rtl w:val="0"/>
        </w:rPr>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commentRangeStart w:id="1"/>
      <w:r w:rsidDel="00000000" w:rsidR="00000000" w:rsidRPr="00000000">
        <w:rPr>
          <w:rtl w:val="0"/>
        </w:rPr>
        <w:t xml:space="preserve">Based on our analysis of the opportunity gain and a sensitivity analysis of major industry groups, Uruguay can further its gains by </w:t>
      </w:r>
      <w:r w:rsidDel="00000000" w:rsidR="00000000" w:rsidRPr="00000000">
        <w:rPr>
          <w:rtl w:val="0"/>
        </w:rPr>
        <w:t xml:space="preserve">prioritizing</w:t>
      </w:r>
      <w:commentRangeStart w:id="2"/>
      <w:r w:rsidDel="00000000" w:rsidR="00000000" w:rsidRPr="00000000">
        <w:rPr>
          <w:rtl w:val="0"/>
        </w:rPr>
        <w:t xml:space="preserve"> </w:t>
      </w:r>
      <w:r w:rsidDel="00000000" w:rsidR="00000000" w:rsidRPr="00000000">
        <w:rPr>
          <w:rtl w:val="0"/>
        </w:rPr>
        <w:t xml:space="preserve">Metals and Precious Stone</w:t>
      </w:r>
      <w:commentRangeEnd w:id="2"/>
      <w:r w:rsidDel="00000000" w:rsidR="00000000" w:rsidRPr="00000000">
        <w:commentReference w:id="2"/>
      </w:r>
      <w:r w:rsidDel="00000000" w:rsidR="00000000" w:rsidRPr="00000000">
        <w:rPr>
          <w:rtl w:val="0"/>
        </w:rPr>
        <w:t xml:space="preserve">s. We further note that Uruguay has a </w:t>
      </w:r>
      <w:r w:rsidDel="00000000" w:rsidR="00000000" w:rsidRPr="00000000">
        <w:rPr>
          <w:rtl w:val="0"/>
        </w:rPr>
        <w:t xml:space="preserve">slightly mismatched development strategy that indicates a moderately high</w:t>
      </w:r>
      <w:r w:rsidDel="00000000" w:rsidR="00000000" w:rsidRPr="00000000">
        <w:rPr>
          <w:rtl w:val="0"/>
        </w:rPr>
        <w:t xml:space="preserve"> (compared to other developed countries) level of structural optimality on the complexity level, having an adjusted R-square of aroun</w:t>
      </w:r>
      <w:r w:rsidDel="00000000" w:rsidR="00000000" w:rsidRPr="00000000">
        <w:rPr>
          <w:rtl w:val="0"/>
        </w:rPr>
        <w:t xml:space="preserve">d 19.5%</w:t>
      </w:r>
      <w:r w:rsidDel="00000000" w:rsidR="00000000" w:rsidRPr="00000000">
        <w:rPr>
          <w:rtl w:val="0"/>
        </w:rPr>
        <w:t xml:space="preserve">. A significant positive correlation exists between five-year GDP growth and the structural optimality index of an economy as we define and calculate, but Uruguay still has a suboptimal growth experience as compared with fast-growing economies both on a regional scale and on a global scale. However, the country has the potential to further its economic gains through industrial structure optimization as suggested in the paper.</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We aim to uncover the economic path Uruguay went through during the period from 2013 to 2018. Specifically, we dive into the topic through a macroeconomic overview of Uruguay from the perspective of Gross Domestic Product (GDP) and Economic Complexity Index (ECI), which reflect countries’ production capability and production structure, respectively. We then analyze the industrial framework of Uruguay during the period based on quantitative measures such as Product Complexity Index (PCI) and Product Family Complexity Index (PfCI), followed by a detailed analysis of how changes to this framework have matched with development strategies as quantitatively measured by opportunity gains on an industry-level. We conclude our report with macro-level results and predictions of Uruguay,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Uruguay and three of its peer countries (Uruguay, Paraguay, Costa Rica) from 2013-2018. Uruguay, like other peer countries, has shown upwards growth in GDP over the years.Moreover, Uruguay’s GDP has grown at a slower rate than its peer countries.  Uruguay’s average annual growth rate of 3.01% has been lower than its peers, which are 5.3%, 4.94% and 4.35% for Uruguay, Paraguay and Costa Rica respectively.</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rtl w:val="0"/>
        </w:rPr>
      </w:r>
    </w:p>
    <w:p w:rsidR="00000000" w:rsidDel="00000000" w:rsidP="00000000" w:rsidRDefault="00000000" w:rsidRPr="00000000" w14:paraId="0000001D">
      <w:pPr>
        <w:pageBreakBefore w:val="0"/>
        <w:ind w:left="720" w:firstLine="720"/>
        <w:jc w:val="both"/>
        <w:rPr/>
      </w:pPr>
      <w:r w:rsidDel="00000000" w:rsidR="00000000" w:rsidRPr="00000000">
        <w:rPr/>
        <w:drawing>
          <wp:inline distB="114300" distT="114300" distL="114300" distR="114300">
            <wp:extent cx="3638550" cy="2514600"/>
            <wp:effectExtent b="0" l="0" r="0" t="0"/>
            <wp:docPr id="15"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36385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pageBreakBefore w:val="0"/>
        <w:jc w:val="center"/>
        <w:rPr/>
      </w:pPr>
      <w:r w:rsidDel="00000000" w:rsidR="00000000" w:rsidRPr="00000000">
        <w:rPr>
          <w:rtl w:val="0"/>
        </w:rPr>
      </w:r>
    </w:p>
    <w:p w:rsidR="00000000" w:rsidDel="00000000" w:rsidP="00000000" w:rsidRDefault="00000000" w:rsidRPr="00000000" w14:paraId="00000022">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3">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growth pattern for Uruguay. As illustrated in Figure 2 below, Uruguay (-183.37% ECI change) exhibited a increase in terms of its production capability from 2013 to 2018, which is different from Bolivia (21.77%), Costa Rica (-73.57%)and the Paraguay (3.91%). Ultimately, Uruguay is the weakest of the peer country set, as it displays the lowest GDP growth rate and ECI change across the period.</w:t>
      </w:r>
      <w:r w:rsidDel="00000000" w:rsidR="00000000" w:rsidRPr="00000000">
        <w:rPr>
          <w:rtl w:val="0"/>
        </w:rPr>
      </w:r>
    </w:p>
    <w:p w:rsidR="00000000" w:rsidDel="00000000" w:rsidP="00000000" w:rsidRDefault="00000000" w:rsidRPr="00000000" w14:paraId="00000024">
      <w:pPr>
        <w:pageBreakBefore w:val="0"/>
        <w:jc w:val="both"/>
        <w:rPr/>
      </w:pPr>
      <w:r w:rsidDel="00000000" w:rsidR="00000000" w:rsidRPr="00000000">
        <w:rPr>
          <w:rtl w:val="0"/>
        </w:rPr>
      </w:r>
    </w:p>
    <w:p w:rsidR="00000000" w:rsidDel="00000000" w:rsidP="00000000" w:rsidRDefault="00000000" w:rsidRPr="00000000" w14:paraId="00000025">
      <w:pPr>
        <w:pageBreakBefore w:val="0"/>
        <w:ind w:left="720" w:firstLine="720"/>
        <w:jc w:val="both"/>
        <w:rPr/>
      </w:pPr>
      <w:r w:rsidDel="00000000" w:rsidR="00000000" w:rsidRPr="00000000">
        <w:rPr>
          <w:rtl w:val="0"/>
        </w:rPr>
        <w:t xml:space="preserve">      </w:t>
      </w:r>
      <w:r w:rsidDel="00000000" w:rsidR="00000000" w:rsidRPr="00000000">
        <w:rPr/>
        <w:drawing>
          <wp:inline distB="114300" distT="114300" distL="114300" distR="114300">
            <wp:extent cx="3752850" cy="2514600"/>
            <wp:effectExtent b="0" l="0" r="0" t="0"/>
            <wp:docPr id="1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t xml:space="preserve">       Figure 2: ECI Comparison                </w:t>
      </w:r>
    </w:p>
    <w:p w:rsidR="00000000" w:rsidDel="00000000" w:rsidP="00000000" w:rsidRDefault="00000000" w:rsidRPr="00000000" w14:paraId="00000027">
      <w:pPr>
        <w:pageBreakBefore w:val="0"/>
        <w:jc w:val="center"/>
        <w:rPr/>
      </w:pPr>
      <w:r w:rsidDel="00000000" w:rsidR="00000000" w:rsidRPr="00000000">
        <w:rPr>
          <w:rtl w:val="0"/>
        </w:rPr>
      </w:r>
    </w:p>
    <w:p w:rsidR="00000000" w:rsidDel="00000000" w:rsidP="00000000" w:rsidRDefault="00000000" w:rsidRPr="00000000" w14:paraId="00000028">
      <w:pPr>
        <w:pageBreakBefore w:val="0"/>
        <w:ind w:firstLine="720"/>
        <w:jc w:val="center"/>
        <w:rPr/>
      </w:pPr>
      <w:r w:rsidDel="00000000" w:rsidR="00000000" w:rsidRPr="00000000">
        <w:rPr/>
        <w:drawing>
          <wp:inline distB="114300" distT="114300" distL="114300" distR="114300">
            <wp:extent cx="4076700" cy="2514600"/>
            <wp:effectExtent b="0" l="0" r="0" t="0"/>
            <wp:docPr id="1"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40767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jc w:val="center"/>
        <w:rPr/>
      </w:pPr>
      <w:r w:rsidDel="00000000" w:rsidR="00000000" w:rsidRPr="00000000">
        <w:rPr>
          <w:rtl w:val="0"/>
        </w:rPr>
        <w:t xml:space="preserve">           </w:t>
      </w:r>
    </w:p>
    <w:p w:rsidR="00000000" w:rsidDel="00000000" w:rsidP="00000000" w:rsidRDefault="00000000" w:rsidRPr="00000000" w14:paraId="0000002A">
      <w:pPr>
        <w:pageBreakBefore w:val="0"/>
        <w:jc w:val="center"/>
        <w:rPr/>
      </w:pPr>
      <w:r w:rsidDel="00000000" w:rsidR="00000000" w:rsidRPr="00000000">
        <w:rPr>
          <w:rtl w:val="0"/>
        </w:rPr>
        <w:t xml:space="preserve"> Figure 3: GDP Growth and ECI (Bolivia)</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both"/>
        <w:rPr/>
      </w:pPr>
      <w:r w:rsidDel="00000000" w:rsidR="00000000" w:rsidRPr="00000000">
        <w:rPr>
          <w:rtl w:val="0"/>
        </w:rPr>
        <w:t xml:space="preserve">Figure 3 offers a further comparison of GDP Growth and ECI over the time span from 2013 to 2018 for Uruguay. The increase in GDP during the period from 2013 to 2018 is accompanied by a sharp decline in ECI. The results show that the economic growth experienced by Uruguay during the period from 2013 to 2018 is not very consistent with the predictions by ECI and Uruguay did not effectively make strides to develop a competitive product space that helps to accumulate complicated knowledge and technology. In order to provide a more concrete answer to why this has happened, we will dive into an analysis of Uruguay production structure and its product space designs in the next few chapters. </w:t>
      </w:r>
    </w:p>
    <w:p w:rsidR="00000000" w:rsidDel="00000000" w:rsidP="00000000" w:rsidRDefault="00000000" w:rsidRPr="00000000" w14:paraId="0000002D">
      <w:pPr>
        <w:pageBreakBefore w:val="0"/>
        <w:jc w:val="both"/>
        <w:rPr>
          <w:b w:val="1"/>
          <w:bCs w:val="1"/>
        </w:rPr>
      </w:pPr>
      <w:r w:rsidDel="00000000" w:rsidR="00000000" w:rsidRPr="00000000">
        <w:rPr>
          <w:rtl w:val="0"/>
        </w:rPr>
      </w:r>
    </w:p>
    <w:p w:rsidR="00000000" w:rsidDel="00000000" w:rsidP="00000000" w:rsidRDefault="00000000" w:rsidRPr="00000000" w14:paraId="0000002E">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2F">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0">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1">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2">
      <w:pPr>
        <w:pageBreakBefore w:val="0"/>
        <w:jc w:val="both"/>
        <w:rPr/>
      </w:pPr>
      <w:r w:rsidDel="00000000" w:rsidR="00000000" w:rsidRPr="00000000">
        <w:rPr>
          <w:rtl w:val="0"/>
        </w:rPr>
      </w:r>
    </w:p>
    <w:p w:rsidR="00000000" w:rsidDel="00000000" w:rsidP="00000000" w:rsidRDefault="00000000" w:rsidRPr="00000000" w14:paraId="00000033">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4">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5">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6">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7">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8">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9">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3A">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3B">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3C">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5">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1">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5B">
      <w:pPr>
        <w:pageBreakBefore w:val="0"/>
        <w:jc w:val="both"/>
        <w:rPr/>
      </w:pPr>
      <w:r w:rsidDel="00000000" w:rsidR="00000000" w:rsidRPr="00000000">
        <w:rPr>
          <w:rtl w:val="0"/>
        </w:rPr>
      </w:r>
    </w:p>
    <w:p w:rsidR="00000000" w:rsidDel="00000000" w:rsidP="00000000" w:rsidRDefault="00000000" w:rsidRPr="00000000" w14:paraId="0000005C">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5D">
      <w:pPr>
        <w:pageBreakBefore w:val="0"/>
        <w:jc w:val="both"/>
        <w:rPr/>
      </w:pPr>
      <w:r w:rsidDel="00000000" w:rsidR="00000000" w:rsidRPr="00000000">
        <w:rPr>
          <w:rtl w:val="0"/>
        </w:rPr>
      </w:r>
    </w:p>
    <w:p w:rsidR="00000000" w:rsidDel="00000000" w:rsidP="00000000" w:rsidRDefault="00000000" w:rsidRPr="00000000" w14:paraId="0000005E">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5F">
      <w:pPr>
        <w:pageBreakBefore w:val="0"/>
        <w:jc w:val="both"/>
        <w:rPr/>
      </w:pPr>
      <w:r w:rsidDel="00000000" w:rsidR="00000000" w:rsidRPr="00000000">
        <w:rPr>
          <w:rtl w:val="0"/>
        </w:rPr>
      </w:r>
    </w:p>
    <w:p w:rsidR="00000000" w:rsidDel="00000000" w:rsidP="00000000" w:rsidRDefault="00000000" w:rsidRPr="00000000" w14:paraId="00000060">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1">
            <w:pPr>
              <w:pageBreakBefore w:val="0"/>
              <w:jc w:val="center"/>
              <w:rPr/>
            </w:pPr>
            <w:r w:rsidDel="00000000" w:rsidR="00000000" w:rsidRPr="00000000">
              <w:rPr>
                <w:rtl w:val="0"/>
              </w:rPr>
            </w:r>
          </w:p>
        </w:tc>
        <w:tc>
          <w:tcPr/>
          <w:p w:rsidR="00000000" w:rsidDel="00000000" w:rsidP="00000000" w:rsidRDefault="00000000" w:rsidRPr="00000000" w14:paraId="00000062">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3">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4">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5">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66">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67">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68">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69">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A">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6B">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6C">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6D">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6E">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6F">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70">
            <w:pPr>
              <w:pageBreakBefore w:val="0"/>
              <w:jc w:val="center"/>
              <w:rPr/>
            </w:pPr>
            <w:r w:rsidDel="00000000" w:rsidR="00000000" w:rsidRPr="00000000">
              <w:rPr>
                <w:rtl w:val="0"/>
              </w:rPr>
              <w:t xml:space="preserve">107</w:t>
            </w:r>
          </w:p>
        </w:tc>
      </w:tr>
    </w:tbl>
    <w:p w:rsidR="00000000" w:rsidDel="00000000" w:rsidP="00000000" w:rsidRDefault="00000000" w:rsidRPr="00000000" w14:paraId="00000071">
      <w:pPr>
        <w:pageBreakBefore w:val="0"/>
        <w:jc w:val="center"/>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73">
      <w:pPr>
        <w:pageBreakBefore w:val="0"/>
        <w:jc w:val="both"/>
        <w:rPr/>
      </w:pPr>
      <w:r w:rsidDel="00000000" w:rsidR="00000000" w:rsidRPr="00000000">
        <w:rPr>
          <w:rtl w:val="0"/>
        </w:rPr>
      </w:r>
    </w:p>
    <w:p w:rsidR="00000000" w:rsidDel="00000000" w:rsidP="00000000" w:rsidRDefault="00000000" w:rsidRPr="00000000" w14:paraId="00000074">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5">
            <w:pPr>
              <w:pageBreakBefore w:val="0"/>
              <w:jc w:val="center"/>
              <w:rPr/>
            </w:pPr>
            <w:r w:rsidDel="00000000" w:rsidR="00000000" w:rsidRPr="00000000">
              <w:rPr>
                <w:rtl w:val="0"/>
              </w:rPr>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7">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8">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7D">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E">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7F">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1">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3">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4">
            <w:pPr>
              <w:pageBreakBefore w:val="0"/>
              <w:jc w:val="center"/>
              <w:rPr/>
            </w:pPr>
            <w:r w:rsidDel="00000000" w:rsidR="00000000" w:rsidRPr="00000000">
              <w:rPr>
                <w:rtl w:val="0"/>
              </w:rPr>
              <w:t xml:space="preserve">21</w:t>
            </w:r>
          </w:p>
        </w:tc>
      </w:tr>
    </w:tbl>
    <w:p w:rsidR="00000000" w:rsidDel="00000000" w:rsidP="00000000" w:rsidRDefault="00000000" w:rsidRPr="00000000" w14:paraId="00000085">
      <w:pPr>
        <w:pageBreakBefore w:val="0"/>
        <w:jc w:val="center"/>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87">
      <w:pPr>
        <w:pageBreakBefore w:val="0"/>
        <w:jc w:val="center"/>
        <w:rPr>
          <w:sz w:val="20"/>
          <w:szCs w:val="20"/>
        </w:rPr>
      </w:pPr>
      <w:r w:rsidDel="00000000" w:rsidR="00000000" w:rsidRPr="00000000">
        <w:rPr>
          <w:rtl w:val="0"/>
        </w:rPr>
      </w:r>
    </w:p>
    <w:p w:rsidR="00000000" w:rsidDel="00000000" w:rsidP="00000000" w:rsidRDefault="00000000" w:rsidRPr="00000000" w14:paraId="00000088">
      <w:pPr>
        <w:pageBreakBefore w:val="0"/>
        <w:jc w:val="center"/>
        <w:rPr/>
      </w:pPr>
      <w:r w:rsidDel="00000000" w:rsidR="00000000" w:rsidRPr="00000000">
        <w:rPr>
          <w:rtl w:val="0"/>
        </w:rPr>
      </w:r>
    </w:p>
    <w:p w:rsidR="00000000" w:rsidDel="00000000" w:rsidP="00000000" w:rsidRDefault="00000000" w:rsidRPr="00000000" w14:paraId="00000089">
      <w:pPr>
        <w:pageBreakBefore w:val="0"/>
        <w:jc w:val="both"/>
        <w:rPr>
          <w:b w:val="1"/>
          <w:bCs w:val="1"/>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B">
      <w:pPr>
        <w:pageBreakBefore w:val="0"/>
        <w:jc w:val="both"/>
        <w:rPr/>
      </w:pPr>
      <w:r w:rsidDel="00000000" w:rsidR="00000000" w:rsidRPr="00000000">
        <w:rPr>
          <w:rtl w:val="0"/>
        </w:rPr>
        <w:t xml:space="preserve">Based on the product categorization aforementioned, we aim to capture Uruguay’s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w:t>
      </w:r>
    </w:p>
    <w:p w:rsidR="00000000" w:rsidDel="00000000" w:rsidP="00000000" w:rsidRDefault="00000000" w:rsidRPr="00000000" w14:paraId="0000008C">
      <w:pPr>
        <w:pageBreakBefore w:val="0"/>
        <w:ind w:left="2160" w:firstLine="720"/>
        <w:jc w:val="both"/>
        <w:rPr/>
      </w:pPr>
      <w:r w:rsidDel="00000000" w:rsidR="00000000" w:rsidRPr="00000000">
        <w:rPr/>
        <w:drawing>
          <wp:inline distB="114300" distT="114300" distL="114300" distR="114300">
            <wp:extent cx="2043113" cy="4046553"/>
            <wp:effectExtent b="0" l="0" r="0" t="0"/>
            <wp:docPr id="27"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2043113" cy="4046553"/>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jc w:val="center"/>
        <w:rPr/>
      </w:pPr>
      <w:r w:rsidDel="00000000" w:rsidR="00000000" w:rsidRPr="00000000">
        <w:rPr>
          <w:rtl w:val="0"/>
        </w:rPr>
      </w:r>
    </w:p>
    <w:p w:rsidR="00000000" w:rsidDel="00000000" w:rsidP="00000000" w:rsidRDefault="00000000" w:rsidRPr="00000000" w14:paraId="0000008E">
      <w:pPr>
        <w:pageBreakBefore w:val="0"/>
        <w:jc w:val="center"/>
        <w:rPr/>
      </w:pPr>
      <w:r w:rsidDel="00000000" w:rsidR="00000000" w:rsidRPr="00000000">
        <w:rPr>
          <w:rtl w:val="0"/>
        </w:rPr>
        <w:t xml:space="preserve">Table 2: Realized Industry Development (RID) of Uruguay</w:t>
      </w:r>
    </w:p>
    <w:p w:rsidR="00000000" w:rsidDel="00000000" w:rsidP="00000000" w:rsidRDefault="00000000" w:rsidRPr="00000000" w14:paraId="0000008F">
      <w:pPr>
        <w:pageBreakBefore w:val="0"/>
        <w:jc w:val="both"/>
        <w:rPr>
          <w:b w:val="1"/>
          <w:bCs w:val="1"/>
        </w:rPr>
      </w:pPr>
      <w:r w:rsidDel="00000000" w:rsidR="00000000" w:rsidRPr="00000000">
        <w:rPr>
          <w:rtl w:val="0"/>
        </w:rPr>
      </w:r>
    </w:p>
    <w:p w:rsidR="00000000" w:rsidDel="00000000" w:rsidP="00000000" w:rsidRDefault="00000000" w:rsidRPr="00000000" w14:paraId="00000090">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1">
      <w:pPr>
        <w:pageBreakBefore w:val="0"/>
        <w:jc w:val="both"/>
        <w:rPr/>
      </w:pPr>
      <w:r w:rsidDel="00000000" w:rsidR="00000000" w:rsidRPr="00000000">
        <w:rPr>
          <w:rtl w:val="0"/>
        </w:rPr>
        <w:t xml:space="preserve">Table 3 and 4 below summarize how the production strategy adopted by Uruguay compares with leading economies and a selected group of emerging economies in the world, as measured in RID. </w:t>
      </w:r>
    </w:p>
    <w:p w:rsidR="00000000" w:rsidDel="00000000" w:rsidP="00000000" w:rsidRDefault="00000000" w:rsidRPr="00000000" w14:paraId="00000092">
      <w:pPr>
        <w:pageBreakBefore w:val="0"/>
        <w:jc w:val="both"/>
        <w:rPr/>
      </w:pPr>
      <w:r w:rsidDel="00000000" w:rsidR="00000000" w:rsidRPr="00000000">
        <w:rPr>
          <w:rtl w:val="0"/>
        </w:rPr>
      </w:r>
    </w:p>
    <w:tbl>
      <w:tblPr>
        <w:tblStyle w:val="Table4"/>
        <w:tblW w:w="89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93">
            <w:pPr>
              <w:pageBreakBefore w:val="0"/>
              <w:jc w:val="both"/>
              <w:rPr/>
            </w:pPr>
            <w:r w:rsidDel="00000000" w:rsidR="00000000" w:rsidRPr="00000000">
              <w:rPr>
                <w:rtl w:val="0"/>
              </w:rPr>
              <w:t xml:space="preserve">Ranking</w:t>
            </w:r>
          </w:p>
        </w:tc>
        <w:tc>
          <w:tcPr/>
          <w:p w:rsidR="00000000" w:rsidDel="00000000" w:rsidP="00000000" w:rsidRDefault="00000000" w:rsidRPr="00000000" w14:paraId="00000094">
            <w:pPr>
              <w:pageBreakBefore w:val="0"/>
              <w:jc w:val="both"/>
              <w:rPr/>
            </w:pPr>
            <w:r w:rsidDel="00000000" w:rsidR="00000000" w:rsidRPr="00000000">
              <w:rPr>
                <w:rtl w:val="0"/>
              </w:rPr>
              <w:t xml:space="preserve">France</w:t>
            </w:r>
          </w:p>
        </w:tc>
        <w:tc>
          <w:tcPr/>
          <w:p w:rsidR="00000000" w:rsidDel="00000000" w:rsidP="00000000" w:rsidRDefault="00000000" w:rsidRPr="00000000" w14:paraId="00000095">
            <w:pPr>
              <w:pageBreakBefore w:val="0"/>
              <w:jc w:val="both"/>
              <w:rPr/>
            </w:pPr>
            <w:r w:rsidDel="00000000" w:rsidR="00000000" w:rsidRPr="00000000">
              <w:rPr>
                <w:rtl w:val="0"/>
              </w:rPr>
              <w:t xml:space="preserve">US</w:t>
            </w:r>
          </w:p>
        </w:tc>
        <w:tc>
          <w:tcPr/>
          <w:p w:rsidR="00000000" w:rsidDel="00000000" w:rsidP="00000000" w:rsidRDefault="00000000" w:rsidRPr="00000000" w14:paraId="00000096">
            <w:pPr>
              <w:pageBreakBefore w:val="0"/>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97">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98">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99">
            <w:pPr>
              <w:pageBreakBefore w:val="0"/>
              <w:jc w:val="both"/>
              <w:rPr>
                <w:sz w:val="20"/>
                <w:szCs w:val="20"/>
              </w:rPr>
            </w:pPr>
            <w:r w:rsidDel="00000000" w:rsidR="00000000" w:rsidRPr="00000000">
              <w:rPr>
                <w:sz w:val="20"/>
                <w:szCs w:val="20"/>
                <w:rtl w:val="0"/>
              </w:rPr>
              <w:t xml:space="preserve">Services and Utilities</w:t>
            </w:r>
          </w:p>
        </w:tc>
        <w:tc>
          <w:tcPr>
            <w:vAlign w:val="bottom"/>
          </w:tcPr>
          <w:p w:rsidR="00000000" w:rsidDel="00000000" w:rsidP="00000000" w:rsidRDefault="00000000" w:rsidRPr="00000000" w14:paraId="0000009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9B">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9C">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9D">
            <w:pPr>
              <w:pageBreakBefore w:val="0"/>
              <w:jc w:val="both"/>
              <w:rPr>
                <w:sz w:val="20"/>
                <w:szCs w:val="20"/>
              </w:rPr>
            </w:pPr>
            <w:r w:rsidDel="00000000" w:rsidR="00000000" w:rsidRPr="00000000">
              <w:rPr>
                <w:sz w:val="20"/>
                <w:szCs w:val="20"/>
                <w:rtl w:val="0"/>
              </w:rPr>
              <w:t xml:space="preserve">Weapons</w:t>
            </w:r>
          </w:p>
        </w:tc>
        <w:tc>
          <w:tcPr>
            <w:vAlign w:val="bottom"/>
          </w:tcPr>
          <w:p w:rsidR="00000000" w:rsidDel="00000000" w:rsidP="00000000" w:rsidRDefault="00000000" w:rsidRPr="00000000" w14:paraId="0000009E">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9F">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A0">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A1">
            <w:pPr>
              <w:pageBreakBefore w:val="0"/>
              <w:jc w:val="both"/>
              <w:rPr>
                <w:sz w:val="20"/>
                <w:szCs w:val="20"/>
              </w:rPr>
            </w:pPr>
            <w:r w:rsidDel="00000000" w:rsidR="00000000" w:rsidRPr="00000000">
              <w:rPr>
                <w:sz w:val="20"/>
                <w:szCs w:val="20"/>
                <w:rtl w:val="0"/>
              </w:rPr>
              <w:t xml:space="preserve">Raw Manufacturing</w:t>
            </w:r>
          </w:p>
        </w:tc>
        <w:tc>
          <w:tcPr>
            <w:vAlign w:val="bottom"/>
          </w:tcPr>
          <w:p w:rsidR="00000000" w:rsidDel="00000000" w:rsidP="00000000" w:rsidRDefault="00000000" w:rsidRPr="00000000" w14:paraId="000000A2">
            <w:pPr>
              <w:pageBreakBefore w:val="0"/>
              <w:jc w:val="both"/>
              <w:rPr>
                <w:sz w:val="20"/>
                <w:szCs w:val="20"/>
              </w:rPr>
            </w:pPr>
            <w:r w:rsidDel="00000000" w:rsidR="00000000" w:rsidRPr="00000000">
              <w:rPr>
                <w:sz w:val="20"/>
                <w:szCs w:val="20"/>
                <w:rtl w:val="0"/>
              </w:rPr>
              <w:t xml:space="preserve">Wood Products</w:t>
            </w:r>
          </w:p>
        </w:tc>
      </w:tr>
      <w:tr>
        <w:trPr>
          <w:cantSplit w:val="0"/>
          <w:tblHeader w:val="0"/>
        </w:trPr>
        <w:tc>
          <w:tcPr/>
          <w:p w:rsidR="00000000" w:rsidDel="00000000" w:rsidP="00000000" w:rsidRDefault="00000000" w:rsidRPr="00000000" w14:paraId="000000A3">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A4">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5">
            <w:pPr>
              <w:pageBreakBefore w:val="0"/>
              <w:jc w:val="both"/>
              <w:rPr>
                <w:sz w:val="20"/>
                <w:szCs w:val="20"/>
              </w:rPr>
            </w:pPr>
            <w:r w:rsidDel="00000000" w:rsidR="00000000" w:rsidRPr="00000000">
              <w:rPr>
                <w:sz w:val="20"/>
                <w:szCs w:val="20"/>
                <w:rtl w:val="0"/>
              </w:rPr>
              <w:t xml:space="preserve">Precious Stones</w:t>
            </w:r>
          </w:p>
        </w:tc>
        <w:tc>
          <w:tcPr>
            <w:vAlign w:val="bottom"/>
          </w:tcPr>
          <w:p w:rsidR="00000000" w:rsidDel="00000000" w:rsidP="00000000" w:rsidRDefault="00000000" w:rsidRPr="00000000" w14:paraId="000000A6">
            <w:pPr>
              <w:pageBreakBefore w:val="0"/>
              <w:jc w:val="both"/>
              <w:rPr>
                <w:sz w:val="20"/>
                <w:szCs w:val="20"/>
              </w:rPr>
            </w:pPr>
            <w:r w:rsidDel="00000000" w:rsidR="00000000" w:rsidRPr="00000000">
              <w:rPr>
                <w:sz w:val="20"/>
                <w:szCs w:val="20"/>
                <w:rtl w:val="0"/>
              </w:rPr>
              <w:t xml:space="preserve">Metals</w:t>
            </w:r>
          </w:p>
        </w:tc>
      </w:tr>
      <w:tr>
        <w:trPr>
          <w:cantSplit w:val="0"/>
          <w:tblHeader w:val="0"/>
        </w:trPr>
        <w:tc>
          <w:tcPr/>
          <w:p w:rsidR="00000000" w:rsidDel="00000000" w:rsidP="00000000" w:rsidRDefault="00000000" w:rsidRPr="00000000" w14:paraId="000000A7">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A8">
            <w:pPr>
              <w:pageBreakBefore w:val="0"/>
              <w:jc w:val="both"/>
              <w:rPr>
                <w:sz w:val="20"/>
                <w:szCs w:val="20"/>
              </w:rPr>
            </w:pPr>
            <w:r w:rsidDel="00000000" w:rsidR="00000000" w:rsidRPr="00000000">
              <w:rPr>
                <w:sz w:val="20"/>
                <w:szCs w:val="20"/>
                <w:rtl w:val="0"/>
              </w:rPr>
              <w:t xml:space="preserve">Food and Preparations</w:t>
            </w:r>
          </w:p>
        </w:tc>
        <w:tc>
          <w:tcPr>
            <w:vAlign w:val="bottom"/>
          </w:tcPr>
          <w:p w:rsidR="00000000" w:rsidDel="00000000" w:rsidP="00000000" w:rsidRDefault="00000000" w:rsidRPr="00000000" w14:paraId="000000A9">
            <w:pPr>
              <w:pageBreakBefore w:val="0"/>
              <w:jc w:val="both"/>
              <w:rPr>
                <w:sz w:val="20"/>
                <w:szCs w:val="20"/>
              </w:rPr>
            </w:pPr>
            <w:r w:rsidDel="00000000" w:rsidR="00000000" w:rsidRPr="00000000">
              <w:rPr>
                <w:sz w:val="20"/>
                <w:szCs w:val="20"/>
                <w:rtl w:val="0"/>
              </w:rPr>
              <w:t xml:space="preserve">Animals and By-products</w:t>
            </w:r>
          </w:p>
        </w:tc>
        <w:tc>
          <w:tcPr>
            <w:vAlign w:val="bottom"/>
          </w:tcPr>
          <w:p w:rsidR="00000000" w:rsidDel="00000000" w:rsidP="00000000" w:rsidRDefault="00000000" w:rsidRPr="00000000" w14:paraId="000000AA">
            <w:pPr>
              <w:pageBreakBefore w:val="0"/>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AB">
      <w:pPr>
        <w:pageBreakBefore w:val="0"/>
        <w:jc w:val="center"/>
        <w:rPr/>
      </w:pPr>
      <w:r w:rsidDel="00000000" w:rsidR="00000000" w:rsidRPr="00000000">
        <w:rPr>
          <w:rtl w:val="0"/>
        </w:rPr>
      </w:r>
    </w:p>
    <w:p w:rsidR="00000000" w:rsidDel="00000000" w:rsidP="00000000" w:rsidRDefault="00000000" w:rsidRPr="00000000" w14:paraId="000000AC">
      <w:pPr>
        <w:pageBreakBefore w:val="0"/>
        <w:jc w:val="center"/>
        <w:rPr/>
      </w:pPr>
      <w:r w:rsidDel="00000000" w:rsidR="00000000" w:rsidRPr="00000000">
        <w:rPr>
          <w:rtl w:val="0"/>
        </w:rPr>
        <w:t xml:space="preserve">Table 3: RID Comparison across Leading Economies</w:t>
      </w:r>
    </w:p>
    <w:p w:rsidR="00000000" w:rsidDel="00000000" w:rsidP="00000000" w:rsidRDefault="00000000" w:rsidRPr="00000000" w14:paraId="000000AD">
      <w:pPr>
        <w:pageBreakBefore w:val="0"/>
        <w:jc w:val="center"/>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r>
    </w:p>
    <w:tbl>
      <w:tblPr>
        <w:tblStyle w:val="Table5"/>
        <w:tblW w:w="9067.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129"/>
        <w:gridCol w:w="2635"/>
        <w:gridCol w:w="2752"/>
        <w:gridCol w:w="2551"/>
        <w:tblGridChange w:id="0">
          <w:tblGrid>
            <w:gridCol w:w="1129"/>
            <w:gridCol w:w="2635"/>
            <w:gridCol w:w="2752"/>
            <w:gridCol w:w="2551"/>
          </w:tblGrid>
        </w:tblGridChange>
      </w:tblGrid>
      <w:tr>
        <w:trPr>
          <w:cantSplit w:val="0"/>
          <w:tblHeader w:val="0"/>
        </w:trPr>
        <w:tc>
          <w:tcPr/>
          <w:p w:rsidR="00000000" w:rsidDel="00000000" w:rsidP="00000000" w:rsidRDefault="00000000" w:rsidRPr="00000000" w14:paraId="000000AF">
            <w:pPr>
              <w:pageBreakBefore w:val="0"/>
              <w:jc w:val="both"/>
              <w:rPr/>
            </w:pPr>
            <w:r w:rsidDel="00000000" w:rsidR="00000000" w:rsidRPr="00000000">
              <w:rPr>
                <w:rtl w:val="0"/>
              </w:rPr>
              <w:t xml:space="preserve">Ranking</w:t>
            </w:r>
          </w:p>
        </w:tc>
        <w:tc>
          <w:tcPr/>
          <w:p w:rsidR="00000000" w:rsidDel="00000000" w:rsidP="00000000" w:rsidRDefault="00000000" w:rsidRPr="00000000" w14:paraId="000000B0">
            <w:pPr>
              <w:pageBreakBefore w:val="0"/>
              <w:jc w:val="both"/>
              <w:rPr/>
            </w:pPr>
            <w:r w:rsidDel="00000000" w:rsidR="00000000" w:rsidRPr="00000000">
              <w:rPr>
                <w:rtl w:val="0"/>
              </w:rPr>
              <w:t xml:space="preserve">China</w:t>
            </w:r>
          </w:p>
        </w:tc>
        <w:tc>
          <w:tcPr/>
          <w:p w:rsidR="00000000" w:rsidDel="00000000" w:rsidP="00000000" w:rsidRDefault="00000000" w:rsidRPr="00000000" w14:paraId="000000B1">
            <w:pPr>
              <w:pageBreakBefore w:val="0"/>
              <w:jc w:val="both"/>
              <w:rPr/>
            </w:pPr>
            <w:r w:rsidDel="00000000" w:rsidR="00000000" w:rsidRPr="00000000">
              <w:rPr>
                <w:rtl w:val="0"/>
              </w:rPr>
              <w:t xml:space="preserve">South Korea</w:t>
            </w:r>
          </w:p>
        </w:tc>
        <w:tc>
          <w:tcPr/>
          <w:p w:rsidR="00000000" w:rsidDel="00000000" w:rsidP="00000000" w:rsidRDefault="00000000" w:rsidRPr="00000000" w14:paraId="000000B2">
            <w:pPr>
              <w:pageBreakBefore w:val="0"/>
              <w:jc w:val="both"/>
              <w:rPr/>
            </w:pPr>
            <w:r w:rsidDel="00000000" w:rsidR="00000000" w:rsidRPr="00000000">
              <w:rPr>
                <w:rtl w:val="0"/>
              </w:rPr>
              <w:t xml:space="preserve">Singapore</w:t>
            </w:r>
          </w:p>
        </w:tc>
      </w:tr>
      <w:tr>
        <w:trPr>
          <w:cantSplit w:val="0"/>
          <w:tblHeader w:val="0"/>
        </w:trPr>
        <w:tc>
          <w:tcPr/>
          <w:p w:rsidR="00000000" w:rsidDel="00000000" w:rsidP="00000000" w:rsidRDefault="00000000" w:rsidRPr="00000000" w14:paraId="000000B3">
            <w:pPr>
              <w:pageBreakBefore w:val="0"/>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B4">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5">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6">
            <w:pPr>
              <w:pageBreakBefore w:val="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B7">
            <w:pPr>
              <w:pageBreakBefore w:val="0"/>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B8">
            <w:pPr>
              <w:pageBreakBefore w:val="0"/>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B9">
            <w:pPr>
              <w:pageBreakBefore w:val="0"/>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BA">
            <w:pPr>
              <w:pageBreakBefore w:val="0"/>
              <w:jc w:val="both"/>
              <w:rPr>
                <w:sz w:val="20"/>
                <w:szCs w:val="20"/>
              </w:rPr>
            </w:pPr>
            <w:r w:rsidDel="00000000" w:rsidR="00000000" w:rsidRPr="00000000">
              <w:rPr>
                <w:sz w:val="20"/>
                <w:szCs w:val="20"/>
                <w:rtl w:val="0"/>
              </w:rPr>
              <w:t xml:space="preserve">High-complexity Products</w:t>
            </w:r>
          </w:p>
        </w:tc>
      </w:tr>
      <w:tr>
        <w:trPr>
          <w:cantSplit w:val="0"/>
          <w:tblHeader w:val="0"/>
        </w:trPr>
        <w:tc>
          <w:tcPr/>
          <w:p w:rsidR="00000000" w:rsidDel="00000000" w:rsidP="00000000" w:rsidRDefault="00000000" w:rsidRPr="00000000" w14:paraId="000000BB">
            <w:pPr>
              <w:pageBreakBefore w:val="0"/>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BC">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BD">
            <w:pPr>
              <w:pageBreakBefore w:val="0"/>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BE">
            <w:pPr>
              <w:pageBreakBefore w:val="0"/>
              <w:jc w:val="both"/>
              <w:rPr>
                <w:sz w:val="20"/>
                <w:szCs w:val="20"/>
              </w:rPr>
            </w:pPr>
            <w:r w:rsidDel="00000000" w:rsidR="00000000" w:rsidRPr="00000000">
              <w:rPr>
                <w:sz w:val="20"/>
                <w:szCs w:val="20"/>
                <w:rtl w:val="0"/>
              </w:rPr>
              <w:t xml:space="preserve">Precious Stones</w:t>
            </w:r>
          </w:p>
        </w:tc>
      </w:tr>
      <w:tr>
        <w:trPr>
          <w:cantSplit w:val="0"/>
          <w:tblHeader w:val="0"/>
        </w:trPr>
        <w:tc>
          <w:tcPr/>
          <w:p w:rsidR="00000000" w:rsidDel="00000000" w:rsidP="00000000" w:rsidRDefault="00000000" w:rsidRPr="00000000" w14:paraId="000000BF">
            <w:pPr>
              <w:pageBreakBefore w:val="0"/>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C0">
            <w:pPr>
              <w:pageBreakBefore w:val="0"/>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C1">
            <w:pPr>
              <w:pageBreakBefore w:val="0"/>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C2">
            <w:pPr>
              <w:pageBreakBefore w:val="0"/>
              <w:jc w:val="both"/>
              <w:rPr>
                <w:sz w:val="20"/>
                <w:szCs w:val="20"/>
              </w:rPr>
            </w:pPr>
            <w:r w:rsidDel="00000000" w:rsidR="00000000" w:rsidRPr="00000000">
              <w:rPr>
                <w:sz w:val="20"/>
                <w:szCs w:val="20"/>
                <w:rtl w:val="0"/>
              </w:rPr>
              <w:t xml:space="preserve">Daily Instruments</w:t>
            </w:r>
          </w:p>
        </w:tc>
      </w:tr>
      <w:tr>
        <w:trPr>
          <w:cantSplit w:val="0"/>
          <w:tblHeader w:val="0"/>
        </w:trPr>
        <w:tc>
          <w:tcPr/>
          <w:p w:rsidR="00000000" w:rsidDel="00000000" w:rsidP="00000000" w:rsidRDefault="00000000" w:rsidRPr="00000000" w14:paraId="000000C3">
            <w:pPr>
              <w:pageBreakBefore w:val="0"/>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C4">
            <w:pPr>
              <w:pageBreakBefore w:val="0"/>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C5">
            <w:pPr>
              <w:pageBreakBefore w:val="0"/>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C6">
            <w:pPr>
              <w:pageBreakBefore w:val="0"/>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C7">
      <w:pPr>
        <w:pageBreakBefore w:val="0"/>
        <w:rPr/>
      </w:pPr>
      <w:r w:rsidDel="00000000" w:rsidR="00000000" w:rsidRPr="00000000">
        <w:rPr>
          <w:rtl w:val="0"/>
        </w:rPr>
      </w:r>
    </w:p>
    <w:p w:rsidR="00000000" w:rsidDel="00000000" w:rsidP="00000000" w:rsidRDefault="00000000" w:rsidRPr="00000000" w14:paraId="000000C8">
      <w:pPr>
        <w:pageBreakBefore w:val="0"/>
        <w:jc w:val="center"/>
        <w:rPr/>
      </w:pPr>
      <w:r w:rsidDel="00000000" w:rsidR="00000000" w:rsidRPr="00000000">
        <w:rPr>
          <w:rtl w:val="0"/>
        </w:rPr>
        <w:t xml:space="preserve">Table 4: RID Comparison across Emerging Economies</w:t>
      </w:r>
    </w:p>
    <w:p w:rsidR="00000000" w:rsidDel="00000000" w:rsidP="00000000" w:rsidRDefault="00000000" w:rsidRPr="00000000" w14:paraId="000000C9">
      <w:pPr>
        <w:pageBreakBefore w:val="0"/>
        <w:jc w:val="both"/>
        <w:rPr/>
      </w:pPr>
      <w:r w:rsidDel="00000000" w:rsidR="00000000" w:rsidRPr="00000000">
        <w:rPr>
          <w:rtl w:val="0"/>
        </w:rPr>
      </w:r>
    </w:p>
    <w:p w:rsidR="00000000" w:rsidDel="00000000" w:rsidP="00000000" w:rsidRDefault="00000000" w:rsidRPr="00000000" w14:paraId="000000CA">
      <w:pPr>
        <w:pageBreakBefore w:val="0"/>
        <w:jc w:val="both"/>
        <w:rPr>
          <w:rFonts w:ascii="Times" w:cs="Times" w:eastAsia="Times" w:hAnsi="Times"/>
          <w:b w:val="1"/>
          <w:bCs w:val="1"/>
          <w:sz w:val="28"/>
          <w:szCs w:val="28"/>
        </w:rPr>
      </w:pPr>
      <w:r w:rsidDel="00000000" w:rsidR="00000000" w:rsidRPr="00000000">
        <w:rPr>
          <w:rtl w:val="0"/>
        </w:rPr>
        <w:t xml:space="preserve">Table 4 further examines Uruguay’s development strategy against those of emerging economies on a global scale. Reasonably, emerging economies such as China, South Korea, Singapore and India have devoted the majority of their efforts into intermediate industry groups. </w:t>
      </w:r>
      <w:r w:rsidDel="00000000" w:rsidR="00000000" w:rsidRPr="00000000">
        <w:rPr>
          <w:rtl w:val="0"/>
        </w:rPr>
      </w:r>
    </w:p>
    <w:p w:rsidR="00000000" w:rsidDel="00000000" w:rsidP="00000000" w:rsidRDefault="00000000" w:rsidRPr="00000000" w14:paraId="000000CB">
      <w:pPr>
        <w:pageBreakBefore w:val="0"/>
        <w:jc w:val="both"/>
        <w:rPr>
          <w:b w:val="1"/>
          <w:bCs w:val="1"/>
        </w:rPr>
      </w:pPr>
      <w:r w:rsidDel="00000000" w:rsidR="00000000" w:rsidRPr="00000000">
        <w:rPr>
          <w:rtl w:val="0"/>
        </w:rPr>
      </w:r>
    </w:p>
    <w:p w:rsidR="00000000" w:rsidDel="00000000" w:rsidP="00000000" w:rsidRDefault="00000000" w:rsidRPr="00000000" w14:paraId="000000C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w:t>
      </w:r>
      <w:r w:rsidDel="00000000" w:rsidR="00000000" w:rsidRPr="00000000">
        <w:rPr>
          <w:rFonts w:ascii="Times" w:cs="Times" w:eastAsia="Times" w:hAnsi="Times"/>
          <w:b w:val="1"/>
          <w:bCs w:val="1"/>
          <w:sz w:val="28"/>
          <w:szCs w:val="28"/>
          <w:rtl w:val="0"/>
        </w:rPr>
        <w:t xml:space="preserve">. Product Space Design</w:t>
      </w:r>
      <w:r w:rsidDel="00000000" w:rsidR="00000000" w:rsidRPr="00000000">
        <w:rPr>
          <w:rtl w:val="0"/>
        </w:rPr>
      </w:r>
    </w:p>
    <w:p w:rsidR="00000000" w:rsidDel="00000000" w:rsidP="00000000" w:rsidRDefault="00000000" w:rsidRPr="00000000" w14:paraId="000000CD">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CE">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0CF">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0D0">
      <w:pPr>
        <w:pageBreakBefore w:val="0"/>
        <w:jc w:val="both"/>
        <w:rPr/>
      </w:pPr>
      <w:r w:rsidDel="00000000" w:rsidR="00000000" w:rsidRPr="00000000">
        <w:rPr>
          <w:rtl w:val="0"/>
        </w:rPr>
      </w:r>
    </w:p>
    <w:p w:rsidR="00000000" w:rsidDel="00000000" w:rsidP="00000000" w:rsidRDefault="00000000" w:rsidRPr="00000000" w14:paraId="000000D1">
      <w:pPr>
        <w:pageBreakBefore w:val="0"/>
        <w:ind w:left="0" w:firstLine="0"/>
        <w:jc w:val="both"/>
        <w:rPr/>
      </w:pPr>
      <w:r w:rsidDel="00000000" w:rsidR="00000000" w:rsidRPr="00000000">
        <w:rPr/>
        <w:drawing>
          <wp:inline distB="114300" distT="114300" distL="114300" distR="114300">
            <wp:extent cx="5731200" cy="2298700"/>
            <wp:effectExtent b="0" l="0" r="0" t="0"/>
            <wp:docPr id="10"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ageBreakBefore w:val="0"/>
        <w:ind w:left="0" w:firstLine="0"/>
        <w:jc w:val="both"/>
        <w:rPr/>
      </w:pPr>
      <w:r w:rsidDel="00000000" w:rsidR="00000000" w:rsidRPr="00000000">
        <w:rPr>
          <w:rtl w:val="0"/>
        </w:rPr>
      </w:r>
    </w:p>
    <w:p w:rsidR="00000000" w:rsidDel="00000000" w:rsidP="00000000" w:rsidRDefault="00000000" w:rsidRPr="00000000" w14:paraId="000000D3">
      <w:pPr>
        <w:ind w:left="0" w:firstLine="0"/>
        <w:jc w:val="both"/>
        <w:rPr/>
      </w:pPr>
      <w:r w:rsidDel="00000000" w:rsidR="00000000" w:rsidRPr="00000000">
        <w:rPr/>
        <w:drawing>
          <wp:inline distB="114300" distT="114300" distL="114300" distR="114300">
            <wp:extent cx="5731200" cy="2324100"/>
            <wp:effectExtent b="0" l="0" r="0" t="0"/>
            <wp:docPr id="31"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57312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pageBreakBefore w:val="0"/>
        <w:jc w:val="center"/>
        <w:rPr/>
      </w:pPr>
      <w:r w:rsidDel="00000000" w:rsidR="00000000" w:rsidRPr="00000000">
        <w:rPr>
          <w:rtl w:val="0"/>
        </w:rPr>
      </w:r>
    </w:p>
    <w:p w:rsidR="00000000" w:rsidDel="00000000" w:rsidP="00000000" w:rsidRDefault="00000000" w:rsidRPr="00000000" w14:paraId="000000D5">
      <w:pPr>
        <w:pageBreakBefore w:val="0"/>
        <w:jc w:val="center"/>
        <w:rPr/>
      </w:pPr>
      <w:r w:rsidDel="00000000" w:rsidR="00000000" w:rsidRPr="00000000">
        <w:rPr>
          <w:rtl w:val="0"/>
        </w:rPr>
        <w:t xml:space="preserve">   </w:t>
      </w:r>
    </w:p>
    <w:p w:rsidR="00000000" w:rsidDel="00000000" w:rsidP="00000000" w:rsidRDefault="00000000" w:rsidRPr="00000000" w14:paraId="000000D6">
      <w:pPr>
        <w:pageBreakBefore w:val="0"/>
        <w:jc w:val="center"/>
        <w:rPr/>
      </w:pPr>
      <w:r w:rsidDel="00000000" w:rsidR="00000000" w:rsidRPr="00000000">
        <w:rPr>
          <w:rtl w:val="0"/>
        </w:rPr>
      </w:r>
    </w:p>
    <w:p w:rsidR="00000000" w:rsidDel="00000000" w:rsidP="00000000" w:rsidRDefault="00000000" w:rsidRPr="00000000" w14:paraId="000000D7">
      <w:pPr>
        <w:pageBreakBefore w:val="0"/>
        <w:jc w:val="center"/>
        <w:rPr/>
      </w:pPr>
      <w:r w:rsidDel="00000000" w:rsidR="00000000" w:rsidRPr="00000000">
        <w:rPr>
          <w:rtl w:val="0"/>
        </w:rPr>
        <w:t xml:space="preserve">Table 5: SDV of Uruguay and Comparable</w:t>
      </w:r>
      <w:r w:rsidDel="00000000" w:rsidR="00000000" w:rsidRPr="00000000">
        <w:rPr>
          <w:rtl w:val="0"/>
        </w:rPr>
        <w:t xml:space="preserve"> Countries 2013(up), 2018(down)</w:t>
      </w:r>
    </w:p>
    <w:p w:rsidR="00000000" w:rsidDel="00000000" w:rsidP="00000000" w:rsidRDefault="00000000" w:rsidRPr="00000000" w14:paraId="000000D8">
      <w:pPr>
        <w:pageBreakBefore w:val="0"/>
        <w:jc w:val="center"/>
        <w:rPr/>
      </w:pPr>
      <w:r w:rsidDel="00000000" w:rsidR="00000000" w:rsidRPr="00000000">
        <w:rPr>
          <w:rtl w:val="0"/>
        </w:rPr>
      </w:r>
    </w:p>
    <w:p w:rsidR="00000000" w:rsidDel="00000000" w:rsidP="00000000" w:rsidRDefault="00000000" w:rsidRPr="00000000" w14:paraId="000000D9">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Uruguay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Uruguay shares the characters of developing countries, with a balanced economics structure that leans towards intermediate-level industries. </w:t>
      </w:r>
    </w:p>
    <w:p w:rsidR="00000000" w:rsidDel="00000000" w:rsidP="00000000" w:rsidRDefault="00000000" w:rsidRPr="00000000" w14:paraId="000000DA">
      <w:pPr>
        <w:pageBreakBefore w:val="0"/>
        <w:jc w:val="both"/>
        <w:rPr/>
      </w:pPr>
      <w:r w:rsidDel="00000000" w:rsidR="00000000" w:rsidRPr="00000000">
        <w:rPr>
          <w:rtl w:val="0"/>
        </w:rPr>
      </w:r>
    </w:p>
    <w:p w:rsidR="00000000" w:rsidDel="00000000" w:rsidP="00000000" w:rsidRDefault="00000000" w:rsidRPr="00000000" w14:paraId="000000DB">
      <w:pPr>
        <w:pageBreakBefore w:val="0"/>
        <w:jc w:val="center"/>
        <w:rPr/>
      </w:pPr>
      <w:r w:rsidDel="00000000" w:rsidR="00000000" w:rsidRPr="00000000">
        <w:rPr/>
        <w:drawing>
          <wp:inline distB="114300" distT="114300" distL="114300" distR="114300">
            <wp:extent cx="5731200" cy="2387600"/>
            <wp:effectExtent b="0" l="0" r="0" t="0"/>
            <wp:docPr id="2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pageBreakBefore w:val="0"/>
        <w:jc w:val="both"/>
        <w:rPr/>
      </w:pPr>
      <w:r w:rsidDel="00000000" w:rsidR="00000000" w:rsidRPr="00000000">
        <w:rPr>
          <w:rtl w:val="0"/>
        </w:rPr>
      </w:r>
    </w:p>
    <w:p w:rsidR="00000000" w:rsidDel="00000000" w:rsidP="00000000" w:rsidRDefault="00000000" w:rsidRPr="00000000" w14:paraId="000000DD">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0DE">
      <w:pPr>
        <w:pageBreakBefore w:val="0"/>
        <w:jc w:val="center"/>
        <w:rPr/>
      </w:pPr>
      <w:r w:rsidDel="00000000" w:rsidR="00000000" w:rsidRPr="00000000">
        <w:rPr>
          <w:rtl w:val="0"/>
        </w:rPr>
      </w:r>
    </w:p>
    <w:p w:rsidR="00000000" w:rsidDel="00000000" w:rsidP="00000000" w:rsidRDefault="00000000" w:rsidRPr="00000000" w14:paraId="000000DF">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0E0">
      <w:pPr>
        <w:pageBreakBefore w:val="0"/>
        <w:rPr/>
      </w:pPr>
      <w:r w:rsidDel="00000000" w:rsidR="00000000" w:rsidRPr="00000000">
        <w:rPr>
          <w:rtl w:val="0"/>
        </w:rPr>
      </w:r>
    </w:p>
    <w:p w:rsidR="00000000" w:rsidDel="00000000" w:rsidP="00000000" w:rsidRDefault="00000000" w:rsidRPr="00000000" w14:paraId="000000E1">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0E2">
      <w:pPr>
        <w:pageBreakBefore w:val="0"/>
        <w:jc w:val="both"/>
        <w:rPr/>
      </w:pPr>
      <w:r w:rsidDel="00000000" w:rsidR="00000000" w:rsidRPr="00000000">
        <w:rPr>
          <w:rtl w:val="0"/>
        </w:rPr>
      </w:r>
    </w:p>
    <w:p w:rsidR="00000000" w:rsidDel="00000000" w:rsidP="00000000" w:rsidRDefault="00000000" w:rsidRPr="00000000" w14:paraId="000000E3">
      <w:pPr>
        <w:pageBreakBefore w:val="0"/>
        <w:jc w:val="center"/>
        <w:rPr/>
      </w:pPr>
      <w:r w:rsidDel="00000000" w:rsidR="00000000" w:rsidRPr="00000000">
        <w:rPr/>
        <w:drawing>
          <wp:inline distB="114300" distT="114300" distL="114300" distR="114300">
            <wp:extent cx="2528888" cy="1141284"/>
            <wp:effectExtent b="0" l="0" r="0" t="0"/>
            <wp:docPr id="4"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pageBreakBefore w:val="0"/>
        <w:jc w:val="center"/>
        <w:rPr/>
      </w:pPr>
      <w:r w:rsidDel="00000000" w:rsidR="00000000" w:rsidRPr="00000000">
        <w:rPr>
          <w:rtl w:val="0"/>
        </w:rPr>
      </w:r>
    </w:p>
    <w:p w:rsidR="00000000" w:rsidDel="00000000" w:rsidP="00000000" w:rsidRDefault="00000000" w:rsidRPr="00000000" w14:paraId="000000E5">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0E6">
      <w:pPr>
        <w:pageBreakBefore w:val="0"/>
        <w:jc w:val="both"/>
        <w:rPr/>
      </w:pPr>
      <w:r w:rsidDel="00000000" w:rsidR="00000000" w:rsidRPr="00000000">
        <w:rPr>
          <w:rtl w:val="0"/>
        </w:rPr>
        <w:t xml:space="preserve"> </w:t>
      </w:r>
    </w:p>
    <w:p w:rsidR="00000000" w:rsidDel="00000000" w:rsidP="00000000" w:rsidRDefault="00000000" w:rsidRPr="00000000" w14:paraId="000000E7">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0E8">
      <w:pPr>
        <w:pageBreakBefore w:val="0"/>
        <w:jc w:val="both"/>
        <w:rPr/>
      </w:pPr>
      <w:r w:rsidDel="00000000" w:rsidR="00000000" w:rsidRPr="00000000">
        <w:rPr>
          <w:rtl w:val="0"/>
        </w:rPr>
        <w:t xml:space="preserve"> </w:t>
      </w:r>
    </w:p>
    <w:p w:rsidR="00000000" w:rsidDel="00000000" w:rsidP="00000000" w:rsidRDefault="00000000" w:rsidRPr="00000000" w14:paraId="000000E9">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0EA">
      <w:pPr>
        <w:pageBreakBefore w:val="0"/>
        <w:rPr/>
      </w:pPr>
      <w:r w:rsidDel="00000000" w:rsidR="00000000" w:rsidRPr="00000000">
        <w:rPr>
          <w:rtl w:val="0"/>
        </w:rPr>
      </w:r>
    </w:p>
    <w:p w:rsidR="00000000" w:rsidDel="00000000" w:rsidP="00000000" w:rsidRDefault="00000000" w:rsidRPr="00000000" w14:paraId="000000EB">
      <w:pPr>
        <w:pageBreakBefore w:val="0"/>
        <w:jc w:val="center"/>
        <w:rPr/>
      </w:pPr>
      <w:r w:rsidDel="00000000" w:rsidR="00000000" w:rsidRPr="00000000">
        <w:rPr/>
        <w:drawing>
          <wp:inline distB="114300" distT="114300" distL="114300" distR="114300">
            <wp:extent cx="2138363" cy="718630"/>
            <wp:effectExtent b="0" l="0" r="0" t="0"/>
            <wp:docPr id="8"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0ED">
      <w:pPr>
        <w:pageBreakBefore w:val="0"/>
        <w:rPr/>
      </w:pPr>
      <w:r w:rsidDel="00000000" w:rsidR="00000000" w:rsidRPr="00000000">
        <w:rPr>
          <w:rtl w:val="0"/>
        </w:rPr>
      </w:r>
    </w:p>
    <w:p w:rsidR="00000000" w:rsidDel="00000000" w:rsidP="00000000" w:rsidRDefault="00000000" w:rsidRPr="00000000" w14:paraId="000000EE">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0EF">
      <w:pPr>
        <w:pageBreakBefore w:val="0"/>
        <w:rPr/>
      </w:pPr>
      <w:r w:rsidDel="00000000" w:rsidR="00000000" w:rsidRPr="00000000">
        <w:rPr>
          <w:rtl w:val="0"/>
        </w:rPr>
        <w:t xml:space="preserve"> </w:t>
      </w:r>
    </w:p>
    <w:p w:rsidR="00000000" w:rsidDel="00000000" w:rsidP="00000000" w:rsidRDefault="00000000" w:rsidRPr="00000000" w14:paraId="000000F0">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0F1">
      <w:pPr>
        <w:pageBreakBefore w:val="0"/>
        <w:jc w:val="both"/>
        <w:rPr>
          <w:b w:val="1"/>
          <w:bCs w:val="1"/>
        </w:rPr>
      </w:pPr>
      <w:r w:rsidDel="00000000" w:rsidR="00000000" w:rsidRPr="00000000">
        <w:rPr>
          <w:rtl w:val="0"/>
        </w:rPr>
      </w:r>
    </w:p>
    <w:p w:rsidR="00000000" w:rsidDel="00000000" w:rsidP="00000000" w:rsidRDefault="00000000" w:rsidRPr="00000000" w14:paraId="000000F2">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0F3">
      <w:pPr>
        <w:pageBreakBefore w:val="0"/>
        <w:jc w:val="both"/>
        <w:rPr>
          <w:b w:val="1"/>
          <w:bCs w:val="1"/>
        </w:rPr>
      </w:pPr>
      <w:r w:rsidDel="00000000" w:rsidR="00000000" w:rsidRPr="00000000">
        <w:rPr>
          <w:b w:val="1"/>
          <w:bCs w:val="1"/>
          <w:rtl w:val="0"/>
        </w:rPr>
        <w:t xml:space="preserve"> </w:t>
      </w:r>
    </w:p>
    <w:p w:rsidR="00000000" w:rsidDel="00000000" w:rsidP="00000000" w:rsidRDefault="00000000" w:rsidRPr="00000000" w14:paraId="000000F4">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0F5">
      <w:pPr>
        <w:pageBreakBefore w:val="0"/>
        <w:jc w:val="center"/>
        <w:rPr>
          <w:b w:val="1"/>
          <w:bCs w:val="1"/>
        </w:rPr>
      </w:pPr>
      <w:r w:rsidDel="00000000" w:rsidR="00000000" w:rsidRPr="00000000">
        <w:rPr>
          <w:b w:val="1"/>
          <w:bCs w:val="1"/>
          <w:rtl w:val="0"/>
        </w:rPr>
        <w:t xml:space="preserve"> </w:t>
      </w:r>
    </w:p>
    <w:tbl>
      <w:tblPr>
        <w:tblStyle w:val="Table6"/>
        <w:tblW w:w="6405.0" w:type="dxa"/>
        <w:jc w:val="left"/>
        <w:tblInd w:w="13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05"/>
        <w:gridCol w:w="5100"/>
        <w:tblGridChange w:id="0">
          <w:tblGrid>
            <w:gridCol w:w="1305"/>
            <w:gridCol w:w="510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pageBreakBefore w:val="0"/>
              <w:jc w:val="center"/>
              <w:rPr/>
            </w:pPr>
            <w:r w:rsidDel="00000000" w:rsidR="00000000" w:rsidRPr="00000000">
              <w:rPr>
                <w:rtl w:val="0"/>
              </w:rPr>
              <w:t xml:space="preserve">Label</w:t>
            </w:r>
          </w:p>
        </w:tc>
        <w:tc>
          <w:tcPr>
            <w:tcBorders>
              <w:top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pageBreakBefore w:val="0"/>
              <w:jc w:val="center"/>
              <w:rPr/>
            </w:pPr>
            <w:r w:rsidDel="00000000" w:rsidR="00000000" w:rsidRPr="00000000">
              <w:rPr>
                <w:rtl w:val="0"/>
              </w:rPr>
              <w:t xml:space="preserve">Product Names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pageBreakBefore w:val="0"/>
              <w:jc w:val="center"/>
              <w:rPr/>
            </w:pPr>
            <w:r w:rsidDel="00000000" w:rsidR="00000000" w:rsidRPr="00000000">
              <w:rPr>
                <w:rtl w:val="0"/>
              </w:rPr>
              <w:t xml:space="preserve">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pageBreakBefore w:val="0"/>
              <w:jc w:val="center"/>
              <w:rPr>
                <w:color w:val="212121"/>
                <w:highlight w:val="white"/>
              </w:rPr>
            </w:pPr>
            <w:r w:rsidDel="00000000" w:rsidR="00000000" w:rsidRPr="00000000">
              <w:rPr>
                <w:color w:val="212121"/>
                <w:highlight w:val="white"/>
                <w:rtl w:val="0"/>
              </w:rPr>
              <w:t xml:space="preserve">Animals and By-products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pageBreakBefore w:val="0"/>
              <w:jc w:val="center"/>
              <w:rPr/>
            </w:pPr>
            <w:r w:rsidDel="00000000" w:rsidR="00000000" w:rsidRPr="00000000">
              <w:rPr>
                <w:rtl w:val="0"/>
              </w:rPr>
              <w:t xml:space="preserve">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pageBreakBefore w:val="0"/>
              <w:jc w:val="center"/>
              <w:rPr/>
            </w:pPr>
            <w:r w:rsidDel="00000000" w:rsidR="00000000" w:rsidRPr="00000000">
              <w:rPr>
                <w:rtl w:val="0"/>
              </w:rPr>
              <w:t xml:space="preserve">Vegetables, Fruits and Plants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pageBreakBefore w:val="0"/>
              <w:jc w:val="center"/>
              <w:rPr/>
            </w:pPr>
            <w:r w:rsidDel="00000000" w:rsidR="00000000" w:rsidRPr="00000000">
              <w:rPr>
                <w:rtl w:val="0"/>
              </w:rPr>
              <w:t xml:space="preserve">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pageBreakBefore w:val="0"/>
              <w:jc w:val="center"/>
              <w:rPr/>
            </w:pPr>
            <w:r w:rsidDel="00000000" w:rsidR="00000000" w:rsidRPr="00000000">
              <w:rPr>
                <w:rtl w:val="0"/>
              </w:rPr>
              <w:t xml:space="preserve">Food and Preparations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pageBreakBefore w:val="0"/>
              <w:jc w:val="center"/>
              <w:rPr/>
            </w:pPr>
            <w:r w:rsidDel="00000000" w:rsidR="00000000" w:rsidRPr="00000000">
              <w:rPr>
                <w:rtl w:val="0"/>
              </w:rPr>
              <w:t xml:space="preserve">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pageBreakBefore w:val="0"/>
              <w:jc w:val="center"/>
              <w:rPr>
                <w:color w:val="212121"/>
                <w:highlight w:val="white"/>
              </w:rPr>
            </w:pPr>
            <w:r w:rsidDel="00000000" w:rsidR="00000000" w:rsidRPr="00000000">
              <w:rPr>
                <w:color w:val="212121"/>
                <w:highlight w:val="white"/>
                <w:rtl w:val="0"/>
              </w:rPr>
              <w:t xml:space="preserve">Energy Drilling and Mining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pageBreakBefore w:val="0"/>
              <w:jc w:val="center"/>
              <w:rPr/>
            </w:pPr>
            <w:r w:rsidDel="00000000" w:rsidR="00000000" w:rsidRPr="00000000">
              <w:rPr>
                <w:rtl w:val="0"/>
              </w:rPr>
              <w:t xml:space="preserve">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pageBreakBefore w:val="0"/>
              <w:jc w:val="center"/>
              <w:rPr>
                <w:color w:val="212121"/>
                <w:highlight w:val="white"/>
              </w:rPr>
            </w:pPr>
            <w:r w:rsidDel="00000000" w:rsidR="00000000" w:rsidRPr="00000000">
              <w:rPr>
                <w:color w:val="212121"/>
                <w:highlight w:val="white"/>
                <w:rtl w:val="0"/>
              </w:rPr>
              <w:t xml:space="preserve">Chemicals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pageBreakBefore w:val="0"/>
              <w:jc w:val="center"/>
              <w:rPr/>
            </w:pPr>
            <w:r w:rsidDel="00000000" w:rsidR="00000000" w:rsidRPr="00000000">
              <w:rPr>
                <w:rtl w:val="0"/>
              </w:rPr>
              <w:t xml:space="preserve">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pageBreakBefore w:val="0"/>
              <w:jc w:val="center"/>
              <w:rPr>
                <w:color w:val="212121"/>
                <w:highlight w:val="white"/>
              </w:rPr>
            </w:pPr>
            <w:r w:rsidDel="00000000" w:rsidR="00000000" w:rsidRPr="00000000">
              <w:rPr>
                <w:color w:val="212121"/>
                <w:highlight w:val="white"/>
                <w:rtl w:val="0"/>
              </w:rPr>
              <w:t xml:space="preserve">Chemical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pageBreakBefore w:val="0"/>
              <w:jc w:val="center"/>
              <w:rPr/>
            </w:pPr>
            <w:r w:rsidDel="00000000" w:rsidR="00000000" w:rsidRPr="00000000">
              <w:rPr>
                <w:rtl w:val="0"/>
              </w:rPr>
              <w:t xml:space="preserve">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pageBreakBefore w:val="0"/>
              <w:jc w:val="center"/>
              <w:rPr>
                <w:color w:val="212121"/>
                <w:highlight w:val="white"/>
              </w:rPr>
            </w:pPr>
            <w:r w:rsidDel="00000000" w:rsidR="00000000" w:rsidRPr="00000000">
              <w:rPr>
                <w:color w:val="212121"/>
                <w:highlight w:val="white"/>
                <w:rtl w:val="0"/>
              </w:rPr>
              <w:t xml:space="preserve">Raw Manufacturing</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pageBreakBefore w:val="0"/>
              <w:jc w:val="center"/>
              <w:rPr/>
            </w:pPr>
            <w:r w:rsidDel="00000000" w:rsidR="00000000" w:rsidRPr="00000000">
              <w:rPr>
                <w:rtl w:val="0"/>
              </w:rPr>
              <w:t xml:space="preserve">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pageBreakBefore w:val="0"/>
              <w:jc w:val="center"/>
              <w:rPr>
                <w:color w:val="212121"/>
                <w:highlight w:val="white"/>
              </w:rPr>
            </w:pPr>
            <w:r w:rsidDel="00000000" w:rsidR="00000000" w:rsidRPr="00000000">
              <w:rPr>
                <w:color w:val="212121"/>
                <w:highlight w:val="white"/>
                <w:rtl w:val="0"/>
              </w:rPr>
              <w:t xml:space="preserve">Wood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pageBreakBefore w:val="0"/>
              <w:jc w:val="center"/>
              <w:rPr/>
            </w:pPr>
            <w:r w:rsidDel="00000000" w:rsidR="00000000" w:rsidRPr="00000000">
              <w:rPr>
                <w:rtl w:val="0"/>
              </w:rPr>
              <w:t xml:space="preserve">9</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pageBreakBefore w:val="0"/>
              <w:jc w:val="center"/>
              <w:rPr>
                <w:color w:val="212121"/>
                <w:highlight w:val="white"/>
              </w:rPr>
            </w:pPr>
            <w:r w:rsidDel="00000000" w:rsidR="00000000" w:rsidRPr="00000000">
              <w:rPr>
                <w:color w:val="212121"/>
                <w:highlight w:val="white"/>
                <w:rtl w:val="0"/>
              </w:rPr>
              <w:t xml:space="preserve">Clothing and Accessories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pageBreakBefore w:val="0"/>
              <w:jc w:val="center"/>
              <w:rPr/>
            </w:pPr>
            <w:r w:rsidDel="00000000" w:rsidR="00000000" w:rsidRPr="00000000">
              <w:rPr>
                <w:rtl w:val="0"/>
              </w:rPr>
              <w:t xml:space="preserve">10</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pageBreakBefore w:val="0"/>
              <w:jc w:val="center"/>
              <w:rPr>
                <w:color w:val="212121"/>
                <w:highlight w:val="white"/>
              </w:rPr>
            </w:pPr>
            <w:r w:rsidDel="00000000" w:rsidR="00000000" w:rsidRPr="00000000">
              <w:rPr>
                <w:color w:val="212121"/>
                <w:highlight w:val="white"/>
                <w:rtl w:val="0"/>
              </w:rPr>
              <w:t xml:space="preserve">Textile</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pageBreakBefore w:val="0"/>
              <w:jc w:val="center"/>
              <w:rPr/>
            </w:pPr>
            <w:r w:rsidDel="00000000" w:rsidR="00000000" w:rsidRPr="00000000">
              <w:rPr>
                <w:rtl w:val="0"/>
              </w:rPr>
              <w:t xml:space="preserve">11</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pageBreakBefore w:val="0"/>
              <w:jc w:val="center"/>
              <w:rPr>
                <w:color w:val="212121"/>
                <w:highlight w:val="white"/>
              </w:rPr>
            </w:pPr>
            <w:r w:rsidDel="00000000" w:rsidR="00000000" w:rsidRPr="00000000">
              <w:rPr>
                <w:color w:val="212121"/>
                <w:highlight w:val="white"/>
                <w:rtl w:val="0"/>
              </w:rPr>
              <w:t xml:space="preserve">Metals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pageBreakBefore w:val="0"/>
              <w:jc w:val="center"/>
              <w:rPr/>
            </w:pPr>
            <w:r w:rsidDel="00000000" w:rsidR="00000000" w:rsidRPr="00000000">
              <w:rPr>
                <w:rtl w:val="0"/>
              </w:rPr>
              <w:t xml:space="preserve">12</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pageBreakBefore w:val="0"/>
              <w:jc w:val="center"/>
              <w:rPr>
                <w:color w:val="212121"/>
                <w:highlight w:val="white"/>
              </w:rPr>
            </w:pPr>
            <w:r w:rsidDel="00000000" w:rsidR="00000000" w:rsidRPr="00000000">
              <w:rPr>
                <w:color w:val="212121"/>
                <w:highlight w:val="white"/>
                <w:rtl w:val="0"/>
              </w:rPr>
              <w:t xml:space="preserve">Machinery and Construction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pageBreakBefore w:val="0"/>
              <w:jc w:val="center"/>
              <w:rPr/>
            </w:pPr>
            <w:r w:rsidDel="00000000" w:rsidR="00000000" w:rsidRPr="00000000">
              <w:rPr>
                <w:rtl w:val="0"/>
              </w:rPr>
              <w:t xml:space="preserve">13</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pageBreakBefore w:val="0"/>
              <w:jc w:val="center"/>
              <w:rPr>
                <w:color w:val="212121"/>
                <w:highlight w:val="white"/>
              </w:rPr>
            </w:pPr>
            <w:r w:rsidDel="00000000" w:rsidR="00000000" w:rsidRPr="00000000">
              <w:rPr>
                <w:color w:val="212121"/>
                <w:highlight w:val="white"/>
                <w:rtl w:val="0"/>
              </w:rPr>
              <w:t xml:space="preserve">Transportation</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pageBreakBefore w:val="0"/>
              <w:jc w:val="center"/>
              <w:rPr/>
            </w:pPr>
            <w:r w:rsidDel="00000000" w:rsidR="00000000" w:rsidRPr="00000000">
              <w:rPr>
                <w:rtl w:val="0"/>
              </w:rPr>
              <w:t xml:space="preserve">14</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pageBreakBefore w:val="0"/>
              <w:jc w:val="center"/>
              <w:rPr>
                <w:color w:val="212121"/>
                <w:highlight w:val="white"/>
              </w:rPr>
            </w:pPr>
            <w:r w:rsidDel="00000000" w:rsidR="00000000" w:rsidRPr="00000000">
              <w:rPr>
                <w:color w:val="212121"/>
                <w:highlight w:val="white"/>
                <w:rtl w:val="0"/>
              </w:rPr>
              <w:t xml:space="preserve">Weapons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pageBreakBefore w:val="0"/>
              <w:jc w:val="center"/>
              <w:rPr/>
            </w:pPr>
            <w:r w:rsidDel="00000000" w:rsidR="00000000" w:rsidRPr="00000000">
              <w:rPr>
                <w:rtl w:val="0"/>
              </w:rPr>
              <w:t xml:space="preserve">15</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pageBreakBefore w:val="0"/>
              <w:jc w:val="center"/>
              <w:rPr>
                <w:color w:val="212121"/>
                <w:highlight w:val="white"/>
              </w:rPr>
            </w:pPr>
            <w:r w:rsidDel="00000000" w:rsidR="00000000" w:rsidRPr="00000000">
              <w:rPr>
                <w:color w:val="212121"/>
                <w:highlight w:val="white"/>
                <w:rtl w:val="0"/>
              </w:rPr>
              <w:t xml:space="preserve">Daily Instruments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pageBreakBefore w:val="0"/>
              <w:jc w:val="center"/>
              <w:rPr/>
            </w:pPr>
            <w:r w:rsidDel="00000000" w:rsidR="00000000" w:rsidRPr="00000000">
              <w:rPr>
                <w:rtl w:val="0"/>
              </w:rPr>
              <w:t xml:space="preserve">16</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pageBreakBefore w:val="0"/>
              <w:jc w:val="center"/>
              <w:rPr>
                <w:color w:val="212121"/>
                <w:highlight w:val="white"/>
              </w:rPr>
            </w:pPr>
            <w:r w:rsidDel="00000000" w:rsidR="00000000" w:rsidRPr="00000000">
              <w:rPr>
                <w:color w:val="212121"/>
                <w:highlight w:val="white"/>
                <w:rtl w:val="0"/>
              </w:rPr>
              <w:t xml:space="preserve">Precious Stones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pageBreakBefore w:val="0"/>
              <w:jc w:val="center"/>
              <w:rPr/>
            </w:pPr>
            <w:r w:rsidDel="00000000" w:rsidR="00000000" w:rsidRPr="00000000">
              <w:rPr>
                <w:rtl w:val="0"/>
              </w:rPr>
              <w:t xml:space="preserve">17</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pageBreakBefore w:val="0"/>
              <w:jc w:val="center"/>
              <w:rPr>
                <w:color w:val="212121"/>
                <w:highlight w:val="white"/>
              </w:rPr>
            </w:pPr>
            <w:r w:rsidDel="00000000" w:rsidR="00000000" w:rsidRPr="00000000">
              <w:rPr>
                <w:color w:val="212121"/>
                <w:highlight w:val="white"/>
                <w:rtl w:val="0"/>
              </w:rPr>
              <w:t xml:space="preserve">High-complexity Products</w:t>
            </w:r>
          </w:p>
        </w:tc>
      </w:tr>
      <w:tr>
        <w:trPr>
          <w:cantSplit w:val="0"/>
          <w:trHeight w:val="485" w:hRule="atLeast"/>
          <w:tblHeader w:val="0"/>
        </w:trPr>
        <w:tc>
          <w:tcPr>
            <w:tcBorders>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pageBreakBefore w:val="0"/>
              <w:jc w:val="center"/>
              <w:rPr/>
            </w:pPr>
            <w:r w:rsidDel="00000000" w:rsidR="00000000" w:rsidRPr="00000000">
              <w:rPr>
                <w:rtl w:val="0"/>
              </w:rPr>
              <w:t xml:space="preserve">18</w:t>
            </w:r>
          </w:p>
        </w:tc>
        <w:tc>
          <w:tcPr>
            <w:tcBorders>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pageBreakBefore w:val="0"/>
              <w:jc w:val="center"/>
              <w:rPr>
                <w:color w:val="212121"/>
                <w:highlight w:val="white"/>
              </w:rPr>
            </w:pPr>
            <w:r w:rsidDel="00000000" w:rsidR="00000000" w:rsidRPr="00000000">
              <w:rPr>
                <w:color w:val="212121"/>
                <w:highlight w:val="white"/>
                <w:rtl w:val="0"/>
              </w:rPr>
              <w:t xml:space="preserve">Services and Utilities</w:t>
            </w:r>
          </w:p>
        </w:tc>
      </w:tr>
    </w:tbl>
    <w:p w:rsidR="00000000" w:rsidDel="00000000" w:rsidP="00000000" w:rsidRDefault="00000000" w:rsidRPr="00000000" w14:paraId="0000011C">
      <w:pPr>
        <w:pageBreakBefore w:val="0"/>
        <w:jc w:val="center"/>
        <w:rPr>
          <w:b w:val="1"/>
          <w:bCs w:val="1"/>
        </w:rPr>
      </w:pPr>
      <w:r w:rsidDel="00000000" w:rsidR="00000000" w:rsidRPr="00000000">
        <w:rPr>
          <w:b w:val="1"/>
          <w:bCs w:val="1"/>
          <w:rtl w:val="0"/>
        </w:rPr>
        <w:t xml:space="preserve"> </w:t>
      </w:r>
    </w:p>
    <w:p w:rsidR="00000000" w:rsidDel="00000000" w:rsidP="00000000" w:rsidRDefault="00000000" w:rsidRPr="00000000" w14:paraId="0000011D">
      <w:pPr>
        <w:pageBreakBefore w:val="0"/>
        <w:jc w:val="center"/>
        <w:rPr/>
      </w:pPr>
      <w:r w:rsidDel="00000000" w:rsidR="00000000" w:rsidRPr="00000000">
        <w:rPr>
          <w:rtl w:val="0"/>
        </w:rPr>
        <w:t xml:space="preserve">Table 7: Products Labeling</w:t>
      </w:r>
    </w:p>
    <w:p w:rsidR="00000000" w:rsidDel="00000000" w:rsidP="00000000" w:rsidRDefault="00000000" w:rsidRPr="00000000" w14:paraId="0000011E">
      <w:pPr>
        <w:pageBreakBefore w:val="0"/>
        <w:jc w:val="both"/>
        <w:rPr/>
      </w:pPr>
      <w:r w:rsidDel="00000000" w:rsidR="00000000" w:rsidRPr="00000000">
        <w:rPr>
          <w:rtl w:val="0"/>
        </w:rPr>
      </w:r>
    </w:p>
    <w:p w:rsidR="00000000" w:rsidDel="00000000" w:rsidP="00000000" w:rsidRDefault="00000000" w:rsidRPr="00000000" w14:paraId="0000011F">
      <w:pPr>
        <w:pageBreakBefore w:val="0"/>
        <w:jc w:val="both"/>
        <w:rPr/>
      </w:pPr>
      <w:r w:rsidDel="00000000" w:rsidR="00000000" w:rsidRPr="00000000">
        <w:rPr>
          <w:rtl w:val="0"/>
        </w:rPr>
        <w:t xml:space="preserve">Below is the economic panel for Uruguay in 2013. We can see that for different percentages of heuristic total export growth</w:t>
      </w:r>
      <w:r w:rsidDel="00000000" w:rsidR="00000000" w:rsidRPr="00000000">
        <w:rPr>
          <w:rtl w:val="0"/>
        </w:rPr>
        <w:t xml:space="preserve">, the ECIs of Uruguay have different amounts of increments. At 5 percent export growth we see that there is a significant share of weapons manufacturing which gets replaced by Daily Instruments and Services and Utilities. Going from 5% to 10% increase results in an ECI increase from 0.09 to 0.36. Going from 15% to 20% export growth results in an added weightage towards animal and by-products however, there is no ECI increase in this case. Finally, going from 15% to 20% of export growth we see there is a significant increase in ECI from 0.36 to 0.64. </w:t>
      </w: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r>
    </w:p>
    <w:p w:rsidR="00000000" w:rsidDel="00000000" w:rsidP="00000000" w:rsidRDefault="00000000" w:rsidRPr="00000000" w14:paraId="00000121">
      <w:pPr>
        <w:pageBreakBefore w:val="0"/>
        <w:jc w:val="both"/>
        <w:rPr/>
      </w:pPr>
      <w:r w:rsidDel="00000000" w:rsidR="00000000" w:rsidRPr="00000000">
        <w:rPr>
          <w:rtl w:val="0"/>
        </w:rPr>
        <w:t xml:space="preserve">For the case of 5 percent export growth, weapons and chemicals account for most of the portfolio. For 10 percent export growth, more weights are put on other industries, such as services and utilities, and daily instruments. In these two ECI improvement trajectories, we also notice that the largest improvement comes from daily instruments, suggesting that with a low economic improvement anticipation, Bolivia should focus more on developing the industry of daily instruments. For the case of 15 percent increment budgets, other than industries mentioned in the 15% case, there is an added focus on animals and by-products. Finally, for the 20 percent increment budgets most of the portfolio is dominated by Machinery and Construction. Different from the previous scenarios, the solutions suggest that Bolivia should invest more on Machinery and Construction with a higher budget. This makes sense because with more budgets, a country should definitely focus more on the development of high-end product spaces. A more detailed numerical representation of the portfolio is shown in Table 8.</w:t>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731200" cy="2870200"/>
            <wp:effectExtent b="0" l="0" r="0" t="0"/>
            <wp:docPr id="19"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17"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both"/>
        <w:rPr/>
      </w:pPr>
      <w:r w:rsidDel="00000000" w:rsidR="00000000" w:rsidRPr="00000000">
        <w:rPr>
          <w:rtl w:val="0"/>
        </w:rPr>
      </w:r>
    </w:p>
    <w:p w:rsidR="00000000" w:rsidDel="00000000" w:rsidP="00000000" w:rsidRDefault="00000000" w:rsidRPr="00000000" w14:paraId="00000126">
      <w:pPr>
        <w:pageBreakBefore w:val="0"/>
        <w:jc w:val="center"/>
        <w:rPr/>
      </w:pPr>
      <w:r w:rsidDel="00000000" w:rsidR="00000000" w:rsidRPr="00000000">
        <w:rPr>
          <w:rtl w:val="0"/>
        </w:rPr>
        <w:t xml:space="preserve">Figure 5: Greedy Based ECI Improvement Results of Uruguay in 2013 with Different Budgets</w:t>
      </w:r>
    </w:p>
    <w:p w:rsidR="00000000" w:rsidDel="00000000" w:rsidP="00000000" w:rsidRDefault="00000000" w:rsidRPr="00000000" w14:paraId="00000127">
      <w:pPr>
        <w:pageBreakBefore w:val="0"/>
        <w:jc w:val="both"/>
        <w:rPr/>
      </w:pPr>
      <w:r w:rsidDel="00000000" w:rsidR="00000000" w:rsidRPr="00000000">
        <w:rPr>
          <w:rtl w:val="0"/>
        </w:rPr>
      </w:r>
    </w:p>
    <w:p w:rsidR="00000000" w:rsidDel="00000000" w:rsidP="00000000" w:rsidRDefault="00000000" w:rsidRPr="00000000" w14:paraId="00000128">
      <w:pPr>
        <w:pageBreakBefore w:val="0"/>
        <w:jc w:val="both"/>
        <w:rPr/>
      </w:pPr>
      <w:r w:rsidDel="00000000" w:rsidR="00000000" w:rsidRPr="00000000">
        <w:rPr/>
        <w:drawing>
          <wp:inline distB="114300" distT="114300" distL="114300" distR="114300">
            <wp:extent cx="5625164" cy="2081213"/>
            <wp:effectExtent b="0" l="0" r="0" t="0"/>
            <wp:docPr id="16"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625164" cy="2081213"/>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r>
    </w:p>
    <w:p w:rsidR="00000000" w:rsidDel="00000000" w:rsidP="00000000" w:rsidRDefault="00000000" w:rsidRPr="00000000" w14:paraId="0000012A">
      <w:pPr>
        <w:pageBreakBefore w:val="0"/>
        <w:jc w:val="center"/>
        <w:rPr/>
      </w:pPr>
      <w:r w:rsidDel="00000000" w:rsidR="00000000" w:rsidRPr="00000000">
        <w:rPr>
          <w:rtl w:val="0"/>
        </w:rPr>
        <w:t xml:space="preserve">Table 8: Portfolio of Uruguay in 2013</w:t>
      </w:r>
    </w:p>
    <w:p w:rsidR="00000000" w:rsidDel="00000000" w:rsidP="00000000" w:rsidRDefault="00000000" w:rsidRPr="00000000" w14:paraId="0000012B">
      <w:pPr>
        <w:pageBreakBefore w:val="0"/>
        <w:jc w:val="both"/>
        <w:rPr/>
      </w:pPr>
      <w:r w:rsidDel="00000000" w:rsidR="00000000" w:rsidRPr="00000000">
        <w:rPr>
          <w:rtl w:val="0"/>
        </w:rPr>
      </w:r>
    </w:p>
    <w:p w:rsidR="00000000" w:rsidDel="00000000" w:rsidP="00000000" w:rsidRDefault="00000000" w:rsidRPr="00000000" w14:paraId="0000012C">
      <w:pPr>
        <w:pageBreakBefore w:val="0"/>
        <w:jc w:val="both"/>
        <w:rPr/>
      </w:pPr>
      <w:r w:rsidDel="00000000" w:rsidR="00000000" w:rsidRPr="00000000">
        <w:rPr>
          <w:rtl w:val="0"/>
        </w:rPr>
        <w:t xml:space="preserve">For further suggestions on Uruguaay’s development in the future. We also offer the optimization result of Bolivia based on export data in 2018. Below is the economic panel for Bolivia in 2018. We can see that the ECI improvement trajectories are much lower than in the 2013 case, the improvements in 5 percent export growth rate is higher, keeping in mind the original ECl. However, 10 percent export growth as well as the ones in 15 and 20 are also lower. Another striking difference in the growth optimization result is that for a 5 percent export growth, there is a greater emphasis on daily instruments and none on weapons. For a 10 percent growth, the main components are Daily Instruments and Weapons. For situations with higher budgets of investment, like 15 or 20 percent of growth, the portfolios are much more dominated by Weapons and Machinery and Construction, respectively. A more detailed numerical representation of the portfolio is shown in Table 9. </w:t>
      </w:r>
    </w:p>
    <w:p w:rsidR="00000000" w:rsidDel="00000000" w:rsidP="00000000" w:rsidRDefault="00000000" w:rsidRPr="00000000" w14:paraId="0000012D">
      <w:pPr>
        <w:pageBreakBefore w:val="0"/>
        <w:jc w:val="both"/>
        <w:rPr/>
      </w:pPr>
      <w:r w:rsidDel="00000000" w:rsidR="00000000" w:rsidRPr="00000000">
        <w:rPr>
          <w:rtl w:val="0"/>
        </w:rPr>
      </w:r>
    </w:p>
    <w:p w:rsidR="00000000" w:rsidDel="00000000" w:rsidP="00000000" w:rsidRDefault="00000000" w:rsidRPr="00000000" w14:paraId="0000012E">
      <w:pPr>
        <w:pageBreakBefore w:val="0"/>
        <w:jc w:val="both"/>
        <w:rPr/>
      </w:pPr>
      <w:r w:rsidDel="00000000" w:rsidR="00000000" w:rsidRPr="00000000">
        <w:rPr/>
        <w:drawing>
          <wp:inline distB="114300" distT="114300" distL="114300" distR="114300">
            <wp:extent cx="5731200" cy="2870200"/>
            <wp:effectExtent b="0" l="0" r="0" t="0"/>
            <wp:docPr id="12"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731200" cy="2870200"/>
                    </a:xfrm>
                    <a:prstGeom prst="rect"/>
                    <a:ln/>
                  </pic:spPr>
                </pic:pic>
              </a:graphicData>
            </a:graphic>
          </wp:inline>
        </w:drawing>
      </w:r>
      <w:r w:rsidDel="00000000" w:rsidR="00000000" w:rsidRPr="00000000">
        <w:rPr/>
        <w:drawing>
          <wp:inline distB="114300" distT="114300" distL="114300" distR="114300">
            <wp:extent cx="5731200" cy="2159000"/>
            <wp:effectExtent b="0" l="0" r="0" t="0"/>
            <wp:docPr id="30"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pageBreakBefore w:val="0"/>
        <w:jc w:val="both"/>
        <w:rPr/>
      </w:pPr>
      <w:r w:rsidDel="00000000" w:rsidR="00000000" w:rsidRPr="00000000">
        <w:rPr>
          <w:rtl w:val="0"/>
        </w:rPr>
      </w:r>
    </w:p>
    <w:p w:rsidR="00000000" w:rsidDel="00000000" w:rsidP="00000000" w:rsidRDefault="00000000" w:rsidRPr="00000000" w14:paraId="00000130">
      <w:pPr>
        <w:pageBreakBefore w:val="0"/>
        <w:jc w:val="center"/>
        <w:rPr/>
      </w:pPr>
      <w:r w:rsidDel="00000000" w:rsidR="00000000" w:rsidRPr="00000000">
        <w:rPr>
          <w:rtl w:val="0"/>
        </w:rPr>
        <w:t xml:space="preserve">Figure 6: Greedy Based ECI Improvement Results of Bolivia in 2018 with Different Budgets</w:t>
      </w:r>
    </w:p>
    <w:p w:rsidR="00000000" w:rsidDel="00000000" w:rsidP="00000000" w:rsidRDefault="00000000" w:rsidRPr="00000000" w14:paraId="00000131">
      <w:pPr>
        <w:pageBreakBefore w:val="0"/>
        <w:jc w:val="both"/>
        <w:rPr/>
      </w:pPr>
      <w:r w:rsidDel="00000000" w:rsidR="00000000" w:rsidRPr="00000000">
        <w:rPr>
          <w:rtl w:val="0"/>
        </w:rPr>
      </w:r>
    </w:p>
    <w:p w:rsidR="00000000" w:rsidDel="00000000" w:rsidP="00000000" w:rsidRDefault="00000000" w:rsidRPr="00000000" w14:paraId="00000132">
      <w:pPr>
        <w:pageBreakBefore w:val="0"/>
        <w:jc w:val="both"/>
        <w:rPr/>
      </w:pPr>
      <w:r w:rsidDel="00000000" w:rsidR="00000000" w:rsidRPr="00000000">
        <w:rPr/>
        <w:drawing>
          <wp:inline distB="114300" distT="114300" distL="114300" distR="114300">
            <wp:extent cx="5630423" cy="2328863"/>
            <wp:effectExtent b="0" l="0" r="0" t="0"/>
            <wp:docPr id="29"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630423"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pageBreakBefore w:val="0"/>
        <w:jc w:val="both"/>
        <w:rPr/>
      </w:pPr>
      <w:r w:rsidDel="00000000" w:rsidR="00000000" w:rsidRPr="00000000">
        <w:rPr>
          <w:rtl w:val="0"/>
        </w:rPr>
      </w:r>
    </w:p>
    <w:p w:rsidR="00000000" w:rsidDel="00000000" w:rsidP="00000000" w:rsidRDefault="00000000" w:rsidRPr="00000000" w14:paraId="00000134">
      <w:pPr>
        <w:pageBreakBefore w:val="0"/>
        <w:jc w:val="center"/>
        <w:rPr/>
      </w:pPr>
      <w:r w:rsidDel="00000000" w:rsidR="00000000" w:rsidRPr="00000000">
        <w:rPr>
          <w:rtl w:val="0"/>
        </w:rPr>
        <w:t xml:space="preserve">Table 9: Portfolio of Uruguay in 2018</w:t>
      </w:r>
    </w:p>
    <w:p w:rsidR="00000000" w:rsidDel="00000000" w:rsidP="00000000" w:rsidRDefault="00000000" w:rsidRPr="00000000" w14:paraId="00000135">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36">
      <w:pPr>
        <w:pageBreakBefore w:val="0"/>
        <w:spacing w:after="240" w:before="240" w:line="276" w:lineRule="auto"/>
        <w:rPr/>
      </w:pPr>
      <w:r w:rsidDel="00000000" w:rsidR="00000000" w:rsidRPr="00000000">
        <w:rPr>
          <w:rtl w:val="0"/>
        </w:rPr>
        <w:t xml:space="preserve">In the following section our broad aim is to understand how sensitive Uruguay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37">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38">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139">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shocks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3A">
      <w:pPr>
        <w:pageBreakBefore w:val="0"/>
        <w:spacing w:after="240" w:before="240" w:line="276" w:lineRule="auto"/>
        <w:ind w:left="720" w:firstLine="720"/>
        <w:rPr>
          <w:b w:val="1"/>
          <w:bCs w:val="1"/>
        </w:rPr>
      </w:pPr>
      <w:r w:rsidDel="00000000" w:rsidR="00000000" w:rsidRPr="00000000">
        <w:rPr>
          <w:b w:val="1"/>
          <w:bCs w:val="1"/>
        </w:rPr>
        <w:drawing>
          <wp:inline distB="114300" distT="114300" distL="114300" distR="114300">
            <wp:extent cx="4350544" cy="2071688"/>
            <wp:effectExtent b="0" l="0" r="0" t="0"/>
            <wp:docPr id="11" name="image3.jpg"/>
            <a:graphic>
              <a:graphicData uri="http://schemas.openxmlformats.org/drawingml/2006/picture">
                <pic:pic>
                  <pic:nvPicPr>
                    <pic:cNvPr id="0" name="image3.jpg"/>
                    <pic:cNvPicPr preferRelativeResize="0"/>
                  </pic:nvPicPr>
                  <pic:blipFill>
                    <a:blip r:embed="rId23"/>
                    <a:srcRect b="0" l="0" r="0" t="9709"/>
                    <a:stretch>
                      <a:fillRect/>
                    </a:stretch>
                  </pic:blipFill>
                  <pic:spPr>
                    <a:xfrm>
                      <a:off x="0" y="0"/>
                      <a:ext cx="4350544"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pageBreakBefore w:val="0"/>
        <w:ind w:left="2160" w:firstLine="720"/>
        <w:jc w:val="left"/>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3C">
      <w:pPr>
        <w:pageBreakBefore w:val="0"/>
        <w:jc w:val="both"/>
        <w:rPr>
          <w:b w:val="1"/>
          <w:bCs w:val="1"/>
        </w:rPr>
      </w:pPr>
      <w:r w:rsidDel="00000000" w:rsidR="00000000" w:rsidRPr="00000000">
        <w:rPr>
          <w:rtl w:val="0"/>
        </w:rPr>
      </w:r>
    </w:p>
    <w:p w:rsidR="00000000" w:rsidDel="00000000" w:rsidP="00000000" w:rsidRDefault="00000000" w:rsidRPr="00000000" w14:paraId="0000013D">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3E">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3F">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40">
      <w:pPr>
        <w:pageBreakBefore w:val="0"/>
        <w:spacing w:line="276" w:lineRule="auto"/>
        <w:rPr/>
      </w:pPr>
      <w:r w:rsidDel="00000000" w:rsidR="00000000" w:rsidRPr="00000000">
        <w:rPr>
          <w:rtl w:val="0"/>
        </w:rPr>
        <w:t xml:space="preserve">Similar to the ECI sensitivity graphs above, we will be shocking the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41">
      <w:pPr>
        <w:pageBreakBefore w:val="0"/>
        <w:spacing w:line="276" w:lineRule="auto"/>
        <w:rPr/>
      </w:pPr>
      <w:r w:rsidDel="00000000" w:rsidR="00000000" w:rsidRPr="00000000">
        <w:rPr>
          <w:rtl w:val="0"/>
        </w:rPr>
      </w:r>
    </w:p>
    <w:p w:rsidR="00000000" w:rsidDel="00000000" w:rsidP="00000000" w:rsidRDefault="00000000" w:rsidRPr="00000000" w14:paraId="00000142">
      <w:pPr>
        <w:pageBreakBefore w:val="0"/>
        <w:jc w:val="both"/>
        <w:rPr/>
      </w:pPr>
      <w:r w:rsidDel="00000000" w:rsidR="00000000" w:rsidRPr="00000000">
        <w:rPr/>
        <w:drawing>
          <wp:inline distB="114300" distT="114300" distL="114300" distR="114300">
            <wp:extent cx="5734050" cy="1739900"/>
            <wp:effectExtent b="0" l="0" r="0" t="0"/>
            <wp:docPr id="5" name="image5.jpg"/>
            <a:graphic>
              <a:graphicData uri="http://schemas.openxmlformats.org/drawingml/2006/picture">
                <pic:pic>
                  <pic:nvPicPr>
                    <pic:cNvPr id="0" name="image5.jpg"/>
                    <pic:cNvPicPr preferRelativeResize="0"/>
                  </pic:nvPicPr>
                  <pic:blipFill>
                    <a:blip r:embed="rId2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44">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45">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46">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47">
      <w:pPr>
        <w:pageBreakBefore w:val="0"/>
        <w:spacing w:line="276" w:lineRule="auto"/>
        <w:rPr/>
      </w:pPr>
      <w:r w:rsidDel="00000000" w:rsidR="00000000" w:rsidRPr="00000000">
        <w:rPr>
          <w:rtl w:val="0"/>
        </w:rPr>
      </w:r>
    </w:p>
    <w:p w:rsidR="00000000" w:rsidDel="00000000" w:rsidP="00000000" w:rsidRDefault="00000000" w:rsidRPr="00000000" w14:paraId="00000148">
      <w:pPr>
        <w:pageBreakBefore w:val="0"/>
        <w:jc w:val="center"/>
        <w:rPr>
          <w:sz w:val="22"/>
          <w:szCs w:val="22"/>
        </w:rPr>
      </w:pPr>
      <w:r w:rsidDel="00000000" w:rsidR="00000000" w:rsidRPr="00000000">
        <w:rPr>
          <w:sz w:val="22"/>
          <w:szCs w:val="22"/>
        </w:rPr>
        <w:drawing>
          <wp:inline distB="114300" distT="114300" distL="114300" distR="114300">
            <wp:extent cx="5731200" cy="3530600"/>
            <wp:effectExtent b="0" l="0" r="0" t="0"/>
            <wp:docPr id="20"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ageBreakBefore w:val="0"/>
        <w:jc w:val="center"/>
        <w:rPr>
          <w:sz w:val="22"/>
          <w:szCs w:val="22"/>
        </w:rPr>
      </w:pPr>
      <w:r w:rsidDel="00000000" w:rsidR="00000000" w:rsidRPr="00000000">
        <w:rPr>
          <w:rtl w:val="0"/>
        </w:rPr>
      </w:r>
    </w:p>
    <w:p w:rsidR="00000000" w:rsidDel="00000000" w:rsidP="00000000" w:rsidRDefault="00000000" w:rsidRPr="00000000" w14:paraId="0000014A">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4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4E">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4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50">
      <w:pPr>
        <w:pageBreakBefore w:val="0"/>
        <w:jc w:val="both"/>
        <w:rPr/>
      </w:pPr>
      <w:r w:rsidDel="00000000" w:rsidR="00000000" w:rsidRPr="00000000">
        <w:rPr>
          <w:rtl w:val="0"/>
        </w:rPr>
        <w:t xml:space="preserve">Below is Uruguay’s 2018 ECI Sensitivity Charts. Firstly in the positive chart, we notice immediately that increases in Daily Instruments lead to an uptrend in ECI. Daily Instruments offer the best ECI growth per unit of export increase. Metals also help in increasing the ECI greatly. </w:t>
      </w:r>
    </w:p>
    <w:p w:rsidR="00000000" w:rsidDel="00000000" w:rsidP="00000000" w:rsidRDefault="00000000" w:rsidRPr="00000000" w14:paraId="00000151">
      <w:pPr>
        <w:pageBreakBefore w:val="0"/>
        <w:jc w:val="both"/>
        <w:rPr/>
      </w:pPr>
      <w:r w:rsidDel="00000000" w:rsidR="00000000" w:rsidRPr="00000000">
        <w:rPr>
          <w:rtl w:val="0"/>
        </w:rPr>
      </w:r>
    </w:p>
    <w:p w:rsidR="00000000" w:rsidDel="00000000" w:rsidP="00000000" w:rsidRDefault="00000000" w:rsidRPr="00000000" w14:paraId="00000152">
      <w:pPr>
        <w:pageBreakBefore w:val="0"/>
        <w:rPr/>
      </w:pPr>
      <w:r w:rsidDel="00000000" w:rsidR="00000000" w:rsidRPr="00000000">
        <w:rPr>
          <w:rtl w:val="0"/>
        </w:rPr>
        <w:t xml:space="preserve">Next we consider Bolivia’s 2018 Negative Shock chart. We see that Bolivia’s ECI is slightly sensitive to drawdowns in Weapons. More interestingly we see that large decreases in Precious Stones and Energy, Mining and Drilling seem to greatly increase the ECI score. These industries are two very important industries for Bolivia’s economy and thus the results that are reflected in the chart may be suggesting that there is another industry that could be very beneficial for Bolivia that is far in proximity from them.  </w:t>
      </w:r>
    </w:p>
    <w:p w:rsidR="00000000" w:rsidDel="00000000" w:rsidP="00000000" w:rsidRDefault="00000000" w:rsidRPr="00000000" w14:paraId="00000153">
      <w:pPr>
        <w:pageBreakBefore w:val="0"/>
        <w:rPr/>
      </w:pPr>
      <w:r w:rsidDel="00000000" w:rsidR="00000000" w:rsidRPr="00000000">
        <w:rPr>
          <w:rtl w:val="0"/>
        </w:rPr>
      </w:r>
    </w:p>
    <w:p w:rsidR="00000000" w:rsidDel="00000000" w:rsidP="00000000" w:rsidRDefault="00000000" w:rsidRPr="00000000" w14:paraId="00000154">
      <w:pPr>
        <w:pageBreakBefore w:val="0"/>
        <w:rPr/>
      </w:pPr>
      <w:r w:rsidDel="00000000" w:rsidR="00000000" w:rsidRPr="00000000">
        <w:rPr/>
        <w:drawing>
          <wp:inline distB="114300" distT="114300" distL="114300" distR="114300">
            <wp:extent cx="5731200" cy="3644900"/>
            <wp:effectExtent b="0" l="0" r="0" t="0"/>
            <wp:docPr id="25" name="image20.png"/>
            <a:graphic>
              <a:graphicData uri="http://schemas.openxmlformats.org/drawingml/2006/picture">
                <pic:pic>
                  <pic:nvPicPr>
                    <pic:cNvPr id="0" name="image20.png"/>
                    <pic:cNvPicPr preferRelativeResize="0"/>
                  </pic:nvPicPr>
                  <pic:blipFill>
                    <a:blip r:embed="rId26"/>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pageBreakBefore w:val="0"/>
        <w:ind w:left="0" w:firstLine="0"/>
        <w:rPr/>
      </w:pPr>
      <w:r w:rsidDel="00000000" w:rsidR="00000000" w:rsidRPr="00000000">
        <w:rPr>
          <w:rtl w:val="0"/>
        </w:rPr>
      </w:r>
    </w:p>
    <w:p w:rsidR="00000000" w:rsidDel="00000000" w:rsidP="00000000" w:rsidRDefault="00000000" w:rsidRPr="00000000" w14:paraId="00000156">
      <w:pPr>
        <w:pageBreakBefore w:val="0"/>
        <w:jc w:val="both"/>
        <w:rPr>
          <w:b w:val="1"/>
          <w:bCs w:val="1"/>
        </w:rPr>
      </w:pPr>
      <w:r w:rsidDel="00000000" w:rsidR="00000000" w:rsidRPr="00000000">
        <w:rPr>
          <w:rtl w:val="0"/>
        </w:rPr>
      </w:r>
    </w:p>
    <w:p w:rsidR="00000000" w:rsidDel="00000000" w:rsidP="00000000" w:rsidRDefault="00000000" w:rsidRPr="00000000" w14:paraId="00000157">
      <w:pPr>
        <w:pageBreakBefore w:val="0"/>
        <w:jc w:val="center"/>
        <w:rPr>
          <w:b w:val="1"/>
          <w:bCs w:val="1"/>
        </w:rPr>
      </w:pPr>
      <w:r w:rsidDel="00000000" w:rsidR="00000000" w:rsidRPr="00000000">
        <w:rPr>
          <w:rtl w:val="0"/>
        </w:rPr>
        <w:t xml:space="preserve">Uruguay 2018 (Incremental ECI Sensitivity)</w:t>
      </w:r>
      <w:r w:rsidDel="00000000" w:rsidR="00000000" w:rsidRPr="00000000">
        <w:rPr>
          <w:rtl w:val="0"/>
        </w:rPr>
      </w:r>
    </w:p>
    <w:p w:rsidR="00000000" w:rsidDel="00000000" w:rsidP="00000000" w:rsidRDefault="00000000" w:rsidRPr="00000000" w14:paraId="00000158">
      <w:pPr>
        <w:pageBreakBefore w:val="0"/>
        <w:ind w:left="0" w:firstLine="0"/>
        <w:jc w:val="both"/>
        <w:rPr>
          <w:b w:val="1"/>
          <w:bCs w:val="1"/>
        </w:rPr>
      </w:pPr>
      <w:r w:rsidDel="00000000" w:rsidR="00000000" w:rsidRPr="00000000">
        <w:rPr>
          <w:b w:val="1"/>
          <w:bCs w:val="1"/>
        </w:rPr>
        <w:drawing>
          <wp:inline distB="114300" distT="114300" distL="114300" distR="114300">
            <wp:extent cx="5731200" cy="3644900"/>
            <wp:effectExtent b="0" l="0" r="0" t="0"/>
            <wp:docPr id="7" name="image6.png"/>
            <a:graphic>
              <a:graphicData uri="http://schemas.openxmlformats.org/drawingml/2006/picture">
                <pic:pic>
                  <pic:nvPicPr>
                    <pic:cNvPr id="0" name="image6.png"/>
                    <pic:cNvPicPr preferRelativeResize="0"/>
                  </pic:nvPicPr>
                  <pic:blipFill>
                    <a:blip r:embed="rId27"/>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pageBreakBefore w:val="0"/>
        <w:jc w:val="both"/>
        <w:rPr>
          <w:b w:val="1"/>
          <w:bCs w:val="1"/>
        </w:rPr>
      </w:pPr>
      <w:r w:rsidDel="00000000" w:rsidR="00000000" w:rsidRPr="00000000">
        <w:rPr>
          <w:rtl w:val="0"/>
        </w:rPr>
      </w:r>
    </w:p>
    <w:p w:rsidR="00000000" w:rsidDel="00000000" w:rsidP="00000000" w:rsidRDefault="00000000" w:rsidRPr="00000000" w14:paraId="0000015A">
      <w:pPr>
        <w:pageBreakBefore w:val="0"/>
        <w:jc w:val="center"/>
        <w:rPr/>
      </w:pPr>
      <w:r w:rsidDel="00000000" w:rsidR="00000000" w:rsidRPr="00000000">
        <w:rPr>
          <w:rtl w:val="0"/>
        </w:rPr>
        <w:t xml:space="preserve">Uruguay 2018 (Decremental  ECI Sensitivity)</w:t>
      </w:r>
    </w:p>
    <w:p w:rsidR="00000000" w:rsidDel="00000000" w:rsidP="00000000" w:rsidRDefault="00000000" w:rsidRPr="00000000" w14:paraId="0000015B">
      <w:pPr>
        <w:pageBreakBefore w:val="0"/>
        <w:jc w:val="center"/>
        <w:rPr/>
      </w:pPr>
      <w:r w:rsidDel="00000000" w:rsidR="00000000" w:rsidRPr="00000000">
        <w:rPr>
          <w:rtl w:val="0"/>
        </w:rPr>
      </w:r>
    </w:p>
    <w:p w:rsidR="00000000" w:rsidDel="00000000" w:rsidP="00000000" w:rsidRDefault="00000000" w:rsidRPr="00000000" w14:paraId="0000015C">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do not affect ECI levels as positively as in 2018.</w:t>
      </w:r>
    </w:p>
    <w:p w:rsidR="00000000" w:rsidDel="00000000" w:rsidP="00000000" w:rsidRDefault="00000000" w:rsidRPr="00000000" w14:paraId="0000015D">
      <w:pPr>
        <w:pageBreakBefore w:val="0"/>
        <w:rPr/>
      </w:pPr>
      <w:r w:rsidDel="00000000" w:rsidR="00000000" w:rsidRPr="00000000">
        <w:rPr>
          <w:rtl w:val="0"/>
        </w:rPr>
      </w:r>
    </w:p>
    <w:p w:rsidR="00000000" w:rsidDel="00000000" w:rsidP="00000000" w:rsidRDefault="00000000" w:rsidRPr="00000000" w14:paraId="0000015E">
      <w:pPr>
        <w:pageBreakBefore w:val="0"/>
        <w:rPr/>
      </w:pPr>
      <w:r w:rsidDel="00000000" w:rsidR="00000000" w:rsidRPr="00000000">
        <w:rPr>
          <w:rtl w:val="0"/>
        </w:rPr>
      </w:r>
    </w:p>
    <w:p w:rsidR="00000000" w:rsidDel="00000000" w:rsidP="00000000" w:rsidRDefault="00000000" w:rsidRPr="00000000" w14:paraId="0000015F">
      <w:pPr>
        <w:jc w:val="both"/>
        <w:rPr>
          <w:b w:val="1"/>
          <w:bCs w:val="1"/>
        </w:rPr>
      </w:pPr>
      <w:r w:rsidDel="00000000" w:rsidR="00000000" w:rsidRPr="00000000">
        <w:rPr>
          <w:b w:val="1"/>
          <w:bCs w:val="1"/>
        </w:rPr>
        <w:drawing>
          <wp:inline distB="114300" distT="114300" distL="114300" distR="114300">
            <wp:extent cx="5731200" cy="3644900"/>
            <wp:effectExtent b="0" l="0" r="0" t="0"/>
            <wp:docPr id="22" name="image16.png"/>
            <a:graphic>
              <a:graphicData uri="http://schemas.openxmlformats.org/drawingml/2006/picture">
                <pic:pic>
                  <pic:nvPicPr>
                    <pic:cNvPr id="0" name="image16.png"/>
                    <pic:cNvPicPr preferRelativeResize="0"/>
                  </pic:nvPicPr>
                  <pic:blipFill>
                    <a:blip r:embed="rId28"/>
                    <a:srcRect b="0" l="0" r="0" t="0"/>
                    <a:stretch>
                      <a:fillRect/>
                    </a:stretch>
                  </pic:blipFill>
                  <pic:spPr>
                    <a:xfrm>
                      <a:off x="0" y="0"/>
                      <a:ext cx="57312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ageBreakBefore w:val="0"/>
        <w:jc w:val="center"/>
        <w:rPr/>
      </w:pPr>
      <w:r w:rsidDel="00000000" w:rsidR="00000000" w:rsidRPr="00000000">
        <w:rPr>
          <w:rtl w:val="0"/>
        </w:rPr>
        <w:t xml:space="preserve">Uruguay 2013 (Incremental ECI Sensitivity)</w:t>
      </w:r>
    </w:p>
    <w:p w:rsidR="00000000" w:rsidDel="00000000" w:rsidP="00000000" w:rsidRDefault="00000000" w:rsidRPr="00000000" w14:paraId="00000161">
      <w:pPr>
        <w:pageBreakBefore w:val="0"/>
        <w:jc w:val="both"/>
        <w:rPr>
          <w:b w:val="1"/>
          <w:bCs w:val="1"/>
        </w:rPr>
      </w:pPr>
      <w:r w:rsidDel="00000000" w:rsidR="00000000" w:rsidRPr="00000000">
        <w:rPr>
          <w:b w:val="1"/>
          <w:bCs w:val="1"/>
        </w:rPr>
        <w:drawing>
          <wp:inline distB="114300" distT="114300" distL="114300" distR="114300">
            <wp:extent cx="5386388" cy="3426036"/>
            <wp:effectExtent b="0" l="0" r="0" t="0"/>
            <wp:docPr id="18"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386388" cy="3426036"/>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pageBreakBefore w:val="0"/>
        <w:ind w:left="1440" w:firstLine="720"/>
        <w:jc w:val="left"/>
        <w:rPr/>
      </w:pPr>
      <w:r w:rsidDel="00000000" w:rsidR="00000000" w:rsidRPr="00000000">
        <w:rPr>
          <w:rtl w:val="0"/>
        </w:rPr>
        <w:t xml:space="preserve">Uruguay 2013 (Decremental  ECI Sensitivity)</w:t>
      </w:r>
    </w:p>
    <w:p w:rsidR="00000000" w:rsidDel="00000000" w:rsidP="00000000" w:rsidRDefault="00000000" w:rsidRPr="00000000" w14:paraId="00000163">
      <w:pPr>
        <w:pageBreakBefore w:val="0"/>
        <w:jc w:val="both"/>
        <w:rPr>
          <w:b w:val="1"/>
          <w:bCs w:val="1"/>
        </w:rPr>
      </w:pPr>
      <w:r w:rsidDel="00000000" w:rsidR="00000000" w:rsidRPr="00000000">
        <w:rPr>
          <w:rtl w:val="0"/>
        </w:rPr>
      </w:r>
    </w:p>
    <w:p w:rsidR="00000000" w:rsidDel="00000000" w:rsidP="00000000" w:rsidRDefault="00000000" w:rsidRPr="00000000" w14:paraId="00000164">
      <w:pPr>
        <w:pageBreakBefore w:val="0"/>
        <w:jc w:val="both"/>
        <w:rPr>
          <w:b w:val="1"/>
          <w:bCs w:val="1"/>
        </w:rPr>
      </w:pPr>
      <w:r w:rsidDel="00000000" w:rsidR="00000000" w:rsidRPr="00000000">
        <w:rPr>
          <w:rtl w:val="0"/>
        </w:rPr>
      </w:r>
    </w:p>
    <w:p w:rsidR="00000000" w:rsidDel="00000000" w:rsidP="00000000" w:rsidRDefault="00000000" w:rsidRPr="00000000" w14:paraId="00000165">
      <w:pPr>
        <w:pageBreakBefore w:val="0"/>
        <w:jc w:val="both"/>
        <w:rPr>
          <w:b w:val="1"/>
          <w:bCs w:val="1"/>
        </w:rPr>
      </w:pPr>
      <w:r w:rsidDel="00000000" w:rsidR="00000000" w:rsidRPr="00000000">
        <w:rPr>
          <w:rtl w:val="0"/>
        </w:rPr>
      </w:r>
    </w:p>
    <w:p w:rsidR="00000000" w:rsidDel="00000000" w:rsidP="00000000" w:rsidRDefault="00000000" w:rsidRPr="00000000" w14:paraId="00000166">
      <w:pPr>
        <w:pageBreakBefore w:val="0"/>
        <w:rPr/>
      </w:pPr>
      <w:r w:rsidDel="00000000" w:rsidR="00000000" w:rsidRPr="00000000">
        <w:rPr>
          <w:rtl w:val="0"/>
        </w:rPr>
        <w:t xml:space="preserve">Below we see the SDV sensitivity charts for Metals. We see that after increasing the export of Metals by 20% there is no additional gain to ECI even by increasing the export more. As to start with, after 20% increase in export of metals no industries within the SDV have negative opportunity gain. </w:t>
      </w:r>
    </w:p>
    <w:p w:rsidR="00000000" w:rsidDel="00000000" w:rsidP="00000000" w:rsidRDefault="00000000" w:rsidRPr="00000000" w14:paraId="00000167">
      <w:pPr>
        <w:pageBreakBefore w:val="0"/>
        <w:rPr/>
      </w:pPr>
      <w:r w:rsidDel="00000000" w:rsidR="00000000" w:rsidRPr="00000000">
        <w:rPr>
          <w:rtl w:val="0"/>
        </w:rPr>
      </w:r>
    </w:p>
    <w:p w:rsidR="00000000" w:rsidDel="00000000" w:rsidP="00000000" w:rsidRDefault="00000000" w:rsidRPr="00000000" w14:paraId="00000168">
      <w:pPr>
        <w:pageBreakBefore w:val="0"/>
        <w:rPr/>
      </w:pPr>
      <w:r w:rsidDel="00000000" w:rsidR="00000000" w:rsidRPr="00000000">
        <w:rPr>
          <w:rtl w:val="0"/>
        </w:rPr>
        <w:t xml:space="preserve">In the negative  SDV chart, we see that as we decrease the export of Metals the ECI does not change. Additionally, it is not optimal to decrease the export of metals at all.  </w:t>
      </w:r>
    </w:p>
    <w:p w:rsidR="00000000" w:rsidDel="00000000" w:rsidP="00000000" w:rsidRDefault="00000000" w:rsidRPr="00000000" w14:paraId="00000169">
      <w:pPr>
        <w:pageBreakBefore w:val="0"/>
        <w:rPr/>
      </w:pPr>
      <w:r w:rsidDel="00000000" w:rsidR="00000000" w:rsidRPr="00000000">
        <w:rPr>
          <w:rtl w:val="0"/>
        </w:rPr>
      </w:r>
    </w:p>
    <w:p w:rsidR="00000000" w:rsidDel="00000000" w:rsidP="00000000" w:rsidRDefault="00000000" w:rsidRPr="00000000" w14:paraId="0000016A">
      <w:pPr>
        <w:pageBreakBefore w:val="0"/>
        <w:rPr/>
      </w:pPr>
      <w:r w:rsidDel="00000000" w:rsidR="00000000" w:rsidRPr="00000000">
        <w:rPr>
          <w:rtl w:val="0"/>
        </w:rPr>
        <w:t xml:space="preserve">Concerning Precious Stones, Bolivia seems to be mostly insensitive towards increasing this  However, decreasing exports in this sector leads to gains in ECI. Decreasing export by 82% leads to optimum ECI increase.  </w:t>
      </w:r>
    </w:p>
    <w:p w:rsidR="00000000" w:rsidDel="00000000" w:rsidP="00000000" w:rsidRDefault="00000000" w:rsidRPr="00000000" w14:paraId="0000016B">
      <w:pPr>
        <w:pageBreakBefore w:val="0"/>
        <w:ind w:left="1440" w:firstLine="720"/>
        <w:rPr/>
      </w:pPr>
      <w:r w:rsidDel="00000000" w:rsidR="00000000" w:rsidRPr="00000000">
        <w:rPr/>
        <w:drawing>
          <wp:inline distB="114300" distT="114300" distL="114300" distR="114300">
            <wp:extent cx="3491893" cy="3671888"/>
            <wp:effectExtent b="0" l="0" r="0" t="0"/>
            <wp:docPr id="28" name="image24.png"/>
            <a:graphic>
              <a:graphicData uri="http://schemas.openxmlformats.org/drawingml/2006/picture">
                <pic:pic>
                  <pic:nvPicPr>
                    <pic:cNvPr id="0" name="image24.png"/>
                    <pic:cNvPicPr preferRelativeResize="0"/>
                  </pic:nvPicPr>
                  <pic:blipFill>
                    <a:blip r:embed="rId30"/>
                    <a:srcRect b="0" l="0" r="0" t="0"/>
                    <a:stretch>
                      <a:fillRect/>
                    </a:stretch>
                  </pic:blipFill>
                  <pic:spPr>
                    <a:xfrm>
                      <a:off x="0" y="0"/>
                      <a:ext cx="3491893" cy="3671888"/>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pageBreakBefore w:val="0"/>
        <w:jc w:val="center"/>
        <w:rPr>
          <w:b w:val="1"/>
          <w:bCs w:val="1"/>
        </w:rPr>
      </w:pPr>
      <w:r w:rsidDel="00000000" w:rsidR="00000000" w:rsidRPr="00000000">
        <w:rPr>
          <w:rtl w:val="0"/>
        </w:rPr>
      </w:r>
    </w:p>
    <w:p w:rsidR="00000000" w:rsidDel="00000000" w:rsidP="00000000" w:rsidRDefault="00000000" w:rsidRPr="00000000" w14:paraId="0000016D">
      <w:pPr>
        <w:pageBreakBefore w:val="0"/>
        <w:ind w:left="720" w:firstLine="720"/>
        <w:jc w:val="left"/>
        <w:rPr/>
      </w:pPr>
      <w:r w:rsidDel="00000000" w:rsidR="00000000" w:rsidRPr="00000000">
        <w:rPr>
          <w:rtl w:val="0"/>
        </w:rPr>
        <w:t xml:space="preserve">           Bolivia Metals 2018 (Incremental SDV Sensitivity)</w:t>
      </w:r>
    </w:p>
    <w:p w:rsidR="00000000" w:rsidDel="00000000" w:rsidP="00000000" w:rsidRDefault="00000000" w:rsidRPr="00000000" w14:paraId="0000016E">
      <w:pPr>
        <w:pageBreakBefore w:val="0"/>
        <w:jc w:val="both"/>
        <w:rPr>
          <w:b w:val="1"/>
          <w:bCs w:val="1"/>
        </w:rPr>
      </w:pPr>
      <w:r w:rsidDel="00000000" w:rsidR="00000000" w:rsidRPr="00000000">
        <w:rPr>
          <w:rtl w:val="0"/>
        </w:rPr>
      </w:r>
    </w:p>
    <w:p w:rsidR="00000000" w:rsidDel="00000000" w:rsidP="00000000" w:rsidRDefault="00000000" w:rsidRPr="00000000" w14:paraId="0000016F">
      <w:pPr>
        <w:ind w:left="2880" w:firstLine="720"/>
        <w:rPr>
          <w:b w:val="1"/>
          <w:bCs w:val="1"/>
        </w:rPr>
      </w:pPr>
      <w:r w:rsidDel="00000000" w:rsidR="00000000" w:rsidRPr="00000000">
        <w:rPr/>
        <w:drawing>
          <wp:inline distB="114300" distT="114300" distL="114300" distR="114300">
            <wp:extent cx="1719208" cy="3267351"/>
            <wp:effectExtent b="0" l="0" r="0" t="0"/>
            <wp:docPr id="2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1719208" cy="3267351"/>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ageBreakBefore w:val="0"/>
        <w:jc w:val="center"/>
        <w:rPr>
          <w:b w:val="1"/>
          <w:bCs w:val="1"/>
        </w:rPr>
      </w:pPr>
      <w:r w:rsidDel="00000000" w:rsidR="00000000" w:rsidRPr="00000000">
        <w:rPr>
          <w:rtl w:val="0"/>
        </w:rPr>
      </w:r>
    </w:p>
    <w:p w:rsidR="00000000" w:rsidDel="00000000" w:rsidP="00000000" w:rsidRDefault="00000000" w:rsidRPr="00000000" w14:paraId="00000171">
      <w:pPr>
        <w:pageBreakBefore w:val="0"/>
        <w:ind w:left="720" w:firstLine="720"/>
        <w:jc w:val="center"/>
        <w:rPr/>
      </w:pPr>
      <w:r w:rsidDel="00000000" w:rsidR="00000000" w:rsidRPr="00000000">
        <w:rPr>
          <w:rtl w:val="0"/>
        </w:rPr>
      </w:r>
    </w:p>
    <w:p w:rsidR="00000000" w:rsidDel="00000000" w:rsidP="00000000" w:rsidRDefault="00000000" w:rsidRPr="00000000" w14:paraId="00000172">
      <w:pPr>
        <w:pageBreakBefore w:val="0"/>
        <w:ind w:left="720" w:firstLine="720"/>
        <w:jc w:val="center"/>
        <w:rPr/>
      </w:pPr>
      <w:r w:rsidDel="00000000" w:rsidR="00000000" w:rsidRPr="00000000">
        <w:rPr>
          <w:rtl w:val="0"/>
        </w:rPr>
        <w:t xml:space="preserve">Bolivia</w:t>
      </w:r>
      <w:r w:rsidDel="00000000" w:rsidR="00000000" w:rsidRPr="00000000">
        <w:rPr>
          <w:rtl w:val="0"/>
        </w:rPr>
        <w:t xml:space="preserve"> Metals 2018 (Decremental SDV Sensitivity)</w:t>
      </w:r>
    </w:p>
    <w:p w:rsidR="00000000" w:rsidDel="00000000" w:rsidP="00000000" w:rsidRDefault="00000000" w:rsidRPr="00000000" w14:paraId="00000173">
      <w:pPr>
        <w:pageBreakBefore w:val="0"/>
        <w:ind w:left="720" w:firstLine="720"/>
        <w:jc w:val="center"/>
        <w:rPr/>
      </w:pPr>
      <w:r w:rsidDel="00000000" w:rsidR="00000000" w:rsidRPr="00000000">
        <w:rPr>
          <w:rtl w:val="0"/>
        </w:rPr>
      </w:r>
    </w:p>
    <w:p w:rsidR="00000000" w:rsidDel="00000000" w:rsidP="00000000" w:rsidRDefault="00000000" w:rsidRPr="00000000" w14:paraId="00000174">
      <w:pPr>
        <w:pageBreakBefore w:val="0"/>
        <w:ind w:left="720" w:firstLine="720"/>
        <w:jc w:val="left"/>
        <w:rPr/>
      </w:pPr>
      <w:r w:rsidDel="00000000" w:rsidR="00000000" w:rsidRPr="00000000">
        <w:rPr>
          <w:rtl w:val="0"/>
        </w:rPr>
        <w:t xml:space="preserve">                          </w:t>
      </w:r>
    </w:p>
    <w:p w:rsidR="00000000" w:rsidDel="00000000" w:rsidP="00000000" w:rsidRDefault="00000000" w:rsidRPr="00000000" w14:paraId="00000175">
      <w:pPr>
        <w:pageBreakBefore w:val="0"/>
        <w:ind w:left="720" w:firstLine="720"/>
        <w:jc w:val="left"/>
        <w:rPr/>
      </w:pPr>
      <w:r w:rsidDel="00000000" w:rsidR="00000000" w:rsidRPr="00000000">
        <w:rPr>
          <w:rtl w:val="0"/>
        </w:rPr>
        <w:t xml:space="preserve">                              </w:t>
      </w:r>
      <w:r w:rsidDel="00000000" w:rsidR="00000000" w:rsidRPr="00000000">
        <w:rPr/>
        <w:drawing>
          <wp:inline distB="114300" distT="114300" distL="114300" distR="114300">
            <wp:extent cx="1926068" cy="3186113"/>
            <wp:effectExtent b="0" l="0" r="0" t="0"/>
            <wp:docPr id="21"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1926068" cy="3186113"/>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pageBreakBefore w:val="0"/>
        <w:ind w:left="720" w:firstLine="720"/>
        <w:jc w:val="left"/>
        <w:rPr/>
      </w:pPr>
      <w:r w:rsidDel="00000000" w:rsidR="00000000" w:rsidRPr="00000000">
        <w:rPr>
          <w:rtl w:val="0"/>
        </w:rPr>
      </w:r>
    </w:p>
    <w:p w:rsidR="00000000" w:rsidDel="00000000" w:rsidP="00000000" w:rsidRDefault="00000000" w:rsidRPr="00000000" w14:paraId="00000177">
      <w:pPr>
        <w:pageBreakBefore w:val="0"/>
        <w:ind w:left="720" w:firstLine="720"/>
        <w:jc w:val="center"/>
        <w:rPr/>
      </w:pPr>
      <w:r w:rsidDel="00000000" w:rsidR="00000000" w:rsidRPr="00000000">
        <w:rPr>
          <w:rtl w:val="0"/>
        </w:rPr>
        <w:t xml:space="preserve">Bolivia Precious Stones 2018 (Incremental SDV Sensitivity)</w:t>
      </w:r>
    </w:p>
    <w:p w:rsidR="00000000" w:rsidDel="00000000" w:rsidP="00000000" w:rsidRDefault="00000000" w:rsidRPr="00000000" w14:paraId="00000178">
      <w:pPr>
        <w:pageBreakBefore w:val="0"/>
        <w:ind w:left="720" w:firstLine="720"/>
        <w:jc w:val="center"/>
        <w:rPr/>
      </w:pPr>
      <w:r w:rsidDel="00000000" w:rsidR="00000000" w:rsidRPr="00000000">
        <w:rPr>
          <w:rtl w:val="0"/>
        </w:rPr>
      </w:r>
    </w:p>
    <w:p w:rsidR="00000000" w:rsidDel="00000000" w:rsidP="00000000" w:rsidRDefault="00000000" w:rsidRPr="00000000" w14:paraId="00000179">
      <w:pPr>
        <w:pageBreakBefore w:val="0"/>
        <w:jc w:val="center"/>
        <w:rPr>
          <w:b w:val="1"/>
          <w:bCs w:val="1"/>
        </w:rPr>
      </w:pPr>
      <w:r w:rsidDel="00000000" w:rsidR="00000000" w:rsidRPr="00000000">
        <w:rPr>
          <w:b w:val="1"/>
          <w:bCs w:val="1"/>
        </w:rPr>
        <w:drawing>
          <wp:inline distB="114300" distT="114300" distL="114300" distR="114300">
            <wp:extent cx="4603913" cy="3201287"/>
            <wp:effectExtent b="0" l="0" r="0" t="0"/>
            <wp:docPr id="13"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4603913" cy="3201287"/>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ageBreakBefore w:val="0"/>
        <w:jc w:val="center"/>
        <w:rPr>
          <w:b w:val="1"/>
          <w:bCs w:val="1"/>
        </w:rPr>
      </w:pPr>
      <w:r w:rsidDel="00000000" w:rsidR="00000000" w:rsidRPr="00000000">
        <w:rPr>
          <w:rtl w:val="0"/>
        </w:rPr>
      </w:r>
    </w:p>
    <w:p w:rsidR="00000000" w:rsidDel="00000000" w:rsidP="00000000" w:rsidRDefault="00000000" w:rsidRPr="00000000" w14:paraId="0000017B">
      <w:pPr>
        <w:pageBreakBefore w:val="0"/>
        <w:ind w:left="720" w:firstLine="720"/>
        <w:jc w:val="center"/>
        <w:rPr/>
      </w:pPr>
      <w:r w:rsidDel="00000000" w:rsidR="00000000" w:rsidRPr="00000000">
        <w:rPr>
          <w:rtl w:val="0"/>
        </w:rPr>
        <w:t xml:space="preserve">Bolivia Precious Stones 2018 (Decremental SDV Sensitivity)</w:t>
      </w:r>
    </w:p>
    <w:p w:rsidR="00000000" w:rsidDel="00000000" w:rsidP="00000000" w:rsidRDefault="00000000" w:rsidRPr="00000000" w14:paraId="0000017C">
      <w:pPr>
        <w:pageBreakBefore w:val="0"/>
        <w:ind w:left="720" w:firstLine="720"/>
        <w:jc w:val="center"/>
        <w:rPr/>
      </w:pPr>
      <w:r w:rsidDel="00000000" w:rsidR="00000000" w:rsidRPr="00000000">
        <w:rPr>
          <w:rtl w:val="0"/>
        </w:rPr>
      </w:r>
    </w:p>
    <w:p w:rsidR="00000000" w:rsidDel="00000000" w:rsidP="00000000" w:rsidRDefault="00000000" w:rsidRPr="00000000" w14:paraId="0000017D">
      <w:pPr>
        <w:pageBreakBefore w:val="0"/>
        <w:ind w:left="0" w:firstLine="0"/>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7E">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7F">
      <w:pPr>
        <w:pageBreakBefore w:val="0"/>
        <w:jc w:val="both"/>
        <w:rPr>
          <w:b w:val="1"/>
          <w:bCs w:val="1"/>
          <w:sz w:val="28"/>
          <w:szCs w:val="28"/>
        </w:rPr>
      </w:pPr>
      <w:r w:rsidDel="00000000" w:rsidR="00000000" w:rsidRPr="00000000">
        <w:rPr>
          <w:rtl w:val="0"/>
        </w:rPr>
        <w:t xml:space="preserve">Decreasing export of each industry in Bolivia’s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8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82">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5548313" cy="3096733"/>
            <wp:effectExtent b="0" l="0" r="0" t="0"/>
            <wp:docPr id="6" name="image29.png"/>
            <a:graphic>
              <a:graphicData uri="http://schemas.openxmlformats.org/drawingml/2006/picture">
                <pic:pic>
                  <pic:nvPicPr>
                    <pic:cNvPr id="0" name="image29.png"/>
                    <pic:cNvPicPr preferRelativeResize="0"/>
                  </pic:nvPicPr>
                  <pic:blipFill>
                    <a:blip r:embed="rId34"/>
                    <a:srcRect b="0" l="0" r="0" t="0"/>
                    <a:stretch>
                      <a:fillRect/>
                    </a:stretch>
                  </pic:blipFill>
                  <pic:spPr>
                    <a:xfrm>
                      <a:off x="0" y="0"/>
                      <a:ext cx="5548313" cy="3096733"/>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jc w:val="center"/>
        <w:rPr>
          <w:sz w:val="22"/>
          <w:szCs w:val="22"/>
        </w:rPr>
      </w:pPr>
      <w:r w:rsidDel="00000000" w:rsidR="00000000" w:rsidRPr="00000000">
        <w:rPr>
          <w:sz w:val="22"/>
          <w:szCs w:val="22"/>
          <w:rtl w:val="0"/>
        </w:rPr>
        <w:t xml:space="preserve">Uruguay Contingency Strategy 2018</w:t>
      </w:r>
    </w:p>
    <w:p w:rsidR="00000000" w:rsidDel="00000000" w:rsidP="00000000" w:rsidRDefault="00000000" w:rsidRPr="00000000" w14:paraId="00000184">
      <w:pPr>
        <w:pageBreakBefore w:val="0"/>
        <w:jc w:val="center"/>
        <w:rPr>
          <w:sz w:val="22"/>
          <w:szCs w:val="22"/>
        </w:rPr>
      </w:pPr>
      <w:r w:rsidDel="00000000" w:rsidR="00000000" w:rsidRPr="00000000">
        <w:rPr>
          <w:rtl w:val="0"/>
        </w:rPr>
      </w:r>
    </w:p>
    <w:p w:rsidR="00000000" w:rsidDel="00000000" w:rsidP="00000000" w:rsidRDefault="00000000" w:rsidRPr="00000000" w14:paraId="00000185">
      <w:pPr>
        <w:pageBreakBefore w:val="0"/>
        <w:jc w:val="both"/>
        <w:rPr>
          <w:b w:val="1"/>
          <w:bCs w:val="1"/>
        </w:rPr>
      </w:pPr>
      <w:r w:rsidDel="00000000" w:rsidR="00000000" w:rsidRPr="00000000">
        <w:rPr>
          <w:rtl w:val="0"/>
        </w:rPr>
      </w:r>
    </w:p>
    <w:p w:rsidR="00000000" w:rsidDel="00000000" w:rsidP="00000000" w:rsidRDefault="00000000" w:rsidRPr="00000000" w14:paraId="0000018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87">
      <w:pPr>
        <w:pageBreakBefore w:val="0"/>
        <w:jc w:val="both"/>
        <w:rPr>
          <w:b w:val="1"/>
          <w:bCs w:val="1"/>
        </w:rPr>
      </w:pPr>
      <w:r w:rsidDel="00000000" w:rsidR="00000000" w:rsidRPr="00000000">
        <w:rPr>
          <w:rtl w:val="0"/>
        </w:rPr>
      </w:r>
    </w:p>
    <w:p w:rsidR="00000000" w:rsidDel="00000000" w:rsidP="00000000" w:rsidRDefault="00000000" w:rsidRPr="00000000" w14:paraId="00000188">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89">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8A">
      <w:pPr>
        <w:pageBreakBefore w:val="0"/>
        <w:jc w:val="both"/>
        <w:rPr/>
      </w:pPr>
      <w:r w:rsidDel="00000000" w:rsidR="00000000" w:rsidRPr="00000000">
        <w:rPr>
          <w:rtl w:val="0"/>
        </w:rPr>
      </w:r>
    </w:p>
    <w:p w:rsidR="00000000" w:rsidDel="00000000" w:rsidP="00000000" w:rsidRDefault="00000000" w:rsidRPr="00000000" w14:paraId="0000018B">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w:t>
      </w:r>
      <w:r w:rsidDel="00000000" w:rsidR="00000000" w:rsidRPr="00000000">
        <w:rPr>
          <w:rtl w:val="0"/>
        </w:rPr>
        <w:t xml:space="preserve"> GDP (USD), ov</w:t>
      </w:r>
      <w:r w:rsidDel="00000000" w:rsidR="00000000" w:rsidRPr="00000000">
        <w:rPr>
          <w:rtl w:val="0"/>
        </w:rPr>
        <w:t xml:space="preserve">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8C">
      <w:pPr>
        <w:pageBreakBefore w:val="0"/>
        <w:jc w:val="both"/>
        <w:rPr/>
      </w:pPr>
      <w:r w:rsidDel="00000000" w:rsidR="00000000" w:rsidRPr="00000000">
        <w:rPr>
          <w:rtl w:val="0"/>
        </w:rPr>
      </w:r>
    </w:p>
    <w:tbl>
      <w:tblPr>
        <w:tblStyle w:val="Table7"/>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D">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95">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26"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96">
      <w:pPr>
        <w:pageBreakBefore w:val="0"/>
        <w:jc w:val="center"/>
        <w:rPr/>
      </w:pPr>
      <w:r w:rsidDel="00000000" w:rsidR="00000000" w:rsidRPr="00000000">
        <w:rPr>
          <w:rtl w:val="0"/>
        </w:rPr>
        <w:t xml:space="preserve">Figure 2: Regression of Five-year GDP Growth </w:t>
      </w:r>
      <w:r w:rsidDel="00000000" w:rsidR="00000000" w:rsidRPr="00000000">
        <w:rPr>
          <w:rtl w:val="0"/>
        </w:rPr>
        <w:t xml:space="preserve">over SOI</w:t>
      </w: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r>
    </w:p>
    <w:p w:rsidR="00000000" w:rsidDel="00000000" w:rsidP="00000000" w:rsidRDefault="00000000" w:rsidRPr="00000000" w14:paraId="00000198">
      <w:pPr>
        <w:pageBreakBefore w:val="0"/>
        <w:jc w:val="both"/>
        <w:rPr>
          <w:b w:val="1"/>
          <w:bCs w:val="1"/>
        </w:rPr>
      </w:pPr>
      <w:r w:rsidDel="00000000" w:rsidR="00000000" w:rsidRPr="00000000">
        <w:rPr>
          <w:b w:val="1"/>
          <w:bCs w:val="1"/>
          <w:rtl w:val="0"/>
        </w:rPr>
        <w:t xml:space="preserve">5.2 SOI of Bolivia and Its Implications</w:t>
      </w:r>
    </w:p>
    <w:p w:rsidR="00000000" w:rsidDel="00000000" w:rsidP="00000000" w:rsidRDefault="00000000" w:rsidRPr="00000000" w14:paraId="00000199">
      <w:pPr>
        <w:pageBreakBefore w:val="0"/>
        <w:jc w:val="both"/>
        <w:rPr/>
      </w:pPr>
      <w:r w:rsidDel="00000000" w:rsidR="00000000" w:rsidRPr="00000000">
        <w:rPr>
          <w:rtl w:val="0"/>
        </w:rPr>
        <w:t xml:space="preserve">Bolivia for instance, has a high level of structural optimality as compared with its developed peers. As the regression in Figure 7 suggests (the orange curve represents export increase and the blue curve stands for opportunity gain of the corresponding industry), Bolivia demonstrates an average level of correlation with the suggested developmental path, having an adjusted R-square of around 19.5%. Bolivia ranks in top quartile among all countries in terms of SOI and has made a medium rate of economic progress below its developed peers from 2013 to 2018 with a 5-year GDP growth rate of 5.26%, which is consistent with the regression result in Figure 6. This is in direct contrast to other developed economies such as Japan, where there is low SOI of around -5.7% and a corresponding GDP growth of 9.05% from 2013 to 2018, making it a much faster developing economy during the period. In sum, Bolivia’s mixed economic progress from 2013 to 2018 can be at least partially explained by a development strategy that demonstrates a decent, but not perfect, level of matches with our suggested developmental path. In specific, Bolivia invested heavily in the Machinery and Construction industry, while it should have focused more on more industry groups such as Precious Stones and metals. That being said, it stayed fairly in line with our expectations in the raw manufacturing and animals and by-products industry.</w:t>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drawing>
          <wp:inline distB="114300" distT="114300" distL="114300" distR="114300">
            <wp:extent cx="5731200" cy="2235200"/>
            <wp:effectExtent b="0" l="0" r="0" t="0"/>
            <wp:docPr id="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57312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ageBreakBefore w:val="0"/>
        <w:jc w:val="center"/>
        <w:rPr>
          <w:b w:val="1"/>
          <w:bCs w:val="1"/>
        </w:rPr>
      </w:pPr>
      <w:r w:rsidDel="00000000" w:rsidR="00000000" w:rsidRPr="00000000">
        <w:rPr>
          <w:rtl w:val="0"/>
        </w:rPr>
        <w:t xml:space="preserve">Figure 7: SOI of Uruguay (2009-2014)</w:t>
      </w:r>
      <w:r w:rsidDel="00000000" w:rsidR="00000000" w:rsidRPr="00000000">
        <w:rPr>
          <w:rtl w:val="0"/>
        </w:rPr>
      </w:r>
    </w:p>
    <w:p w:rsidR="00000000" w:rsidDel="00000000" w:rsidP="00000000" w:rsidRDefault="00000000" w:rsidRPr="00000000" w14:paraId="0000019D">
      <w:pPr>
        <w:pageBreakBefore w:val="0"/>
        <w:jc w:val="both"/>
        <w:rPr>
          <w:b w:val="1"/>
          <w:bCs w:val="1"/>
        </w:rPr>
      </w:pPr>
      <w:r w:rsidDel="00000000" w:rsidR="00000000" w:rsidRPr="00000000">
        <w:rPr>
          <w:rtl w:val="0"/>
        </w:rPr>
      </w:r>
    </w:p>
    <w:p w:rsidR="00000000" w:rsidDel="00000000" w:rsidP="00000000" w:rsidRDefault="00000000" w:rsidRPr="00000000" w14:paraId="0000019E">
      <w:pPr>
        <w:pageBreakBefore w:val="0"/>
        <w:jc w:val="both"/>
        <w:rPr>
          <w:b w:val="1"/>
          <w:bCs w:val="1"/>
        </w:rPr>
      </w:pPr>
      <w:r w:rsidDel="00000000" w:rsidR="00000000" w:rsidRPr="00000000">
        <w:rPr>
          <w:rtl w:val="0"/>
        </w:rPr>
      </w:r>
    </w:p>
    <w:p w:rsidR="00000000" w:rsidDel="00000000" w:rsidP="00000000" w:rsidRDefault="00000000" w:rsidRPr="00000000" w14:paraId="0000019F">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t xml:space="preserve">In conclusion, Bolivia has demonstrated a moderate level of economic growth in terms of annual GDP increase during the period from 2013 to 2018, concurrent with a decrease in economic complexity as compared with other major developed economies. </w:t>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t xml:space="preserve">The lack of progress during the period, we believe, can be partially explained through analysis of the economic and product complexity structure of Bolivia on the industry group level. The product classification system we adopt allows us to measure the realized industry development for various industry groups and to observe that Bolivia</w:t>
      </w:r>
      <w:r w:rsidDel="00000000" w:rsidR="00000000" w:rsidRPr="00000000">
        <w:rPr>
          <w:rtl w:val="0"/>
        </w:rPr>
        <w:t xml:space="preserve"> consistently relied on developing the Transportation industry during the period, while its developed counterparts and emerging economies around the globe have adopted much more complex and progressive paths. </w:t>
      </w: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t xml:space="preserve">Based on our analysis of the opportunity gain and a sensitivity analysis of major industry groups, Bolivia can further its gains by prioritizing Metals and Precious Stones. We further note that Bolivia has a slightly mismatched development strategy that indicates a moderately high (compared to other developed countries) level of structural optimality on the complexity level, having an adjusted R-square of around 19.5%. Since a significant positive correlation exists between five-year GDP growth and the structural optimality index of an economy as we define and calculate, Bolivia, however, still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A6">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A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AA">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A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C">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A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AE">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A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0">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B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2">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B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4">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B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6">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B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B8">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B9">
      <w:pPr>
        <w:pageBreakBefore w:val="0"/>
        <w:jc w:val="both"/>
        <w:rPr/>
      </w:pPr>
      <w:r w:rsidDel="00000000" w:rsidR="00000000" w:rsidRPr="00000000">
        <w:rPr>
          <w:rtl w:val="0"/>
        </w:rPr>
      </w:r>
    </w:p>
    <w:sectPr>
      <w:headerReference r:id="rId37" w:type="default"/>
      <w:footerReference r:id="rId38" w:type="default"/>
      <w:footerReference r:id="rId39" w:type="first"/>
      <w:footerReference r:id="rId40"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nidhya Modi" w:id="0" w:date="2022-05-09T19:33: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Sannidhya Modi" w:id="1" w:date="2022-05-09T19:33:28Z">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Sannidhya Modi" w:id="2" w:date="2022-05-09T19:33:09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hceck</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pStyle w:val="Heading2"/>
      <w:keepNext w:val="0"/>
      <w:keepLines w:val="0"/>
      <w:tabs>
        <w:tab w:val="center" w:leader="none" w:pos="4680"/>
        <w:tab w:val="right" w:leader="none" w:pos="9360"/>
      </w:tabs>
      <w:spacing w:after="0" w:before="0" w:line="288" w:lineRule="auto"/>
      <w:rPr>
        <w:rFonts w:ascii="Calibri" w:cs="Calibri" w:eastAsia="Calibri" w:hAnsi="Calibri"/>
        <w:b w:val="0"/>
        <w:bCs w:val="0"/>
        <w:i w:val="0"/>
        <w:iCs w:val="0"/>
        <w:smallCaps w:val="0"/>
        <w:strike w:val="0"/>
        <w:color w:val="000000"/>
        <w:sz w:val="24"/>
        <w:szCs w:val="24"/>
        <w:u w:val="none"/>
        <w:shd w:fill="auto" w:val="clear"/>
        <w:vertAlign w:val="baseline"/>
      </w:rPr>
    </w:pPr>
    <w:bookmarkStart w:colFirst="0" w:colLast="0" w:name="_tegbia6h316r" w:id="3"/>
    <w:bookmarkEnd w:id="3"/>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 name="image4.png"/>
          <a:graphic>
            <a:graphicData uri="http://schemas.openxmlformats.org/drawingml/2006/picture">
              <pic:pic>
                <pic:nvPicPr>
                  <pic:cNvPr descr="horizontal line" id="0" name="image4.png"/>
                  <pic:cNvPicPr preferRelativeResize="0"/>
                </pic:nvPicPr>
                <pic:blipFill>
                  <a:blip r:embed="rId1"/>
                  <a:srcRect b="-35184" l="0" r="0" t="0"/>
                  <a:stretch>
                    <a:fillRect/>
                  </a:stretch>
                </pic:blipFill>
                <pic:spPr>
                  <a:xfrm>
                    <a:off x="0" y="0"/>
                    <a:ext cx="5731200" cy="1016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footer" Target="footer1.xml"/><Relationship Id="rId20" Type="http://schemas.openxmlformats.org/officeDocument/2006/relationships/image" Target="media/image12.png"/><Relationship Id="rId22" Type="http://schemas.openxmlformats.org/officeDocument/2006/relationships/image" Target="media/image27.png"/><Relationship Id="rId21" Type="http://schemas.openxmlformats.org/officeDocument/2006/relationships/image" Target="media/image23.png"/><Relationship Id="rId24" Type="http://schemas.openxmlformats.org/officeDocument/2006/relationships/image" Target="media/image5.jpg"/><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5.png"/><Relationship Id="rId26" Type="http://schemas.openxmlformats.org/officeDocument/2006/relationships/image" Target="media/image20.png"/><Relationship Id="rId25" Type="http://schemas.openxmlformats.org/officeDocument/2006/relationships/image" Target="media/image22.png"/><Relationship Id="rId28" Type="http://schemas.openxmlformats.org/officeDocument/2006/relationships/image" Target="media/image16.png"/><Relationship Id="rId27" Type="http://schemas.openxmlformats.org/officeDocument/2006/relationships/image" Target="media/image6.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21.png"/><Relationship Id="rId7" Type="http://schemas.openxmlformats.org/officeDocument/2006/relationships/image" Target="media/image30.png"/><Relationship Id="rId8" Type="http://schemas.openxmlformats.org/officeDocument/2006/relationships/image" Target="media/image14.png"/><Relationship Id="rId31" Type="http://schemas.openxmlformats.org/officeDocument/2006/relationships/image" Target="media/image11.png"/><Relationship Id="rId30" Type="http://schemas.openxmlformats.org/officeDocument/2006/relationships/image" Target="media/image24.png"/><Relationship Id="rId11" Type="http://schemas.openxmlformats.org/officeDocument/2006/relationships/image" Target="media/image25.png"/><Relationship Id="rId33" Type="http://schemas.openxmlformats.org/officeDocument/2006/relationships/image" Target="media/image18.png"/><Relationship Id="rId10" Type="http://schemas.openxmlformats.org/officeDocument/2006/relationships/image" Target="media/image19.png"/><Relationship Id="rId32" Type="http://schemas.openxmlformats.org/officeDocument/2006/relationships/image" Target="media/image8.png"/><Relationship Id="rId13" Type="http://schemas.openxmlformats.org/officeDocument/2006/relationships/image" Target="media/image26.png"/><Relationship Id="rId35" Type="http://schemas.openxmlformats.org/officeDocument/2006/relationships/image" Target="media/image9.png"/><Relationship Id="rId12" Type="http://schemas.openxmlformats.org/officeDocument/2006/relationships/image" Target="media/image31.png"/><Relationship Id="rId34" Type="http://schemas.openxmlformats.org/officeDocument/2006/relationships/image" Target="media/image29.png"/><Relationship Id="rId15" Type="http://schemas.openxmlformats.org/officeDocument/2006/relationships/image" Target="media/image2.png"/><Relationship Id="rId37" Type="http://schemas.openxmlformats.org/officeDocument/2006/relationships/header" Target="header1.xml"/><Relationship Id="rId14" Type="http://schemas.openxmlformats.org/officeDocument/2006/relationships/image" Target="media/image10.png"/><Relationship Id="rId36" Type="http://schemas.openxmlformats.org/officeDocument/2006/relationships/image" Target="media/image13.png"/><Relationship Id="rId17" Type="http://schemas.openxmlformats.org/officeDocument/2006/relationships/image" Target="media/image17.png"/><Relationship Id="rId39" Type="http://schemas.openxmlformats.org/officeDocument/2006/relationships/footer" Target="footer3.xml"/><Relationship Id="rId16" Type="http://schemas.openxmlformats.org/officeDocument/2006/relationships/image" Target="media/image1.png"/><Relationship Id="rId38" Type="http://schemas.openxmlformats.org/officeDocument/2006/relationships/footer" Target="footer2.xml"/><Relationship Id="rId19" Type="http://schemas.openxmlformats.org/officeDocument/2006/relationships/image" Target="media/image28.png"/><Relationship Id="rId1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